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小标宋简体" w:eastAsia="方正小标宋简体"/>
          <w:sz w:val="44"/>
          <w:szCs w:val="44"/>
        </w:rPr>
      </w:pPr>
      <w:bookmarkStart w:id="0" w:name="_GoBack"/>
      <w:bookmarkEnd w:id="0"/>
    </w:p>
    <w:p>
      <w:pPr>
        <w:spacing w:line="640" w:lineRule="exact"/>
        <w:jc w:val="center"/>
        <w:rPr>
          <w:rFonts w:ascii="ˎ̥" w:hAnsi="ˎ̥" w:eastAsia="方正小标宋简体"/>
          <w:sz w:val="44"/>
          <w:szCs w:val="44"/>
        </w:rPr>
      </w:pPr>
      <w:r>
        <w:rPr>
          <w:rFonts w:hint="eastAsia" w:ascii="ˎ̥" w:hAnsi="ˎ̥" w:eastAsia="方正小标宋简体"/>
          <w:sz w:val="44"/>
          <w:szCs w:val="44"/>
        </w:rPr>
        <w:t>宁县妇女联合会</w:t>
      </w:r>
    </w:p>
    <w:p>
      <w:pPr>
        <w:spacing w:line="640" w:lineRule="exact"/>
        <w:jc w:val="center"/>
        <w:rPr>
          <w:rFonts w:ascii="仿宋_GB2312" w:eastAsia="仿宋_GB2312"/>
          <w:sz w:val="32"/>
        </w:rPr>
      </w:pPr>
      <w:r>
        <w:rPr>
          <w:rFonts w:hint="eastAsia" w:eastAsia="方正小标宋简体"/>
          <w:sz w:val="44"/>
          <w:szCs w:val="44"/>
        </w:rPr>
        <w:t>2022年度整体支出绩效自评报告</w:t>
      </w:r>
    </w:p>
    <w:p>
      <w:pPr>
        <w:spacing w:beforeLines="100" w:line="560" w:lineRule="exact"/>
        <w:rPr>
          <w:rFonts w:ascii="方正小标宋简体" w:hAnsi="方正小标宋简体" w:eastAsia="方正小标宋简体" w:cs="方正小标宋简体"/>
          <w:color w:val="000000" w:themeColor="text1"/>
          <w:kern w:val="0"/>
          <w:sz w:val="43"/>
          <w:szCs w:val="43"/>
        </w:rPr>
      </w:pPr>
      <w:r>
        <w:rPr>
          <w:rFonts w:hint="eastAsia" w:ascii="仿宋_GB2312" w:eastAsia="仿宋_GB2312"/>
          <w:sz w:val="32"/>
          <w:szCs w:val="32"/>
        </w:rPr>
        <w:t>县财政局：</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按照县财政局印发的《关于深入开展财政资金绩效自评工作的通知》文件要求，我单位高度重视，认真安排部署，对2022年部门整体支出进行了全面梳理，形成绩效自评报告，现将相关情况报告如下：</w:t>
      </w:r>
    </w:p>
    <w:p>
      <w:pPr>
        <w:widowControl/>
        <w:spacing w:line="560" w:lineRule="exact"/>
        <w:ind w:firstLine="640" w:firstLineChars="200"/>
        <w:rPr>
          <w:color w:val="000000" w:themeColor="text1"/>
          <w:sz w:val="32"/>
          <w:szCs w:val="32"/>
        </w:rPr>
      </w:pPr>
      <w:r>
        <w:rPr>
          <w:rFonts w:hint="eastAsia" w:ascii="黑体" w:hAnsi="宋体" w:eastAsia="黑体" w:cs="黑体"/>
          <w:color w:val="000000" w:themeColor="text1"/>
          <w:kern w:val="0"/>
          <w:sz w:val="32"/>
          <w:szCs w:val="32"/>
        </w:rPr>
        <w:t xml:space="preserve">一、单位概况 </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（一）主要职责职能,组织架构、人员及资产等基本情况</w:t>
      </w:r>
    </w:p>
    <w:p>
      <w:pPr>
        <w:spacing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1.主要职能</w:t>
      </w:r>
    </w:p>
    <w:p>
      <w:pPr>
        <w:tabs>
          <w:tab w:val="left" w:pos="840"/>
        </w:tabs>
        <w:spacing w:line="560" w:lineRule="exact"/>
        <w:ind w:firstLine="640" w:firstLineChars="200"/>
        <w:rPr>
          <w:rFonts w:ascii="仿宋_GB2312" w:eastAsia="仿宋_GB2312"/>
          <w:sz w:val="32"/>
          <w:szCs w:val="32"/>
        </w:rPr>
      </w:pPr>
      <w:r>
        <w:rPr>
          <w:rFonts w:hint="eastAsia" w:ascii="仿宋_GB2312" w:eastAsia="仿宋_GB2312"/>
          <w:sz w:val="32"/>
          <w:szCs w:val="32"/>
        </w:rPr>
        <w:t>是县委领导下的负责全县妇女儿童工作的群众团体组织，是党和政府联系妇女群众的桥梁和纽带，主要职能是团结和动员全县妇女参加经济社会建设，参与国家和社会事务的民主管理与民主监督，代表和维护妇女儿童合法权益。</w:t>
      </w:r>
    </w:p>
    <w:p>
      <w:pPr>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2.机构及人员情况</w:t>
      </w:r>
    </w:p>
    <w:p>
      <w:pPr>
        <w:snapToGrid w:val="0"/>
        <w:spacing w:line="560" w:lineRule="exact"/>
        <w:ind w:firstLine="640" w:firstLineChars="200"/>
        <w:rPr>
          <w:rFonts w:ascii="仿宋_GB2312" w:hAnsi="Arial" w:eastAsia="仿宋_GB2312" w:cs="仿宋_GB2312"/>
          <w:color w:val="000000"/>
          <w:sz w:val="32"/>
          <w:szCs w:val="32"/>
        </w:rPr>
      </w:pPr>
      <w:r>
        <w:rPr>
          <w:rFonts w:hint="eastAsia" w:ascii="仿宋_GB2312" w:hAnsi="Arial" w:eastAsia="仿宋_GB2312" w:cs="仿宋_GB2312"/>
          <w:color w:val="000000"/>
          <w:sz w:val="32"/>
          <w:szCs w:val="32"/>
        </w:rPr>
        <w:t>宁县妇联为正科级参公事业单位，核定参公编制6名，2022年底共有在职人员</w:t>
      </w:r>
      <w:r>
        <w:rPr>
          <w:rFonts w:hint="eastAsia" w:ascii="仿宋_GB2312" w:eastAsia="仿宋_GB2312" w:cs="仿宋_GB2312"/>
          <w:color w:val="000000"/>
          <w:sz w:val="32"/>
          <w:szCs w:val="32"/>
        </w:rPr>
        <w:t>4</w:t>
      </w:r>
      <w:r>
        <w:rPr>
          <w:rFonts w:hint="eastAsia" w:ascii="仿宋_GB2312" w:hAnsi="Arial" w:eastAsia="仿宋_GB2312" w:cs="仿宋_GB2312"/>
          <w:color w:val="000000"/>
          <w:sz w:val="32"/>
          <w:szCs w:val="32"/>
        </w:rPr>
        <w:t>人，与2021年底减少1人。</w:t>
      </w:r>
    </w:p>
    <w:p>
      <w:pPr>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3.资产状况</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2022年末资产总值原值为</w:t>
      </w:r>
      <w:r>
        <w:rPr>
          <w:rFonts w:hint="eastAsia" w:ascii="仿宋_GB2312" w:hAnsi="仿宋_GB2312" w:eastAsia="仿宋_GB2312" w:cs="仿宋_GB2312"/>
          <w:color w:val="000000" w:themeColor="text1"/>
          <w:sz w:val="32"/>
          <w:szCs w:val="32"/>
          <w:lang w:val="en-US" w:eastAsia="zh-CN"/>
        </w:rPr>
        <w:t>8.31</w:t>
      </w:r>
      <w:r>
        <w:rPr>
          <w:rFonts w:hint="eastAsia" w:ascii="仿宋_GB2312" w:hAnsi="仿宋_GB2312" w:eastAsia="仿宋_GB2312" w:cs="仿宋_GB2312"/>
          <w:color w:val="000000" w:themeColor="text1"/>
          <w:sz w:val="32"/>
          <w:szCs w:val="32"/>
        </w:rPr>
        <w:t>万元，</w:t>
      </w:r>
      <w:r>
        <w:rPr>
          <w:rFonts w:ascii="Times New Roman" w:hAnsi="Times New Roman" w:eastAsia="仿宋_GB2312" w:cs="Times New Roman"/>
          <w:sz w:val="32"/>
          <w:szCs w:val="32"/>
        </w:rPr>
        <w:t>固定资产累计折旧</w:t>
      </w:r>
      <w:r>
        <w:rPr>
          <w:rFonts w:hint="eastAsia" w:ascii="Times New Roman" w:hAnsi="Times New Roman" w:eastAsia="仿宋_GB2312" w:cs="Times New Roman"/>
          <w:sz w:val="32"/>
          <w:szCs w:val="32"/>
          <w:lang w:val="en-US" w:eastAsia="zh-CN"/>
        </w:rPr>
        <w:t>5.78</w:t>
      </w:r>
      <w:r>
        <w:rPr>
          <w:rFonts w:hint="eastAsia" w:ascii="仿宋_GB2312" w:hAnsi="仿宋_GB2312" w:eastAsia="仿宋_GB2312" w:cs="仿宋_GB2312"/>
          <w:color w:val="000000" w:themeColor="text1"/>
          <w:sz w:val="32"/>
          <w:szCs w:val="32"/>
        </w:rPr>
        <w:t>万</w:t>
      </w:r>
      <w:r>
        <w:rPr>
          <w:rFonts w:ascii="仿宋_GB2312" w:hAnsi="仿宋_GB2312" w:eastAsia="仿宋_GB2312" w:cs="仿宋_GB2312"/>
          <w:color w:val="000000" w:themeColor="text1"/>
          <w:sz w:val="32"/>
          <w:szCs w:val="32"/>
        </w:rPr>
        <w:t>元，固定资产净值</w:t>
      </w:r>
      <w:r>
        <w:rPr>
          <w:rFonts w:hint="eastAsia" w:ascii="仿宋_GB2312" w:hAnsi="仿宋_GB2312" w:eastAsia="仿宋_GB2312" w:cs="仿宋_GB2312"/>
          <w:color w:val="000000" w:themeColor="text1"/>
          <w:sz w:val="32"/>
          <w:szCs w:val="32"/>
          <w:lang w:val="en-US" w:eastAsia="zh-CN"/>
        </w:rPr>
        <w:t>2.53</w:t>
      </w:r>
      <w:r>
        <w:rPr>
          <w:rFonts w:hint="eastAsia" w:ascii="仿宋_GB2312" w:hAnsi="仿宋_GB2312" w:eastAsia="仿宋_GB2312" w:cs="仿宋_GB2312"/>
          <w:color w:val="000000" w:themeColor="text1"/>
          <w:sz w:val="32"/>
          <w:szCs w:val="32"/>
        </w:rPr>
        <w:t>万</w:t>
      </w:r>
      <w:r>
        <w:rPr>
          <w:rFonts w:ascii="仿宋_GB2312" w:hAnsi="仿宋_GB2312" w:eastAsia="仿宋_GB2312" w:cs="仿宋_GB2312"/>
          <w:color w:val="000000" w:themeColor="text1"/>
          <w:sz w:val="32"/>
          <w:szCs w:val="32"/>
        </w:rPr>
        <w:t>元</w:t>
      </w:r>
      <w:r>
        <w:rPr>
          <w:rFonts w:ascii="Times New Roman" w:hAnsi="Times New Roman" w:eastAsia="仿宋_GB2312" w:cs="Times New Roman"/>
          <w:sz w:val="32"/>
          <w:szCs w:val="32"/>
        </w:rPr>
        <w:t>。</w:t>
      </w:r>
      <w:r>
        <w:rPr>
          <w:rFonts w:hint="eastAsia" w:ascii="仿宋_GB2312" w:hAnsi="仿宋_GB2312" w:eastAsia="仿宋_GB2312" w:cs="仿宋_GB2312"/>
          <w:color w:val="000000" w:themeColor="text1"/>
          <w:sz w:val="32"/>
          <w:szCs w:val="32"/>
        </w:rPr>
        <w:t>无形资产0万元。</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(二)履职总体目标、工作任务 </w:t>
      </w:r>
    </w:p>
    <w:p>
      <w:pPr>
        <w:spacing w:line="560" w:lineRule="exact"/>
        <w:ind w:firstLine="643" w:firstLineChars="200"/>
        <w:rPr>
          <w:rStyle w:val="11"/>
          <w:rFonts w:ascii="Times New Roman" w:hAnsi="Times New Roman" w:eastAsia="仿宋_GB2312"/>
          <w:szCs w:val="34"/>
        </w:rPr>
      </w:pPr>
      <w:r>
        <w:rPr>
          <w:rStyle w:val="11"/>
          <w:rFonts w:ascii="Times New Roman" w:hAnsi="Times New Roman" w:eastAsia="楷体_GB2312"/>
          <w:b/>
          <w:bCs/>
          <w:szCs w:val="34"/>
        </w:rPr>
        <w:t>突出政治引领。</w:t>
      </w:r>
      <w:r>
        <w:rPr>
          <w:rStyle w:val="11"/>
          <w:rFonts w:ascii="Times New Roman" w:hAnsi="Times New Roman" w:eastAsia="仿宋_GB2312"/>
          <w:szCs w:val="34"/>
        </w:rPr>
        <w:t>深入学习习近平新时代中国特色社会主义思想和党的二十大，贯彻落实习近平总书记关于妇女事业和妇联工作的重要论述等重要讲话精神，及时部署开展全县妇联系统学习各级文件、重要讲话精神</w:t>
      </w:r>
      <w:r>
        <w:rPr>
          <w:rStyle w:val="11"/>
          <w:rFonts w:hint="eastAsia" w:ascii="Times New Roman" w:hAnsi="Times New Roman" w:eastAsia="仿宋_GB2312"/>
          <w:szCs w:val="34"/>
        </w:rPr>
        <w:t>，</w:t>
      </w:r>
      <w:r>
        <w:rPr>
          <w:rStyle w:val="11"/>
          <w:rFonts w:ascii="Times New Roman" w:hAnsi="Times New Roman" w:eastAsia="仿宋_GB2312"/>
          <w:szCs w:val="34"/>
        </w:rPr>
        <w:t>采取“以会带训、互动交流、新媒体讲座”等形式开展线上线下各类学习</w:t>
      </w:r>
      <w:r>
        <w:rPr>
          <w:rStyle w:val="11"/>
          <w:rFonts w:hint="eastAsia" w:ascii="Times New Roman" w:hAnsi="Times New Roman" w:eastAsia="仿宋_GB2312"/>
          <w:szCs w:val="34"/>
        </w:rPr>
        <w:t>80</w:t>
      </w:r>
      <w:r>
        <w:rPr>
          <w:rStyle w:val="11"/>
          <w:rFonts w:ascii="Times New Roman" w:hAnsi="Times New Roman" w:eastAsia="仿宋_GB2312"/>
          <w:szCs w:val="34"/>
        </w:rPr>
        <w:t>余场，参与妇女3.</w:t>
      </w:r>
      <w:r>
        <w:rPr>
          <w:rStyle w:val="11"/>
          <w:rFonts w:hint="eastAsia" w:ascii="Times New Roman" w:hAnsi="Times New Roman" w:eastAsia="仿宋_GB2312"/>
          <w:szCs w:val="34"/>
        </w:rPr>
        <w:t>4</w:t>
      </w:r>
      <w:r>
        <w:rPr>
          <w:rStyle w:val="11"/>
          <w:rFonts w:ascii="Times New Roman" w:hAnsi="Times New Roman" w:eastAsia="仿宋_GB2312"/>
          <w:szCs w:val="34"/>
        </w:rPr>
        <w:t>万余人（次）</w:t>
      </w:r>
      <w:r>
        <w:rPr>
          <w:rStyle w:val="11"/>
          <w:rFonts w:hint="eastAsia" w:ascii="Times New Roman" w:hAnsi="Times New Roman" w:eastAsia="仿宋_GB2312"/>
          <w:szCs w:val="34"/>
        </w:rPr>
        <w:t>，</w:t>
      </w:r>
      <w:r>
        <w:rPr>
          <w:rStyle w:val="11"/>
          <w:rFonts w:ascii="Times New Roman" w:hAnsi="Times New Roman" w:eastAsia="仿宋_GB2312"/>
          <w:szCs w:val="34"/>
        </w:rPr>
        <w:t>教育引导广大妇女不断增强政治意识，提高政治站位，永葆政治本色。</w:t>
      </w:r>
    </w:p>
    <w:p>
      <w:pPr>
        <w:spacing w:line="560" w:lineRule="exact"/>
        <w:ind w:firstLine="640" w:firstLineChars="200"/>
        <w:rPr>
          <w:rStyle w:val="11"/>
          <w:rFonts w:ascii="Times New Roman" w:hAnsi="Times New Roman" w:eastAsia="仿宋_GB2312"/>
          <w:szCs w:val="34"/>
        </w:rPr>
      </w:pPr>
      <w:r>
        <w:rPr>
          <w:rStyle w:val="11"/>
          <w:rFonts w:ascii="Times New Roman" w:hAnsi="Times New Roman" w:eastAsia="仿宋_GB2312"/>
          <w:szCs w:val="34"/>
        </w:rPr>
        <w:t>以“陇原妹”品牌培训、劳务输转为抓手，举办“陇原妹”巾帼家政培训班</w:t>
      </w:r>
      <w:r>
        <w:rPr>
          <w:rStyle w:val="11"/>
          <w:rFonts w:hint="eastAsia" w:ascii="Times New Roman" w:hAnsi="Times New Roman" w:eastAsia="仿宋_GB2312"/>
          <w:szCs w:val="34"/>
        </w:rPr>
        <w:t>10</w:t>
      </w:r>
      <w:r>
        <w:rPr>
          <w:rStyle w:val="11"/>
          <w:rFonts w:ascii="Times New Roman" w:hAnsi="Times New Roman" w:eastAsia="仿宋_GB2312"/>
          <w:szCs w:val="34"/>
        </w:rPr>
        <w:t>期</w:t>
      </w:r>
      <w:r>
        <w:rPr>
          <w:rStyle w:val="11"/>
          <w:rFonts w:hint="eastAsia" w:ascii="Times New Roman" w:hAnsi="Times New Roman" w:eastAsia="仿宋_GB2312"/>
          <w:szCs w:val="34"/>
        </w:rPr>
        <w:t>500</w:t>
      </w:r>
      <w:r>
        <w:rPr>
          <w:rStyle w:val="11"/>
          <w:rFonts w:ascii="Times New Roman" w:hAnsi="Times New Roman" w:eastAsia="仿宋_GB2312"/>
          <w:szCs w:val="34"/>
        </w:rPr>
        <w:t>人，全部通过国家技能考试鉴定，取得合格证和等级证，就业率80%，有效提升了贫困妇女家政服务技能和创业就业能力。</w:t>
      </w:r>
    </w:p>
    <w:p>
      <w:pPr>
        <w:widowControl/>
        <w:spacing w:line="560" w:lineRule="exact"/>
        <w:ind w:firstLine="482" w:firstLineChars="15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（三）整体支出绩效目标</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1.基本支出</w:t>
      </w:r>
    </w:p>
    <w:p>
      <w:pPr>
        <w:widowControl/>
        <w:spacing w:line="560" w:lineRule="exact"/>
        <w:ind w:firstLine="640" w:firstLineChars="200"/>
        <w:rPr>
          <w:rFonts w:ascii="楷体_GB2312" w:hAnsi="楷体_GB2312" w:eastAsia="楷体_GB2312" w:cs="楷体_GB2312"/>
          <w:b/>
          <w:bCs/>
          <w:color w:val="000000" w:themeColor="text1"/>
          <w:kern w:val="0"/>
          <w:sz w:val="32"/>
          <w:szCs w:val="32"/>
        </w:rPr>
      </w:pPr>
      <w:r>
        <w:rPr>
          <w:rFonts w:hint="eastAsia" w:ascii="仿宋_GB2312" w:eastAsia="仿宋_GB2312"/>
          <w:color w:val="000000" w:themeColor="text1"/>
          <w:sz w:val="32"/>
          <w:szCs w:val="32"/>
        </w:rPr>
        <w:t xml:space="preserve">2022年总支出71.61万元。基本支出71.61万元，占总支出100%（其中：工资福利支出53.47万元，占基本支出的74.7%；商品和服务支出15.23万元，占基本支出的21.2%;对个人和家庭的补助支出1万元，占基本支出的4.9%）。 </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2.项目支出</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2022年本单位无项目支出。</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（四）预算绩效管理开展情况</w:t>
      </w:r>
    </w:p>
    <w:p>
      <w:pPr>
        <w:widowControl/>
        <w:spacing w:line="560" w:lineRule="exact"/>
        <w:ind w:firstLine="643" w:firstLineChars="200"/>
        <w:rPr>
          <w:rFonts w:asci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预算执行有效。</w:t>
      </w:r>
      <w:r>
        <w:rPr>
          <w:rFonts w:hint="eastAsia" w:ascii="仿宋_GB2312" w:eastAsia="仿宋_GB2312"/>
          <w:color w:val="000000" w:themeColor="text1"/>
          <w:sz w:val="32"/>
          <w:szCs w:val="32"/>
        </w:rPr>
        <w:t>部门本年度预算完成数与预算数的比率小于100%；结转结余率控制在合理范围；部门对项目支出的组织领导、项目实施过程的监督管理建立和落实了相应的管理机制；部门本年度“三公经费”实际支出数与预算安排数的比率小于100%。</w:t>
      </w:r>
    </w:p>
    <w:p>
      <w:pPr>
        <w:widowControl/>
        <w:spacing w:line="560" w:lineRule="exact"/>
        <w:ind w:firstLine="643" w:firstLineChars="200"/>
        <w:rPr>
          <w:rFonts w:asci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预算管理规范。</w:t>
      </w:r>
      <w:r>
        <w:rPr>
          <w:rFonts w:hint="eastAsia" w:ascii="仿宋_GB2312" w:eastAsia="仿宋_GB2312"/>
          <w:color w:val="000000" w:themeColor="text1"/>
          <w:sz w:val="32"/>
          <w:szCs w:val="32"/>
        </w:rPr>
        <w:t>部门为加强预算管理、规范财务行为而制定的管理制度健全完整；按照政府信息公开有关规定公开相关预决算信息；部门使用预算资金符合相关的预算财务管理制度的规定。</w:t>
      </w:r>
    </w:p>
    <w:p>
      <w:pPr>
        <w:widowControl/>
        <w:spacing w:line="560" w:lineRule="exact"/>
        <w:ind w:firstLine="643" w:firstLineChars="200"/>
        <w:rPr>
          <w:rFonts w:asci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预算参照规定。</w:t>
      </w:r>
      <w:r>
        <w:rPr>
          <w:rFonts w:hint="eastAsia" w:ascii="仿宋_GB2312" w:eastAsia="仿宋_GB2312"/>
          <w:color w:val="000000" w:themeColor="text1"/>
          <w:sz w:val="32"/>
          <w:szCs w:val="32"/>
        </w:rPr>
        <w:t>根据妇联工作职责及2022年度重点工作，制定2022年度绩效管理工作的总体目标和政策，明确2022年度绩效管理的工作重心和方向，确定相应的绩效管理策略和目标;根据2022年度预算执行情况适时跟进、反馈和调整跟进各项工作，适当调整和优化，确保年度绩效管理工作计划顺利完成。根据2022年度绩效管理工作的总体目标、方向、管理策略、工作重点以及组织方式等，开展具体的绩效管理体系规划，包括绩效管理制度、考核办法、考核方案、考核流程及相关表单等。</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（五）预算及执行情况</w:t>
      </w:r>
    </w:p>
    <w:p>
      <w:pPr>
        <w:widowControl/>
        <w:spacing w:line="560" w:lineRule="exact"/>
        <w:ind w:firstLine="640" w:firstLineChars="200"/>
        <w:rPr>
          <w:rFonts w:ascii="楷体_GB2312" w:hAnsi="楷体_GB2312" w:eastAsia="仿宋_GB2312" w:cs="楷体_GB2312"/>
          <w:b/>
          <w:bCs/>
          <w:color w:val="000000" w:themeColor="text1"/>
          <w:kern w:val="0"/>
          <w:sz w:val="32"/>
          <w:szCs w:val="32"/>
        </w:rPr>
      </w:pPr>
      <w:r>
        <w:rPr>
          <w:rFonts w:hint="eastAsia" w:ascii="仿宋_GB2312" w:eastAsia="仿宋_GB2312"/>
          <w:color w:val="000000" w:themeColor="text1"/>
          <w:sz w:val="32"/>
          <w:szCs w:val="32"/>
        </w:rPr>
        <w:t>2022年本单位根据宁县财政局《关于编制2022年全县部门预算的通知》要求，严格按照预算编制方法和口径，在认真核实各项数据的基础上科学、规范编制部门预算。2022年初预算按在职人员5人。预算收入71.61万元，预算支出71.61万元（其中项目支出0万元）。</w:t>
      </w:r>
    </w:p>
    <w:p>
      <w:pPr>
        <w:widowControl/>
        <w:numPr>
          <w:ilvl w:val="0"/>
          <w:numId w:val="1"/>
        </w:numPr>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部门（单位）整体支出绩效实现情况 </w:t>
      </w:r>
    </w:p>
    <w:p>
      <w:pPr>
        <w:widowControl/>
        <w:spacing w:line="560" w:lineRule="exact"/>
        <w:ind w:firstLine="643" w:firstLineChars="200"/>
        <w:rPr>
          <w:color w:val="000000" w:themeColor="text1"/>
          <w:sz w:val="32"/>
          <w:szCs w:val="32"/>
        </w:rPr>
      </w:pPr>
      <w:r>
        <w:rPr>
          <w:rFonts w:hint="eastAsia" w:ascii="楷体_GB2312" w:hAnsi="楷体_GB2312" w:eastAsia="楷体_GB2312" w:cs="楷体_GB2312"/>
          <w:b/>
          <w:bCs/>
          <w:color w:val="000000" w:themeColor="text1"/>
          <w:kern w:val="0"/>
          <w:sz w:val="32"/>
          <w:szCs w:val="32"/>
        </w:rPr>
        <w:t>（一）履职完成情况</w:t>
      </w:r>
    </w:p>
    <w:p>
      <w:pPr>
        <w:pStyle w:val="3"/>
        <w:spacing w:line="560" w:lineRule="exact"/>
        <w:ind w:firstLine="640" w:firstLineChars="200"/>
        <w:rPr>
          <w:rFonts w:ascii="仿宋_GB2312" w:hAnsi="仿宋_GB2312" w:eastAsia="仿宋_GB2312" w:cs="仿宋_GB2312"/>
          <w:color w:val="000000" w:themeColor="text1"/>
          <w:szCs w:val="32"/>
        </w:rPr>
      </w:pPr>
      <w:r>
        <w:rPr>
          <w:rFonts w:hint="eastAsia" w:ascii="仿宋_GB2312" w:hAnsi="仿宋_GB2312" w:eastAsia="仿宋_GB2312" w:cs="仿宋_GB2312"/>
          <w:color w:val="000000" w:themeColor="text1"/>
          <w:szCs w:val="32"/>
        </w:rPr>
        <w:t>2022年以来，</w:t>
      </w:r>
      <w:r>
        <w:rPr>
          <w:rFonts w:hint="eastAsia" w:ascii="仿宋_GB2312" w:hAnsi="仿宋_GB2312" w:eastAsia="仿宋_GB2312" w:cs="仿宋_GB2312"/>
          <w:color w:val="000000" w:themeColor="text1"/>
          <w:szCs w:val="32"/>
          <w:shd w:val="clear" w:color="auto" w:fill="FFFFFF"/>
        </w:rPr>
        <w:t>工作中始终正视困难和问题，积极应对挑战，</w:t>
      </w:r>
      <w:r>
        <w:rPr>
          <w:rFonts w:hint="eastAsia" w:ascii="仿宋_GB2312" w:hAnsi="仿宋_GB2312" w:eastAsia="仿宋_GB2312" w:cs="仿宋_GB2312"/>
          <w:color w:val="000000" w:themeColor="text1"/>
          <w:szCs w:val="32"/>
        </w:rPr>
        <w:t>加强队伍建设，落实工作措施，全力组织收入，较好地完成了县委年初确定的各项目标任务</w:t>
      </w:r>
      <w:r>
        <w:rPr>
          <w:rFonts w:hint="eastAsia" w:ascii="仿宋_GB2312" w:hAnsi="仿宋_GB2312" w:eastAsia="仿宋_GB2312" w:cs="仿宋_GB2312"/>
          <w:color w:val="000000" w:themeColor="text1"/>
          <w:szCs w:val="32"/>
          <w:shd w:val="clear" w:color="auto" w:fill="FFFFFF"/>
        </w:rPr>
        <w:t>。</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（二）履职效果情况</w:t>
      </w:r>
    </w:p>
    <w:p>
      <w:pPr>
        <w:widowControl/>
        <w:spacing w:line="56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1、经济效益。全县妇女儿童事业得到快速发展。</w:t>
      </w:r>
    </w:p>
    <w:p>
      <w:pPr>
        <w:widowControl/>
        <w:spacing w:line="56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2、社会效益。妇女儿童得到全社会关爱。</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（三）社会满意度及可持续性影响</w:t>
      </w:r>
    </w:p>
    <w:p>
      <w:pPr>
        <w:widowControl/>
        <w:spacing w:line="56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宁县妇联立足全县实际，服务全县工作大局，为全县经济社会高质量发展凝聚了群众力量，巩固了思想基础。</w:t>
      </w:r>
    </w:p>
    <w:p>
      <w:pPr>
        <w:widowControl/>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三、单位整体支出绩效中存在问题及改进措施 </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（一）主要问题及原因分析 </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2022年度由于单位职工正常工资晋升和科学发展观业绩奖，致使我单位实际支出情况与预算支出存在一定差距，预算执行进度缓慢。</w:t>
      </w:r>
    </w:p>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（二）改进的方向和具体措施 </w:t>
      </w:r>
    </w:p>
    <w:p>
      <w:pPr>
        <w:widowControl/>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进度。</w:t>
      </w:r>
    </w:p>
    <w:p>
      <w:pPr>
        <w:widowControl/>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四、绩效自评结果拟应用和公开情况 </w:t>
      </w:r>
    </w:p>
    <w:p>
      <w:pPr>
        <w:widowControl/>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2022年单位预算编制基础数据真实可靠，按照年度工作计划和支出标准合理编制预算方案，预算数据按要求及时报送。并依据预算信息公开要求，按时按期在宁县人民政府网站公开。</w:t>
      </w:r>
    </w:p>
    <w:p>
      <w:pPr>
        <w:widowControl/>
        <w:spacing w:line="560"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五、其他需要说明的问题</w:t>
      </w:r>
    </w:p>
    <w:p>
      <w:pPr>
        <w:adjustRightInd w:val="0"/>
        <w:snapToGrid w:val="0"/>
        <w:spacing w:line="560" w:lineRule="exact"/>
        <w:ind w:firstLine="640" w:firstLineChars="200"/>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无其他说明。</w:t>
      </w:r>
    </w:p>
    <w:p>
      <w:pPr>
        <w:pStyle w:val="2"/>
        <w:ind w:left="0" w:leftChars="0"/>
        <w:rPr>
          <w:rFonts w:ascii="仿宋_GB2312" w:hAnsi="仿宋_GB2312" w:eastAsia="仿宋_GB2312" w:cs="仿宋_GB2312"/>
          <w:color w:val="000000" w:themeColor="text1"/>
          <w:sz w:val="32"/>
          <w:szCs w:val="32"/>
        </w:rPr>
      </w:pPr>
    </w:p>
    <w:p>
      <w:pPr>
        <w:pStyle w:val="2"/>
        <w:ind w:firstLine="4480" w:firstLineChars="14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宁县妇女联合会</w:t>
      </w:r>
    </w:p>
    <w:p>
      <w:pPr>
        <w:pStyle w:val="2"/>
        <w:ind w:firstLine="4480" w:firstLineChars="1400"/>
        <w:rPr>
          <w:rFonts w:hint="eastAsia" w:ascii="仿宋_GB2312" w:eastAsia="仿宋_GB2312"/>
          <w:sz w:val="32"/>
          <w:szCs w:val="32"/>
          <w:lang w:eastAsia="zh-CN"/>
        </w:rPr>
      </w:pPr>
      <w:r>
        <w:rPr>
          <w:rFonts w:hint="eastAsia" w:ascii="仿宋_GB2312" w:hAnsi="仿宋_GB2312" w:eastAsia="仿宋_GB2312" w:cs="仿宋_GB2312"/>
          <w:color w:val="000000" w:themeColor="text1"/>
          <w:sz w:val="32"/>
          <w:szCs w:val="32"/>
        </w:rPr>
        <w:t>2023年10月1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lang w:eastAsia="zh-CN"/>
        </w:rPr>
        <w:t>日</w:t>
      </w:r>
    </w:p>
    <w:p>
      <w:pPr>
        <w:tabs>
          <w:tab w:val="left" w:pos="2816"/>
        </w:tabs>
        <w:spacing w:line="578" w:lineRule="exact"/>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ind w:left="0" w:leftChars="0" w:firstLine="0" w:firstLineChars="0"/>
        <w:rPr>
          <w:rFonts w:ascii="仿宋_GB2312" w:eastAsia="仿宋_GB2312"/>
          <w:sz w:val="32"/>
          <w:szCs w:val="32"/>
        </w:rPr>
      </w:pPr>
    </w:p>
    <w:p>
      <w:pPr>
        <w:spacing w:line="578" w:lineRule="exact"/>
        <w:rPr>
          <w:rFonts w:ascii="仿宋_GB2312" w:eastAsia="仿宋_GB2312"/>
          <w:sz w:val="32"/>
          <w:szCs w:val="32"/>
        </w:rPr>
      </w:pPr>
    </w:p>
    <w:p>
      <w:pPr>
        <w:spacing w:line="578" w:lineRule="exact"/>
        <w:rPr>
          <w:rFonts w:ascii="宋体" w:hAnsi="宋体"/>
          <w:sz w:val="32"/>
          <w:szCs w:val="32"/>
          <w:u w:val="single"/>
        </w:rPr>
      </w:pPr>
      <w:r>
        <w:rPr>
          <w:rFonts w:hint="eastAsia" w:ascii="黑体" w:eastAsia="黑体"/>
          <w:sz w:val="32"/>
          <w:szCs w:val="32"/>
          <w:u w:val="single"/>
        </w:rPr>
        <w:t xml:space="preserve">                     </w:t>
      </w:r>
      <w:r>
        <w:rPr>
          <w:rFonts w:hint="eastAsia" w:ascii="宋体" w:hAnsi="宋体"/>
          <w:sz w:val="32"/>
          <w:szCs w:val="32"/>
          <w:u w:val="single"/>
        </w:rPr>
        <w:t xml:space="preserve">                                   </w:t>
      </w:r>
    </w:p>
    <w:p>
      <w:pPr>
        <w:pBdr>
          <w:bottom w:val="single" w:color="auto" w:sz="4" w:space="0"/>
        </w:pBdr>
        <w:spacing w:line="578" w:lineRule="exact"/>
        <w:rPr>
          <w:rFonts w:ascii="仿宋_GB2312" w:eastAsia="仿宋_GB2312"/>
          <w:sz w:val="32"/>
          <w:szCs w:val="32"/>
        </w:rPr>
      </w:pPr>
      <w:r>
        <w:rPr>
          <w:rFonts w:hint="eastAsia" w:ascii="仿宋_GB2312" w:eastAsia="仿宋_GB2312"/>
          <w:sz w:val="32"/>
          <w:szCs w:val="32"/>
        </w:rPr>
        <w:t>宁县妇女联合会                   2023年10月1</w:t>
      </w:r>
      <w:r>
        <w:rPr>
          <w:rFonts w:hint="eastAsia" w:ascii="仿宋_GB2312" w:eastAsia="仿宋_GB2312"/>
          <w:sz w:val="32"/>
          <w:szCs w:val="32"/>
          <w:lang w:val="en-US" w:eastAsia="zh-CN"/>
        </w:rPr>
        <w:t>9</w:t>
      </w:r>
      <w:r>
        <w:rPr>
          <w:rFonts w:hint="eastAsia" w:ascii="仿宋_GB2312" w:eastAsia="仿宋_GB2312"/>
          <w:sz w:val="32"/>
          <w:szCs w:val="32"/>
        </w:rPr>
        <w:t>日印发</w:t>
      </w:r>
    </w:p>
    <w:p>
      <w:pPr>
        <w:pStyle w:val="2"/>
        <w:rPr>
          <w:rFonts w:ascii="仿宋_GB2312" w:hAnsi="仿宋_GB2312" w:eastAsia="仿宋_GB2312" w:cs="仿宋_GB2312"/>
          <w:color w:val="000000" w:themeColor="text1"/>
          <w:sz w:val="32"/>
          <w:szCs w:val="32"/>
        </w:rPr>
      </w:pPr>
      <w:r>
        <w:rPr>
          <w:rFonts w:hint="eastAsia" w:ascii="仿宋_GB2312" w:eastAsia="仿宋_GB2312"/>
          <w:sz w:val="32"/>
          <w:szCs w:val="32"/>
        </w:rPr>
        <w:t xml:space="preserve">                                      （共印5份）</w:t>
      </w:r>
    </w:p>
    <w:sectPr>
      <w:footerReference r:id="rId3" w:type="default"/>
      <w:pgSz w:w="11906" w:h="16838"/>
      <w:pgMar w:top="2098" w:right="1531" w:bottom="1984"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- 6 -</w:t>
                </w:r>
                <w:r>
                  <w:rPr>
                    <w:rFonts w:hint="eastAsia"/>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RhOThiNzdlMGVlYzE1YjQ3ZThjOTE5NzFkMTlhM2MifQ=="/>
  </w:docVars>
  <w:rsids>
    <w:rsidRoot w:val="00351A27"/>
    <w:rsid w:val="00153383"/>
    <w:rsid w:val="00167059"/>
    <w:rsid w:val="001A309B"/>
    <w:rsid w:val="00236F1A"/>
    <w:rsid w:val="002B7ECB"/>
    <w:rsid w:val="003364ED"/>
    <w:rsid w:val="00351A27"/>
    <w:rsid w:val="003736B8"/>
    <w:rsid w:val="0059773A"/>
    <w:rsid w:val="005C4762"/>
    <w:rsid w:val="006434D8"/>
    <w:rsid w:val="0065492B"/>
    <w:rsid w:val="008D2670"/>
    <w:rsid w:val="008E64DB"/>
    <w:rsid w:val="008F6858"/>
    <w:rsid w:val="00962603"/>
    <w:rsid w:val="00BF4031"/>
    <w:rsid w:val="00C503F3"/>
    <w:rsid w:val="00C63208"/>
    <w:rsid w:val="00C76E97"/>
    <w:rsid w:val="00CE0388"/>
    <w:rsid w:val="00E930DC"/>
    <w:rsid w:val="00F041CA"/>
    <w:rsid w:val="016B2F5B"/>
    <w:rsid w:val="03FE1988"/>
    <w:rsid w:val="052E4C1C"/>
    <w:rsid w:val="08361D36"/>
    <w:rsid w:val="09BD2026"/>
    <w:rsid w:val="09DA4649"/>
    <w:rsid w:val="0C2D2B48"/>
    <w:rsid w:val="0C811679"/>
    <w:rsid w:val="0E056A05"/>
    <w:rsid w:val="0E8C6293"/>
    <w:rsid w:val="11B521E3"/>
    <w:rsid w:val="1230359D"/>
    <w:rsid w:val="12802254"/>
    <w:rsid w:val="1485147D"/>
    <w:rsid w:val="17184941"/>
    <w:rsid w:val="18D961C6"/>
    <w:rsid w:val="18FB6221"/>
    <w:rsid w:val="1AF00B1E"/>
    <w:rsid w:val="1D1F4B16"/>
    <w:rsid w:val="1E815B73"/>
    <w:rsid w:val="1F3439E3"/>
    <w:rsid w:val="201E5705"/>
    <w:rsid w:val="20AF6F9F"/>
    <w:rsid w:val="21750F58"/>
    <w:rsid w:val="228C3CE9"/>
    <w:rsid w:val="23AE4FF1"/>
    <w:rsid w:val="248A3CA5"/>
    <w:rsid w:val="270B3CAD"/>
    <w:rsid w:val="27AC5BF0"/>
    <w:rsid w:val="28A716DB"/>
    <w:rsid w:val="2A48639C"/>
    <w:rsid w:val="2A6A6FB7"/>
    <w:rsid w:val="2B1645C6"/>
    <w:rsid w:val="2C7D37B3"/>
    <w:rsid w:val="2DAB7EBB"/>
    <w:rsid w:val="2EDE49DD"/>
    <w:rsid w:val="2F446F61"/>
    <w:rsid w:val="2FDD7A4A"/>
    <w:rsid w:val="313E12EB"/>
    <w:rsid w:val="31DD337C"/>
    <w:rsid w:val="349E17D4"/>
    <w:rsid w:val="35D0331F"/>
    <w:rsid w:val="3A253305"/>
    <w:rsid w:val="3A8341BE"/>
    <w:rsid w:val="3C1234F5"/>
    <w:rsid w:val="3C830C8E"/>
    <w:rsid w:val="3D0F48FB"/>
    <w:rsid w:val="401C68E9"/>
    <w:rsid w:val="43B809CD"/>
    <w:rsid w:val="446522B1"/>
    <w:rsid w:val="45970F76"/>
    <w:rsid w:val="46537138"/>
    <w:rsid w:val="46AB67F5"/>
    <w:rsid w:val="49D43DD6"/>
    <w:rsid w:val="4AB0746D"/>
    <w:rsid w:val="4B647DCE"/>
    <w:rsid w:val="4BBB777F"/>
    <w:rsid w:val="4C4449F6"/>
    <w:rsid w:val="4DD61F1E"/>
    <w:rsid w:val="4E242F68"/>
    <w:rsid w:val="50F104F7"/>
    <w:rsid w:val="514B3685"/>
    <w:rsid w:val="51CD53FC"/>
    <w:rsid w:val="525C0D8D"/>
    <w:rsid w:val="53834A53"/>
    <w:rsid w:val="53B4545D"/>
    <w:rsid w:val="54CD255A"/>
    <w:rsid w:val="559B3CF9"/>
    <w:rsid w:val="55FA5A2E"/>
    <w:rsid w:val="57101C7D"/>
    <w:rsid w:val="57945CD1"/>
    <w:rsid w:val="58A03401"/>
    <w:rsid w:val="58E05BE3"/>
    <w:rsid w:val="5A4524A8"/>
    <w:rsid w:val="5C64301A"/>
    <w:rsid w:val="5D1515F2"/>
    <w:rsid w:val="5D39278F"/>
    <w:rsid w:val="5D8B6D68"/>
    <w:rsid w:val="5DB46388"/>
    <w:rsid w:val="5DEB1CA6"/>
    <w:rsid w:val="5E136900"/>
    <w:rsid w:val="61D17CA1"/>
    <w:rsid w:val="65650AF0"/>
    <w:rsid w:val="65DA6FA5"/>
    <w:rsid w:val="662B5774"/>
    <w:rsid w:val="66E3558B"/>
    <w:rsid w:val="66EE4D2F"/>
    <w:rsid w:val="681125E2"/>
    <w:rsid w:val="69E10832"/>
    <w:rsid w:val="69F9266C"/>
    <w:rsid w:val="6A01163F"/>
    <w:rsid w:val="6A885221"/>
    <w:rsid w:val="6BA1269C"/>
    <w:rsid w:val="6C0C6146"/>
    <w:rsid w:val="6D0C2695"/>
    <w:rsid w:val="6E6B4F1F"/>
    <w:rsid w:val="70EB6F9A"/>
    <w:rsid w:val="713E7A9B"/>
    <w:rsid w:val="727E3A85"/>
    <w:rsid w:val="72F409F7"/>
    <w:rsid w:val="730E64E0"/>
    <w:rsid w:val="736B3732"/>
    <w:rsid w:val="759D4CC8"/>
    <w:rsid w:val="78B753CA"/>
    <w:rsid w:val="7A3F269D"/>
    <w:rsid w:val="7D1D0439"/>
    <w:rsid w:val="7EAF501B"/>
    <w:rsid w:val="7F34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w:basedOn w:val="1"/>
    <w:qFormat/>
    <w:uiPriority w:val="0"/>
    <w:rPr>
      <w:rFonts w:ascii="宋体" w:hAnsi="宋体" w:eastAsia="宋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kern w:val="0"/>
      <w:szCs w:val="21"/>
    </w:rPr>
  </w:style>
  <w:style w:type="character" w:customStyle="1" w:styleId="11">
    <w:name w:val="NormalCharacter"/>
    <w:semiHidden/>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327</Words>
  <Characters>1869</Characters>
  <Lines>15</Lines>
  <Paragraphs>4</Paragraphs>
  <TotalTime>425</TotalTime>
  <ScaleCrop>false</ScaleCrop>
  <LinksUpToDate>false</LinksUpToDate>
  <CharactersWithSpaces>2192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预提louve</cp:lastModifiedBy>
  <cp:lastPrinted>2023-10-19T09:30:00Z</cp:lastPrinted>
  <dcterms:modified xsi:type="dcterms:W3CDTF">2023-10-27T00:48:52Z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C677345E59D2450CA1F9878BCA253BC9</vt:lpwstr>
  </property>
</Properties>
</file>