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C9" w:rsidRDefault="002C6319" w:rsidP="00621941">
      <w:pPr>
        <w:tabs>
          <w:tab w:val="left" w:pos="360"/>
          <w:tab w:val="left" w:pos="2520"/>
          <w:tab w:val="left" w:pos="5760"/>
          <w:tab w:val="left" w:pos="7920"/>
        </w:tabs>
        <w:spacing w:beforeLines="50"/>
        <w:jc w:val="center"/>
        <w:rPr>
          <w:rFonts w:eastAsia="方正小标宋简体"/>
          <w:sz w:val="40"/>
          <w:szCs w:val="40"/>
        </w:rPr>
      </w:pPr>
      <w:r>
        <w:rPr>
          <w:rStyle w:val="content1"/>
          <w:rFonts w:ascii="仿宋_GB2312" w:eastAsia="仿宋_GB2312" w:hint="eastAsia"/>
          <w:sz w:val="32"/>
          <w:szCs w:val="32"/>
        </w:rPr>
        <w:t xml:space="preserve"> </w:t>
      </w:r>
      <w:r w:rsidR="009D368E">
        <w:rPr>
          <w:rFonts w:eastAsia="方正小标宋简体" w:hint="eastAsia"/>
          <w:sz w:val="40"/>
          <w:szCs w:val="40"/>
        </w:rPr>
        <w:t>宁</w:t>
      </w:r>
      <w:r>
        <w:rPr>
          <w:rFonts w:eastAsia="方正小标宋简体" w:hint="eastAsia"/>
          <w:sz w:val="40"/>
          <w:szCs w:val="40"/>
        </w:rPr>
        <w:t>县发展和改革局</w:t>
      </w:r>
    </w:p>
    <w:p w:rsidR="00DD5BC9" w:rsidRDefault="002C6319">
      <w:pPr>
        <w:spacing w:line="660" w:lineRule="exact"/>
        <w:jc w:val="center"/>
        <w:rPr>
          <w:rFonts w:eastAsia="方正小标宋简体"/>
          <w:sz w:val="40"/>
          <w:szCs w:val="40"/>
        </w:rPr>
      </w:pPr>
      <w:r>
        <w:rPr>
          <w:rFonts w:ascii="方正小标宋简体" w:eastAsia="方正小标宋简体" w:hAnsi="方正小标宋简体" w:cs="方正小标宋简体" w:hint="eastAsia"/>
          <w:sz w:val="40"/>
          <w:szCs w:val="40"/>
        </w:rPr>
        <w:t>2023</w:t>
      </w:r>
      <w:r>
        <w:rPr>
          <w:rFonts w:eastAsia="方正小标宋简体" w:hint="eastAsia"/>
          <w:sz w:val="40"/>
          <w:szCs w:val="40"/>
        </w:rPr>
        <w:t>年</w:t>
      </w:r>
      <w:r>
        <w:rPr>
          <w:rFonts w:eastAsia="方正小标宋简体"/>
          <w:sz w:val="40"/>
          <w:szCs w:val="40"/>
        </w:rPr>
        <w:t>部门整体支出绩效自评报告</w:t>
      </w:r>
    </w:p>
    <w:p w:rsidR="00DD5BC9" w:rsidRDefault="00DD5BC9">
      <w:pPr>
        <w:spacing w:line="660" w:lineRule="exact"/>
        <w:jc w:val="center"/>
        <w:rPr>
          <w:rFonts w:eastAsia="方正小标宋简体"/>
          <w:sz w:val="40"/>
          <w:szCs w:val="40"/>
        </w:rPr>
      </w:pPr>
    </w:p>
    <w:p w:rsidR="00DD5BC9" w:rsidRDefault="002C6319">
      <w:pPr>
        <w:spacing w:line="560" w:lineRule="exact"/>
        <w:ind w:firstLineChars="200" w:firstLine="640"/>
        <w:rPr>
          <w:rFonts w:eastAsia="黑体"/>
          <w:sz w:val="32"/>
          <w:szCs w:val="32"/>
        </w:rPr>
      </w:pPr>
      <w:r>
        <w:rPr>
          <w:rFonts w:eastAsia="黑体"/>
          <w:sz w:val="32"/>
          <w:szCs w:val="32"/>
        </w:rPr>
        <w:t>一、部门概况</w:t>
      </w:r>
    </w:p>
    <w:p w:rsidR="00DD5BC9" w:rsidRDefault="002C6319">
      <w:pPr>
        <w:overflowPunct w:val="0"/>
        <w:spacing w:line="560" w:lineRule="exact"/>
        <w:ind w:rightChars="-50" w:right="-105"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（一）部门主要职责职能，组织架构、人员及资产等基本情况</w:t>
      </w:r>
    </w:p>
    <w:p w:rsidR="00DD5BC9" w:rsidRDefault="002C6319">
      <w:pPr>
        <w:pStyle w:val="KMText"/>
        <w:spacing w:line="560" w:lineRule="exact"/>
        <w:ind w:firstLineChars="200" w:firstLine="640"/>
        <w:rPr>
          <w:rFonts w:ascii="仿宋_GB2312" w:eastAsia="仿宋_GB2312" w:hAnsi="仿宋_GB2312" w:cs="仿宋_GB2312"/>
          <w:color w:val="333333"/>
          <w:sz w:val="32"/>
          <w:szCs w:val="32"/>
          <w:lang w:val="en-US" w:eastAsia="zh-CN"/>
        </w:rPr>
      </w:pPr>
      <w:r>
        <w:rPr>
          <w:rFonts w:ascii="仿宋_GB2312" w:eastAsia="仿宋_GB2312" w:hAnsi="仿宋_GB2312" w:cs="仿宋_GB2312" w:hint="eastAsia"/>
          <w:color w:val="333333"/>
          <w:sz w:val="32"/>
          <w:szCs w:val="32"/>
          <w:lang w:val="en-US" w:eastAsia="zh-CN"/>
        </w:rPr>
        <w:t>1.部门主要职责</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（一）拟订并组织实施全县国民经济和社会发展战略、中长期规划和年度计划</w:t>
      </w:r>
      <w:r w:rsidR="009D368E">
        <w:rPr>
          <w:rFonts w:ascii="仿宋_GB2312" w:eastAsia="仿宋_GB2312" w:hAnsi="仿宋_GB2312" w:cs="仿宋_GB2312" w:hint="eastAsia"/>
          <w:color w:val="333333"/>
          <w:kern w:val="0"/>
          <w:sz w:val="32"/>
          <w:szCs w:val="32"/>
        </w:rPr>
        <w:t>，牵头组织县级统一规划体系建设，</w:t>
      </w:r>
      <w:r>
        <w:rPr>
          <w:rFonts w:ascii="仿宋_GB2312" w:eastAsia="仿宋_GB2312" w:hAnsi="仿宋_GB2312" w:cs="仿宋_GB2312" w:hint="eastAsia"/>
          <w:color w:val="333333"/>
          <w:kern w:val="0"/>
          <w:sz w:val="32"/>
          <w:szCs w:val="32"/>
        </w:rPr>
        <w:t>负责县级专项规划、区域规划与全县经济社会发展总体规划的统筹衔接。起草国民经济和社会发展、经济体制改革和对外开放的有关草案</w:t>
      </w:r>
      <w:r w:rsidR="009D368E">
        <w:rPr>
          <w:rFonts w:ascii="仿宋_GB2312" w:eastAsia="仿宋_GB2312" w:hAnsi="仿宋_GB2312" w:cs="仿宋_GB2312" w:hint="eastAsia"/>
          <w:color w:val="333333"/>
          <w:kern w:val="0"/>
          <w:sz w:val="32"/>
          <w:szCs w:val="32"/>
        </w:rPr>
        <w:t>。</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（二）提出加快建设现代化经济体系、推动高质量发展的总体目标、重大任务以及相关政策。组织开展重大规划、重大政策、重大工程等评估督导，提出相关调整建议。</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统筹提出全县国民经济和社会发展主要目标，监测预警宏观经济和社会发展态势趋势，提出宏观调整政策建议。综合协调宏观经济政策，牵头研究宏观经济应对措施。调节经济运行，协调解决经济运行中的重大问题。拟订并组织实施有关价格政策，组织制定县管的重要商品、服务价格和重要收费标准。组织开展价格成本调查和监审、市场价格监测、价格听证、价格综合工作。指导全县价格和收费管理工作。</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（四）指导推进和综合协调经济体制改革有关工作，提出</w:t>
      </w:r>
      <w:r>
        <w:rPr>
          <w:rFonts w:ascii="仿宋_GB2312" w:eastAsia="仿宋_GB2312" w:hAnsi="仿宋_GB2312" w:cs="仿宋_GB2312" w:hint="eastAsia"/>
          <w:color w:val="333333"/>
          <w:kern w:val="0"/>
          <w:sz w:val="32"/>
          <w:szCs w:val="32"/>
        </w:rPr>
        <w:lastRenderedPageBreak/>
        <w:t>相关改革建议。牵头推进供给侧结构性改革。协调推进产权制度和要素市场化配置改革。推动完善基本经济制度和现代市场体系建设，会同相关部门组织实施市场准入负面清单制度。牵头推进营商环境评价工作。</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（五）提出利用外资和境外投资的规划、总量平衡和结构优化政策。推进“一带一路”建设。统筹协调走出去有关工作，会同有关部门组织实施外商投资准入负面清单。</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负责投资综合管理，拟订全县固定资产投资总规模、结构调控目标和政策，会同相关部门拟定政府投资项目审批权限和政府核准的固定资产投资项目目录。安排县级预算内建设资金。按规定权限审批、核准、备案、审核各类建设项目。规划重大建设项目和生产力布局。牵头组织重特大自然灾害的灾后恢复重建规划编制，协调有关重大问题。负责全县重点项目建设管理、考核工作。拟定并推动落实鼓励民间投资政策措施。</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七）组织拟订并推进落实区域协调发展战略、新型城镇化规划和重大政策，组织拟订相关区域规划和政策。统筹推进实施国家重大区域发展战略。组织拟订和实施特困地区振兴发展规划和政策，组织乡镇实施以工代赈、易地扶贫搬迁项目。统筹协调区域合作和对口支援工作。组织编制并推动实施新型城镇化规划。统筹开发区建设与发展工作。</w:t>
      </w:r>
    </w:p>
    <w:p w:rsidR="00A804A3"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（八）</w:t>
      </w:r>
      <w:r w:rsidR="00A804A3">
        <w:rPr>
          <w:rFonts w:ascii="仿宋_GB2312" w:eastAsia="仿宋_GB2312" w:hAnsi="仿宋_GB2312" w:cs="仿宋_GB2312" w:hint="eastAsia"/>
          <w:color w:val="333333"/>
          <w:kern w:val="0"/>
          <w:sz w:val="32"/>
          <w:szCs w:val="32"/>
        </w:rPr>
        <w:t>跟踪研判涉及经济安全领域各类风险隐患，提出相关工作建议。研究分析市场供求状况，做好重要商品供求的总量平衡，组织制定重要农产品、生产资料批发市场发展规划和调控政策。</w:t>
      </w:r>
    </w:p>
    <w:p w:rsidR="00A804A3"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（九）</w:t>
      </w:r>
      <w:r w:rsidR="00A804A3">
        <w:rPr>
          <w:rFonts w:ascii="仿宋_GB2312" w:eastAsia="仿宋_GB2312" w:hAnsi="仿宋_GB2312" w:cs="仿宋_GB2312" w:hint="eastAsia"/>
          <w:color w:val="333333"/>
          <w:kern w:val="0"/>
          <w:sz w:val="32"/>
          <w:szCs w:val="32"/>
        </w:rPr>
        <w:t>负责社会发展与国民经济发展的政策衔接，协调有关重大问题。组织拟订社会发展政策、总体规划，统筹推进基本公共服务体系建设和收入分配制度改革，提出促进就业，完善社会保障与经济协调发展的政策建议。牵头开展社会信用体系建设。</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w:t>
      </w:r>
      <w:r w:rsidR="00A804A3">
        <w:rPr>
          <w:rFonts w:ascii="仿宋_GB2312" w:eastAsia="仿宋_GB2312" w:hAnsi="仿宋_GB2312" w:cs="仿宋_GB2312" w:hint="eastAsia"/>
          <w:color w:val="333333"/>
          <w:kern w:val="0"/>
          <w:sz w:val="32"/>
          <w:szCs w:val="32"/>
        </w:rPr>
        <w:t>推进实施可持续发展战略，推动生态文明建设和改革，协调生态环境保护与修复、发展循环经济，能源资源节约和综合利用等工作。推进落实生态保护补偿机制的政策措施，综合协调环保产业和清洁生产促进有关工作。提出能源消费控制目标、任务并组织实施。</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（十一）</w:t>
      </w:r>
      <w:r w:rsidR="00A804A3">
        <w:rPr>
          <w:rFonts w:ascii="仿宋_GB2312" w:eastAsia="仿宋_GB2312" w:hAnsi="仿宋_GB2312" w:cs="仿宋_GB2312" w:hint="eastAsia"/>
          <w:color w:val="333333"/>
          <w:kern w:val="0"/>
          <w:sz w:val="32"/>
          <w:szCs w:val="32"/>
        </w:rPr>
        <w:t>贯彻落实军民融合发展战略、方针和决策部署，统筹推进军民融合相关工作。协调全县国民经济动员与国防建设的关系及有关问题，组织编制国民经济动员规划。推进全县国防经济动员、军民融合发展工作</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（十二）</w:t>
      </w:r>
      <w:r w:rsidR="00A804A3">
        <w:rPr>
          <w:rFonts w:ascii="仿宋_GB2312" w:eastAsia="仿宋_GB2312" w:hAnsi="仿宋_GB2312" w:cs="仿宋_GB2312" w:hint="eastAsia"/>
          <w:color w:val="333333"/>
          <w:kern w:val="0"/>
          <w:sz w:val="32"/>
          <w:szCs w:val="32"/>
        </w:rPr>
        <w:t>拟订并组织实施能源发展规划和政策，推进能源体制改革，实施对煤炭、石油、天然气、电力、新能源及可再生能源等能源行业管理，协调能源发展和改革中的重大问题。负责全县油气长输送管道安全保护工作。拟订能源消费总量控制工作方案并组织实施。指导协调农村能源发展、能源科技进步和能源装备相关工作。衔接能源生产建设和供需平衡、组织推进能源国际交流与合作。</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（十三）</w:t>
      </w:r>
      <w:r w:rsidR="00A804A3">
        <w:rPr>
          <w:rFonts w:ascii="仿宋_GB2312" w:eastAsia="仿宋_GB2312" w:hAnsi="仿宋_GB2312" w:cs="仿宋_GB2312" w:hint="eastAsia"/>
          <w:color w:val="333333"/>
          <w:kern w:val="0"/>
          <w:sz w:val="32"/>
          <w:szCs w:val="32"/>
        </w:rPr>
        <w:t>贯彻执行粮食流通和物资储备管理的法律法规。负责粮食、食糖、肉菜等重要消费品及应急储备物资的收储、轮换和日常管理。管理全县粮食和食糖储备，监测全县粮油供</w:t>
      </w:r>
      <w:r w:rsidR="00A804A3">
        <w:rPr>
          <w:rFonts w:ascii="仿宋_GB2312" w:eastAsia="仿宋_GB2312" w:hAnsi="仿宋_GB2312" w:cs="仿宋_GB2312" w:hint="eastAsia"/>
          <w:color w:val="333333"/>
          <w:kern w:val="0"/>
          <w:sz w:val="32"/>
          <w:szCs w:val="32"/>
        </w:rPr>
        <w:lastRenderedPageBreak/>
        <w:t>求变化并预测预警，承担全县粮食流通宏观调控的具体工作。负责储备粮行政管理，保障军队等政策性粮食供应。贯彻执行粮食和物资储备的仓储管理规范和制度。拟订全县粮食流通和储备基础设施建设规划，负责储备基础设施的建设和管理。负责对管理的政府储备、企业储备以及储备政策落实情况进行监督检查。负责粮食和物资储备信息化建设工作。承担粮食安全省长责任制考核工作。</w:t>
      </w:r>
    </w:p>
    <w:p w:rsidR="00DD5BC9" w:rsidRDefault="002C6319">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（十四）</w:t>
      </w:r>
      <w:r w:rsidR="00A804A3">
        <w:rPr>
          <w:rFonts w:ascii="仿宋_GB2312" w:eastAsia="仿宋_GB2312" w:hAnsi="仿宋_GB2312" w:cs="仿宋_GB2312" w:hint="eastAsia"/>
          <w:color w:val="333333"/>
          <w:kern w:val="0"/>
          <w:sz w:val="32"/>
          <w:szCs w:val="32"/>
        </w:rPr>
        <w:t>完成县委、县政府和市发改委交办的其他任务。</w:t>
      </w:r>
    </w:p>
    <w:p w:rsidR="00DD5BC9" w:rsidRDefault="002C6319">
      <w:pPr>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2.组织架构</w:t>
      </w:r>
    </w:p>
    <w:p w:rsidR="00DD5BC9" w:rsidRDefault="002C6319">
      <w:pPr>
        <w:pStyle w:val="6"/>
        <w:spacing w:line="560" w:lineRule="exact"/>
        <w:rPr>
          <w:rFonts w:ascii="仿宋_GB2312" w:hAnsi="仿宋_GB2312" w:cs="仿宋_GB2312"/>
          <w:bCs w:val="0"/>
          <w:color w:val="333333"/>
          <w:kern w:val="0"/>
          <w:sz w:val="32"/>
          <w:szCs w:val="32"/>
        </w:rPr>
      </w:pPr>
      <w:r>
        <w:rPr>
          <w:rFonts w:ascii="仿宋_GB2312" w:hAnsi="仿宋_GB2312" w:cs="仿宋_GB2312" w:hint="eastAsia"/>
          <w:bCs w:val="0"/>
          <w:color w:val="333333"/>
          <w:kern w:val="0"/>
          <w:sz w:val="32"/>
          <w:szCs w:val="32"/>
        </w:rPr>
        <w:t>内设办公室、固定资产投资股（行政审批股）、农村经济发展股、交通能源股、经济体制综合改革股、重点项目建设管理股、物价股、粮食股等</w:t>
      </w:r>
      <w:r w:rsidR="009D368E">
        <w:rPr>
          <w:rFonts w:ascii="仿宋_GB2312" w:hAnsi="仿宋_GB2312" w:cs="仿宋_GB2312" w:hint="eastAsia"/>
          <w:bCs w:val="0"/>
          <w:color w:val="333333"/>
          <w:kern w:val="0"/>
          <w:sz w:val="32"/>
          <w:szCs w:val="32"/>
        </w:rPr>
        <w:t>8</w:t>
      </w:r>
      <w:r>
        <w:rPr>
          <w:rFonts w:ascii="仿宋_GB2312" w:hAnsi="仿宋_GB2312" w:cs="仿宋_GB2312" w:hint="eastAsia"/>
          <w:bCs w:val="0"/>
          <w:color w:val="333333"/>
          <w:kern w:val="0"/>
          <w:sz w:val="32"/>
          <w:szCs w:val="32"/>
        </w:rPr>
        <w:t>个股级机构，下设</w:t>
      </w:r>
      <w:r w:rsidR="009D368E">
        <w:rPr>
          <w:rFonts w:ascii="仿宋_GB2312" w:hAnsi="仿宋_GB2312" w:cs="仿宋_GB2312" w:hint="eastAsia"/>
          <w:bCs w:val="0"/>
          <w:color w:val="333333"/>
          <w:kern w:val="0"/>
          <w:sz w:val="32"/>
          <w:szCs w:val="32"/>
        </w:rPr>
        <w:t>宁县</w:t>
      </w:r>
      <w:r>
        <w:rPr>
          <w:rFonts w:ascii="仿宋_GB2312" w:hAnsi="仿宋_GB2312" w:cs="仿宋_GB2312" w:hint="eastAsia"/>
          <w:bCs w:val="0"/>
          <w:color w:val="333333"/>
          <w:kern w:val="0"/>
          <w:sz w:val="32"/>
          <w:szCs w:val="32"/>
        </w:rPr>
        <w:t>项目建设办公室和</w:t>
      </w:r>
      <w:r w:rsidR="00675374">
        <w:rPr>
          <w:rFonts w:ascii="仿宋_GB2312" w:hAnsi="仿宋_GB2312" w:cs="仿宋_GB2312" w:hint="eastAsia"/>
          <w:bCs w:val="0"/>
          <w:color w:val="333333"/>
          <w:kern w:val="0"/>
          <w:sz w:val="32"/>
          <w:szCs w:val="32"/>
        </w:rPr>
        <w:t>宁县粮食稽查队</w:t>
      </w:r>
      <w:r>
        <w:rPr>
          <w:rFonts w:ascii="仿宋_GB2312" w:hAnsi="仿宋_GB2312" w:cs="仿宋_GB2312" w:hint="eastAsia"/>
          <w:bCs w:val="0"/>
          <w:color w:val="333333"/>
          <w:kern w:val="0"/>
          <w:sz w:val="32"/>
          <w:szCs w:val="32"/>
        </w:rPr>
        <w:t>，为科级事业管理单位。</w:t>
      </w:r>
    </w:p>
    <w:p w:rsidR="00DD5BC9" w:rsidRDefault="002C6319">
      <w:pPr>
        <w:pStyle w:val="6"/>
        <w:spacing w:line="560" w:lineRule="exact"/>
        <w:rPr>
          <w:rFonts w:ascii="仿宋_GB2312" w:hAnsi="仿宋" w:cs="宋体"/>
          <w:bCs w:val="0"/>
          <w:sz w:val="32"/>
          <w:szCs w:val="32"/>
        </w:rPr>
      </w:pPr>
      <w:r>
        <w:rPr>
          <w:rFonts w:ascii="仿宋_GB2312" w:hAnsi="仿宋_GB2312" w:cs="仿宋_GB2312" w:hint="eastAsia"/>
          <w:bCs w:val="0"/>
          <w:color w:val="333333"/>
          <w:kern w:val="0"/>
          <w:sz w:val="32"/>
          <w:szCs w:val="32"/>
        </w:rPr>
        <w:t>3</w:t>
      </w:r>
      <w:r>
        <w:rPr>
          <w:rFonts w:ascii="仿宋_GB2312" w:hAnsi="仿宋" w:cs="宋体" w:hint="eastAsia"/>
          <w:bCs w:val="0"/>
          <w:sz w:val="32"/>
          <w:szCs w:val="32"/>
        </w:rPr>
        <w:t>.人员编制情况</w:t>
      </w:r>
    </w:p>
    <w:p w:rsidR="00DD5BC9" w:rsidRPr="00675374" w:rsidRDefault="002C6319">
      <w:pPr>
        <w:spacing w:line="560" w:lineRule="exact"/>
        <w:ind w:firstLineChars="200" w:firstLine="640"/>
        <w:rPr>
          <w:rFonts w:ascii="仿宋_GB2312" w:eastAsia="仿宋_GB2312" w:hAnsi="仿宋_GB2312" w:cs="仿宋_GB2312"/>
          <w:color w:val="333333"/>
          <w:kern w:val="0"/>
          <w:sz w:val="32"/>
          <w:szCs w:val="32"/>
        </w:rPr>
      </w:pPr>
      <w:r w:rsidRPr="00675374">
        <w:rPr>
          <w:rFonts w:ascii="仿宋_GB2312" w:eastAsia="仿宋_GB2312" w:hAnsi="仿宋_GB2312" w:cs="仿宋_GB2312"/>
          <w:color w:val="333333"/>
          <w:kern w:val="0"/>
          <w:sz w:val="32"/>
          <w:szCs w:val="32"/>
        </w:rPr>
        <w:t>核定编制</w:t>
      </w:r>
      <w:r w:rsidR="00675374">
        <w:rPr>
          <w:rFonts w:ascii="仿宋_GB2312" w:eastAsia="仿宋_GB2312" w:hAnsi="仿宋_GB2312" w:cs="仿宋_GB2312" w:hint="eastAsia"/>
          <w:color w:val="333333"/>
          <w:kern w:val="0"/>
          <w:sz w:val="32"/>
          <w:szCs w:val="32"/>
        </w:rPr>
        <w:t>共计32</w:t>
      </w:r>
      <w:r w:rsidRPr="00675374">
        <w:rPr>
          <w:rFonts w:ascii="仿宋_GB2312" w:eastAsia="仿宋_GB2312" w:hAnsi="仿宋_GB2312" w:cs="仿宋_GB2312"/>
          <w:color w:val="333333"/>
          <w:kern w:val="0"/>
          <w:sz w:val="32"/>
          <w:szCs w:val="32"/>
        </w:rPr>
        <w:t>名，其中：</w:t>
      </w:r>
      <w:r w:rsidR="00675374">
        <w:rPr>
          <w:rFonts w:ascii="仿宋_GB2312" w:eastAsia="仿宋_GB2312" w:hAnsi="仿宋_GB2312" w:cs="仿宋_GB2312" w:hint="eastAsia"/>
          <w:color w:val="333333"/>
          <w:kern w:val="0"/>
          <w:sz w:val="32"/>
          <w:szCs w:val="32"/>
        </w:rPr>
        <w:t>机关</w:t>
      </w:r>
      <w:r w:rsidRPr="00675374">
        <w:rPr>
          <w:rFonts w:ascii="仿宋_GB2312" w:eastAsia="仿宋_GB2312" w:hAnsi="仿宋_GB2312" w:cs="仿宋_GB2312"/>
          <w:color w:val="333333"/>
          <w:kern w:val="0"/>
          <w:sz w:val="32"/>
          <w:szCs w:val="32"/>
        </w:rPr>
        <w:t>行政编制</w:t>
      </w:r>
      <w:r w:rsidR="00675374" w:rsidRPr="00675374">
        <w:rPr>
          <w:rFonts w:ascii="仿宋_GB2312" w:eastAsia="仿宋_GB2312" w:hAnsi="仿宋_GB2312" w:cs="仿宋_GB2312" w:hint="eastAsia"/>
          <w:color w:val="333333"/>
          <w:kern w:val="0"/>
          <w:sz w:val="32"/>
          <w:szCs w:val="32"/>
        </w:rPr>
        <w:t>12</w:t>
      </w:r>
      <w:r w:rsidRPr="00675374">
        <w:rPr>
          <w:rFonts w:ascii="仿宋_GB2312" w:eastAsia="仿宋_GB2312" w:hAnsi="仿宋_GB2312" w:cs="仿宋_GB2312"/>
          <w:color w:val="333333"/>
          <w:kern w:val="0"/>
          <w:sz w:val="32"/>
          <w:szCs w:val="32"/>
        </w:rPr>
        <w:t>名</w:t>
      </w:r>
      <w:r w:rsidR="00675374">
        <w:rPr>
          <w:rFonts w:ascii="仿宋_GB2312" w:eastAsia="仿宋_GB2312" w:hAnsi="仿宋_GB2312" w:cs="仿宋_GB2312" w:hint="eastAsia"/>
          <w:color w:val="333333"/>
          <w:kern w:val="0"/>
          <w:sz w:val="32"/>
          <w:szCs w:val="32"/>
        </w:rPr>
        <w:t>，</w:t>
      </w:r>
      <w:r w:rsidR="00675374" w:rsidRPr="00675374">
        <w:rPr>
          <w:rFonts w:ascii="仿宋_GB2312" w:eastAsia="仿宋_GB2312" w:hAnsi="仿宋_GB2312" w:cs="仿宋_GB2312" w:hint="eastAsia"/>
          <w:color w:val="333333"/>
          <w:kern w:val="0"/>
          <w:sz w:val="32"/>
          <w:szCs w:val="32"/>
        </w:rPr>
        <w:t>宁县</w:t>
      </w:r>
      <w:r w:rsidRPr="00675374">
        <w:rPr>
          <w:rFonts w:ascii="仿宋_GB2312" w:eastAsia="仿宋_GB2312" w:hAnsi="仿宋_GB2312" w:cs="仿宋_GB2312" w:hint="eastAsia"/>
          <w:color w:val="333333"/>
          <w:kern w:val="0"/>
          <w:sz w:val="32"/>
          <w:szCs w:val="32"/>
        </w:rPr>
        <w:t>项目建设办公室为参照公务员管理事业单位核编</w:t>
      </w:r>
      <w:r w:rsidR="00675374">
        <w:rPr>
          <w:rFonts w:ascii="仿宋_GB2312" w:eastAsia="仿宋_GB2312" w:hAnsi="仿宋_GB2312" w:cs="仿宋_GB2312" w:hint="eastAsia"/>
          <w:color w:val="333333"/>
          <w:kern w:val="0"/>
          <w:sz w:val="32"/>
          <w:szCs w:val="32"/>
        </w:rPr>
        <w:t>2名，</w:t>
      </w:r>
      <w:r w:rsidR="00675374" w:rsidRPr="00675374">
        <w:rPr>
          <w:rFonts w:ascii="仿宋_GB2312" w:eastAsia="仿宋_GB2312" w:hAnsi="仿宋_GB2312" w:cs="仿宋_GB2312" w:hint="eastAsia"/>
          <w:color w:val="333333"/>
          <w:kern w:val="0"/>
          <w:sz w:val="32"/>
          <w:szCs w:val="32"/>
        </w:rPr>
        <w:t>宁县粮食稽查队</w:t>
      </w:r>
      <w:r w:rsidR="00675374">
        <w:rPr>
          <w:rFonts w:ascii="仿宋_GB2312" w:eastAsia="仿宋_GB2312" w:hAnsi="仿宋_GB2312" w:cs="仿宋_GB2312" w:hint="eastAsia"/>
          <w:color w:val="333333"/>
          <w:kern w:val="0"/>
          <w:sz w:val="32"/>
          <w:szCs w:val="32"/>
        </w:rPr>
        <w:t>为副科级事业单位，核定事业编制7名，</w:t>
      </w:r>
      <w:r w:rsidRPr="00675374">
        <w:rPr>
          <w:rFonts w:ascii="仿宋_GB2312" w:eastAsia="仿宋_GB2312" w:hAnsi="仿宋_GB2312" w:cs="仿宋_GB2312" w:hint="eastAsia"/>
          <w:color w:val="333333"/>
          <w:kern w:val="0"/>
          <w:sz w:val="32"/>
          <w:szCs w:val="32"/>
        </w:rPr>
        <w:t>股级事业单位</w:t>
      </w:r>
      <w:r w:rsidR="00675374">
        <w:rPr>
          <w:rFonts w:ascii="仿宋_GB2312" w:eastAsia="仿宋_GB2312" w:hAnsi="仿宋_GB2312" w:cs="仿宋_GB2312" w:hint="eastAsia"/>
          <w:color w:val="333333"/>
          <w:kern w:val="0"/>
          <w:sz w:val="32"/>
          <w:szCs w:val="32"/>
        </w:rPr>
        <w:t>宁县节能监察执法大队核定</w:t>
      </w:r>
      <w:r w:rsidRPr="00675374">
        <w:rPr>
          <w:rFonts w:ascii="仿宋_GB2312" w:eastAsia="仿宋_GB2312" w:hAnsi="仿宋_GB2312" w:cs="仿宋_GB2312" w:hint="eastAsia"/>
          <w:color w:val="333333"/>
          <w:kern w:val="0"/>
          <w:sz w:val="32"/>
          <w:szCs w:val="32"/>
        </w:rPr>
        <w:t>事业编</w:t>
      </w:r>
      <w:r w:rsidR="00675374">
        <w:rPr>
          <w:rFonts w:ascii="仿宋_GB2312" w:eastAsia="仿宋_GB2312" w:hAnsi="仿宋_GB2312" w:cs="仿宋_GB2312" w:hint="eastAsia"/>
          <w:color w:val="333333"/>
          <w:kern w:val="0"/>
          <w:sz w:val="32"/>
          <w:szCs w:val="32"/>
        </w:rPr>
        <w:t>11名。</w:t>
      </w:r>
      <w:r w:rsidRPr="00675374">
        <w:rPr>
          <w:rFonts w:ascii="仿宋_GB2312" w:eastAsia="仿宋_GB2312" w:hAnsi="仿宋_GB2312" w:cs="仿宋_GB2312"/>
          <w:color w:val="333333"/>
          <w:kern w:val="0"/>
          <w:sz w:val="32"/>
          <w:szCs w:val="32"/>
        </w:rPr>
        <w:t>目前实有正式在职职工</w:t>
      </w:r>
      <w:r w:rsidR="00675374">
        <w:rPr>
          <w:rFonts w:ascii="仿宋_GB2312" w:eastAsia="仿宋_GB2312" w:hAnsi="仿宋_GB2312" w:cs="仿宋_GB2312" w:hint="eastAsia"/>
          <w:color w:val="333333"/>
          <w:kern w:val="0"/>
          <w:sz w:val="32"/>
          <w:szCs w:val="32"/>
        </w:rPr>
        <w:t>31</w:t>
      </w:r>
      <w:r w:rsidRPr="00675374">
        <w:rPr>
          <w:rFonts w:ascii="仿宋_GB2312" w:eastAsia="仿宋_GB2312" w:hAnsi="仿宋_GB2312" w:cs="仿宋_GB2312"/>
          <w:color w:val="333333"/>
          <w:kern w:val="0"/>
          <w:sz w:val="32"/>
          <w:szCs w:val="32"/>
        </w:rPr>
        <w:t>人。</w:t>
      </w:r>
    </w:p>
    <w:p w:rsidR="00DD5BC9" w:rsidRPr="00675374" w:rsidRDefault="002C6319">
      <w:pPr>
        <w:spacing w:line="560" w:lineRule="exact"/>
        <w:ind w:firstLineChars="200" w:firstLine="640"/>
        <w:rPr>
          <w:rFonts w:ascii="仿宋_GB2312" w:eastAsia="仿宋_GB2312" w:hAnsi="仿宋_GB2312" w:cs="仿宋_GB2312"/>
          <w:color w:val="333333"/>
          <w:kern w:val="0"/>
          <w:sz w:val="32"/>
          <w:szCs w:val="32"/>
        </w:rPr>
      </w:pPr>
      <w:r w:rsidRPr="00675374">
        <w:rPr>
          <w:rFonts w:ascii="仿宋_GB2312" w:eastAsia="仿宋_GB2312" w:hAnsi="仿宋_GB2312" w:cs="仿宋_GB2312" w:hint="eastAsia"/>
          <w:color w:val="333333"/>
          <w:kern w:val="0"/>
          <w:sz w:val="32"/>
          <w:szCs w:val="32"/>
        </w:rPr>
        <w:t>4.资产配置情况</w:t>
      </w:r>
    </w:p>
    <w:p w:rsidR="00DD5BC9" w:rsidRPr="00675374" w:rsidRDefault="002C6319">
      <w:pPr>
        <w:pStyle w:val="2"/>
        <w:spacing w:line="560" w:lineRule="exact"/>
        <w:ind w:leftChars="0" w:left="0" w:firstLineChars="200" w:firstLine="640"/>
        <w:rPr>
          <w:rFonts w:ascii="仿宋_GB2312" w:eastAsia="仿宋_GB2312" w:hAnsi="仿宋_GB2312" w:cs="仿宋_GB2312"/>
          <w:color w:val="333333"/>
          <w:kern w:val="0"/>
          <w:sz w:val="32"/>
          <w:szCs w:val="32"/>
        </w:rPr>
      </w:pPr>
      <w:r w:rsidRPr="00675374">
        <w:rPr>
          <w:rFonts w:ascii="仿宋_GB2312" w:eastAsia="仿宋_GB2312" w:hAnsi="仿宋_GB2312" w:cs="仿宋_GB2312" w:hint="eastAsia"/>
          <w:color w:val="333333"/>
          <w:kern w:val="0"/>
          <w:sz w:val="32"/>
          <w:szCs w:val="32"/>
        </w:rPr>
        <w:t>截至2023年12月31日，我单位资产总额原值</w:t>
      </w:r>
      <w:r w:rsidR="00675374">
        <w:rPr>
          <w:rFonts w:ascii="仿宋_GB2312" w:eastAsia="仿宋_GB2312" w:hAnsi="仿宋_GB2312" w:cs="仿宋_GB2312" w:hint="eastAsia"/>
          <w:color w:val="333333"/>
          <w:kern w:val="0"/>
          <w:sz w:val="32"/>
          <w:szCs w:val="32"/>
        </w:rPr>
        <w:t>346.49</w:t>
      </w:r>
      <w:r w:rsidRPr="00675374">
        <w:rPr>
          <w:rFonts w:ascii="仿宋_GB2312" w:eastAsia="仿宋_GB2312" w:hAnsi="仿宋_GB2312" w:cs="仿宋_GB2312" w:hint="eastAsia"/>
          <w:color w:val="333333"/>
          <w:kern w:val="0"/>
          <w:sz w:val="32"/>
          <w:szCs w:val="32"/>
        </w:rPr>
        <w:t>万元</w:t>
      </w:r>
      <w:r w:rsidR="00675374">
        <w:rPr>
          <w:rFonts w:ascii="仿宋_GB2312" w:eastAsia="仿宋_GB2312" w:hAnsi="仿宋_GB2312" w:cs="仿宋_GB2312" w:hint="eastAsia"/>
          <w:color w:val="333333"/>
          <w:kern w:val="0"/>
          <w:sz w:val="32"/>
          <w:szCs w:val="32"/>
        </w:rPr>
        <w:t>，其中办公用房216万元，为原粮食局办公用房。</w:t>
      </w:r>
    </w:p>
    <w:p w:rsidR="00DD5BC9" w:rsidRDefault="002C631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（二）当年部门履职总体目标、工作任务</w:t>
      </w:r>
    </w:p>
    <w:p w:rsidR="00DD5BC9" w:rsidRDefault="002C6319">
      <w:pPr>
        <w:spacing w:line="560" w:lineRule="exac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年我局主要做了以下四方面工作：</w:t>
      </w:r>
    </w:p>
    <w:p w:rsidR="00DD5BC9" w:rsidRDefault="002C6319" w:rsidP="00AC3740">
      <w:pPr>
        <w:spacing w:line="600" w:lineRule="exact"/>
        <w:ind w:firstLineChars="200" w:firstLine="640"/>
        <w:rPr>
          <w:rFonts w:eastAsia="仿宋_GB2312"/>
          <w:sz w:val="36"/>
          <w:szCs w:val="36"/>
        </w:rPr>
      </w:pPr>
      <w:r w:rsidRPr="00AC3740">
        <w:rPr>
          <w:rFonts w:ascii="仿宋_GB2312" w:eastAsia="仿宋_GB2312" w:hAnsi="Helvetica" w:cs="Helvetica" w:hint="eastAsia"/>
          <w:color w:val="333333"/>
          <w:kern w:val="0"/>
          <w:sz w:val="32"/>
          <w:szCs w:val="32"/>
        </w:rPr>
        <w:lastRenderedPageBreak/>
        <w:t>紧</w:t>
      </w:r>
      <w:r>
        <w:rPr>
          <w:rFonts w:ascii="仿宋_GB2312" w:eastAsia="仿宋_GB2312" w:hAnsi="Helvetica" w:cs="Helvetica" w:hint="eastAsia"/>
          <w:color w:val="333333"/>
          <w:kern w:val="0"/>
          <w:sz w:val="32"/>
          <w:szCs w:val="32"/>
        </w:rPr>
        <w:t>盯全年经济发展目标，做好指标监测分析研究，着力补短板、强弱项，助力县域经济社会高质量发展。</w:t>
      </w:r>
      <w:r>
        <w:rPr>
          <w:rFonts w:ascii="仿宋_GB2312" w:eastAsia="仿宋_GB2312" w:hAnsi="Helvetica" w:cs="Helvetica" w:hint="eastAsia"/>
          <w:b/>
          <w:bCs/>
          <w:color w:val="333333"/>
          <w:kern w:val="0"/>
          <w:sz w:val="32"/>
          <w:szCs w:val="32"/>
        </w:rPr>
        <w:t>一是科学制定发展计划。</w:t>
      </w:r>
      <w:r>
        <w:rPr>
          <w:rFonts w:ascii="仿宋_GB2312" w:eastAsia="仿宋_GB2312" w:hAnsi="Helvetica" w:cs="Helvetica" w:hint="eastAsia"/>
          <w:color w:val="333333"/>
          <w:kern w:val="0"/>
          <w:sz w:val="32"/>
          <w:szCs w:val="32"/>
        </w:rPr>
        <w:t>对照2023年政府工作总体思路和奋斗目标，编制下达2023年国民经济和社会发展计划，做好计划实施的跟踪调度工作，定期汇报国民经济计划执行情况，为经济发展建言献策，当好县委、政府的参谋助手。</w:t>
      </w:r>
      <w:r>
        <w:rPr>
          <w:rFonts w:ascii="仿宋_GB2312" w:eastAsia="仿宋_GB2312" w:hAnsi="Helvetica" w:cs="Helvetica" w:hint="eastAsia"/>
          <w:b/>
          <w:bCs/>
          <w:color w:val="333333"/>
          <w:kern w:val="0"/>
          <w:sz w:val="32"/>
          <w:szCs w:val="32"/>
        </w:rPr>
        <w:t>二是强化经济运行调度。</w:t>
      </w:r>
      <w:r>
        <w:rPr>
          <w:rFonts w:ascii="仿宋_GB2312" w:eastAsia="仿宋_GB2312" w:hAnsi="Helvetica" w:cs="Helvetica" w:hint="eastAsia"/>
          <w:color w:val="333333"/>
          <w:kern w:val="0"/>
          <w:sz w:val="32"/>
          <w:szCs w:val="32"/>
        </w:rPr>
        <w:t>坚持稳中求进总基调，统筹国民经济社会发展10项主要经济指标和县域经济综合评价28项指标、高质量发展综合评价63项指标、重点工作评价25项指标任务一体推进，实行“一项经济指标、一名责任领导、一个牵头部门、一个推进</w:t>
      </w:r>
      <w:r>
        <w:rPr>
          <w:rFonts w:ascii="仿宋_GB2312" w:eastAsia="仿宋_GB2312" w:hAnsi="Helvetica" w:cs="Helvetica"/>
          <w:color w:val="333333"/>
          <w:kern w:val="0"/>
          <w:sz w:val="32"/>
          <w:szCs w:val="32"/>
        </w:rPr>
        <w:t>专班</w:t>
      </w:r>
      <w:r>
        <w:rPr>
          <w:rFonts w:ascii="仿宋_GB2312" w:eastAsia="仿宋_GB2312" w:hAnsi="Helvetica" w:cs="Helvetica" w:hint="eastAsia"/>
          <w:color w:val="333333"/>
          <w:kern w:val="0"/>
          <w:sz w:val="32"/>
          <w:szCs w:val="32"/>
        </w:rPr>
        <w:t>”机制，坚持周监测、月调度、季盘点，精准分析研判，把准经济脉搏，以周保月、以月保季、以季保年，推动主要经济指标实现稳中有进。预计2023年完成地区生产总值118亿元，增速6.1%（其中：一产增加值41亿元，增速6.5%；二产增加值32.2亿元，增速4.8%；三产增加值44.8亿元，增速6.5%）；规上工业增加值增速3.6%；建筑业增加值2.1亿元，增速33.4%；固定资产投资40亿元，增速10.3%；社会消费品零售总额26.85亿元，增速9.95%；公共财政预算收入32200万元，增速7%；城镇居民人均可支配收入38554.02元，增速7%；农民人均可支配收入12983.84元，增速8.5%；粮食总产量32.39万吨，增速0.65%。</w:t>
      </w:r>
      <w:r>
        <w:rPr>
          <w:rFonts w:ascii="仿宋_GB2312" w:eastAsia="仿宋_GB2312" w:hAnsi="Helvetica" w:cs="Helvetica" w:hint="eastAsia"/>
          <w:b/>
          <w:bCs/>
          <w:color w:val="333333"/>
          <w:kern w:val="0"/>
          <w:sz w:val="32"/>
          <w:szCs w:val="32"/>
        </w:rPr>
        <w:t>三是做好规划评估实施。</w:t>
      </w:r>
      <w:r>
        <w:rPr>
          <w:rFonts w:ascii="仿宋_GB2312" w:eastAsia="仿宋_GB2312" w:hAnsi="Helvetica" w:cs="Helvetica" w:hint="eastAsia"/>
          <w:color w:val="333333"/>
          <w:kern w:val="0"/>
          <w:sz w:val="32"/>
          <w:szCs w:val="32"/>
        </w:rPr>
        <w:t>编制完成了“十四五”规划中期评估报告，提出了规划指标调整建议，12项规划重</w:t>
      </w:r>
      <w:r>
        <w:rPr>
          <w:rFonts w:ascii="仿宋_GB2312" w:eastAsia="仿宋_GB2312" w:hAnsi="Helvetica" w:cs="Helvetica" w:hint="eastAsia"/>
          <w:color w:val="333333"/>
          <w:kern w:val="0"/>
          <w:sz w:val="32"/>
          <w:szCs w:val="32"/>
        </w:rPr>
        <w:lastRenderedPageBreak/>
        <w:t>大支撑工程稳步推进，除粮食总产量下降外其他主要经济指标增速均在两位数以上，总体实现了平稳较快增长。调整了2项主要经济指标（数字经济核心产业增加值占GDP比重、森林覆盖率）、4项产业指标（肉鸡、肉牛、肉羊、生猪饲养量）发展目标，全力打好“十四五”规划攻坚战。</w:t>
      </w:r>
      <w:r>
        <w:rPr>
          <w:rFonts w:ascii="仿宋_GB2312" w:eastAsia="仿宋_GB2312" w:hAnsi="Helvetica" w:cs="Helvetica" w:hint="eastAsia"/>
          <w:b/>
          <w:bCs/>
          <w:color w:val="333333"/>
          <w:kern w:val="0"/>
          <w:sz w:val="32"/>
          <w:szCs w:val="32"/>
        </w:rPr>
        <w:t>四是统筹高质量发展。</w:t>
      </w:r>
      <w:r>
        <w:rPr>
          <w:rFonts w:ascii="仿宋_GB2312" w:eastAsia="仿宋_GB2312" w:hAnsi="Helvetica" w:cs="Helvetica" w:hint="eastAsia"/>
          <w:color w:val="333333"/>
          <w:kern w:val="0"/>
          <w:sz w:val="32"/>
          <w:szCs w:val="32"/>
        </w:rPr>
        <w:t>巩固“2022年度全省县域经济发展进步县”成果，以“强县域”行动为引领，协调推进县域经济高质量发展和以县城为重要载体的城镇化建设，在做优农业、做强工业、做大商贸、做好民生、区域融合上集中攻坚。统筹发展与保护的关系，扎实推动黄河流域生态保护和高质量发展，谋划项目22个，总投资40.96亿元，争取到位黄河奖补资金3200万元；报送2024年黄河专项项目1个（吴家沟流域水土流失综合治理），申请资金3037万元；整改销号</w:t>
      </w:r>
      <w:r>
        <w:rPr>
          <w:rFonts w:ascii="仿宋_GB2312" w:eastAsia="仿宋_GB2312" w:hAnsi="Helvetica" w:cs="Helvetica"/>
          <w:color w:val="333333"/>
          <w:kern w:val="0"/>
          <w:sz w:val="32"/>
          <w:szCs w:val="32"/>
        </w:rPr>
        <w:t>市级明察暗访发现问题2个</w:t>
      </w:r>
      <w:r>
        <w:rPr>
          <w:rFonts w:ascii="仿宋_GB2312" w:eastAsia="仿宋_GB2312" w:hAnsi="Helvetica" w:cs="Helvetica" w:hint="eastAsia"/>
          <w:color w:val="333333"/>
          <w:kern w:val="0"/>
          <w:sz w:val="32"/>
          <w:szCs w:val="32"/>
        </w:rPr>
        <w:t>。聚焦七条重点产业链育龙头、强链主、补链条、搭平台、保要素、建集群，培育“链主”企业12家，实施产业链项目123个，实现了产业规模效益双提升。</w:t>
      </w:r>
    </w:p>
    <w:p w:rsidR="00DD5BC9" w:rsidRDefault="002C631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（三）当年部门年度整体支出绩效目标</w:t>
      </w:r>
    </w:p>
    <w:p w:rsidR="00DD5BC9" w:rsidRDefault="002C6319">
      <w:pPr>
        <w:pStyle w:val="a6"/>
        <w:widowControl/>
        <w:spacing w:before="0" w:beforeAutospacing="0" w:after="0" w:afterAutospacing="0" w:line="560" w:lineRule="exact"/>
        <w:ind w:firstLineChars="200" w:firstLine="480"/>
        <w:rPr>
          <w:rFonts w:ascii="仿宋_GB2312" w:eastAsia="仿宋_GB2312" w:hAnsi="Helvetica" w:cs="Helvetica"/>
          <w:color w:val="333333"/>
          <w:sz w:val="32"/>
          <w:szCs w:val="32"/>
        </w:rPr>
      </w:pPr>
      <w:r>
        <w:rPr>
          <w:rFonts w:hint="eastAsia"/>
        </w:rPr>
        <w:t xml:space="preserve"> </w:t>
      </w:r>
      <w:r>
        <w:rPr>
          <w:rFonts w:ascii="仿宋_GB2312" w:eastAsia="仿宋_GB2312" w:hAnsi="Helvetica" w:cs="Helvetica" w:hint="eastAsia"/>
          <w:color w:val="333333"/>
          <w:sz w:val="32"/>
          <w:szCs w:val="32"/>
        </w:rPr>
        <w:t>目标1：保证本单位日常工作的正常运转。</w:t>
      </w:r>
    </w:p>
    <w:p w:rsidR="00DD5BC9" w:rsidRDefault="002C6319">
      <w:pPr>
        <w:pStyle w:val="a6"/>
        <w:widowControl/>
        <w:spacing w:before="0" w:beforeAutospacing="0" w:after="0" w:afterAutospacing="0" w:line="560" w:lineRule="exact"/>
        <w:ind w:firstLineChars="200" w:firstLine="640"/>
        <w:rPr>
          <w:rFonts w:ascii="仿宋_GB2312" w:eastAsia="仿宋_GB2312" w:hAnsi="Helvetica" w:cs="Helvetica"/>
          <w:color w:val="333333"/>
          <w:sz w:val="32"/>
          <w:szCs w:val="32"/>
        </w:rPr>
      </w:pPr>
      <w:r>
        <w:rPr>
          <w:rFonts w:ascii="仿宋_GB2312" w:eastAsia="仿宋_GB2312" w:hAnsi="Helvetica" w:cs="Helvetica" w:hint="eastAsia"/>
          <w:color w:val="333333"/>
          <w:sz w:val="32"/>
          <w:szCs w:val="32"/>
        </w:rPr>
        <w:t xml:space="preserve">目标2：保障全县各项目正常调度及项目建设工作顺利进行。                                         </w:t>
      </w:r>
    </w:p>
    <w:p w:rsidR="00DD5BC9" w:rsidRDefault="002C631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（四）部门预算绩效管理开展情况</w:t>
      </w:r>
    </w:p>
    <w:p w:rsidR="00DD5BC9" w:rsidRDefault="002C6319">
      <w:pPr>
        <w:pStyle w:val="a6"/>
        <w:spacing w:before="0" w:beforeAutospacing="0" w:after="0" w:afterAutospacing="0" w:line="560" w:lineRule="exact"/>
        <w:ind w:firstLineChars="200" w:firstLine="480"/>
        <w:rPr>
          <w:rFonts w:ascii="仿宋_GB2312" w:eastAsia="仿宋_GB2312" w:hAnsi="Helvetica" w:cs="Helvetica"/>
          <w:color w:val="333333"/>
          <w:sz w:val="32"/>
          <w:szCs w:val="32"/>
        </w:rPr>
      </w:pPr>
      <w:r>
        <w:rPr>
          <w:rFonts w:hint="eastAsia"/>
        </w:rPr>
        <w:t xml:space="preserve">  </w:t>
      </w:r>
      <w:r>
        <w:rPr>
          <w:rFonts w:ascii="仿宋_GB2312" w:eastAsia="仿宋_GB2312" w:hAnsi="仿宋_GB2312" w:cs="仿宋_GB2312" w:hint="eastAsia"/>
          <w:color w:val="000000"/>
          <w:sz w:val="32"/>
          <w:szCs w:val="32"/>
        </w:rPr>
        <w:t>根据预算绩效管理要求,本部门对2023年度一般公共预算项目支出全面开展绩效自评,其中,一级项目</w:t>
      </w:r>
      <w:r w:rsidR="00AC3740">
        <w:rPr>
          <w:rFonts w:ascii="仿宋_GB2312" w:eastAsia="仿宋_GB2312" w:hAnsi="仿宋_GB2312" w:cs="仿宋_GB2312" w:hint="eastAsia"/>
          <w:sz w:val="32"/>
          <w:szCs w:val="32"/>
        </w:rPr>
        <w:t>2</w:t>
      </w:r>
      <w:r>
        <w:rPr>
          <w:rFonts w:ascii="仿宋_GB2312" w:eastAsia="仿宋_GB2312" w:hAnsi="仿宋_GB2312" w:cs="仿宋_GB2312" w:hint="eastAsia"/>
          <w:color w:val="000000"/>
          <w:sz w:val="32"/>
          <w:szCs w:val="32"/>
        </w:rPr>
        <w:t>个,共涉及资</w:t>
      </w:r>
      <w:r>
        <w:rPr>
          <w:rFonts w:ascii="仿宋_GB2312" w:eastAsia="仿宋_GB2312" w:hAnsi="仿宋_GB2312" w:cs="仿宋_GB2312" w:hint="eastAsia"/>
          <w:color w:val="000000"/>
          <w:sz w:val="32"/>
          <w:szCs w:val="32"/>
        </w:rPr>
        <w:lastRenderedPageBreak/>
        <w:t>金</w:t>
      </w:r>
      <w:r w:rsidR="009E0EF7">
        <w:rPr>
          <w:rFonts w:ascii="仿宋_GB2312" w:eastAsia="仿宋_GB2312" w:hAnsi="仿宋_GB2312" w:cs="仿宋_GB2312" w:hint="eastAsia"/>
          <w:color w:val="000000"/>
          <w:sz w:val="32"/>
          <w:szCs w:val="32"/>
        </w:rPr>
        <w:t>719</w:t>
      </w:r>
      <w:r>
        <w:rPr>
          <w:rFonts w:ascii="仿宋_GB2312" w:eastAsia="仿宋_GB2312" w:hAnsi="仿宋_GB2312" w:cs="仿宋_GB2312" w:hint="eastAsia"/>
          <w:sz w:val="32"/>
          <w:szCs w:val="32"/>
        </w:rPr>
        <w:t>万元,占一般公共预算项目支出总额的100%</w:t>
      </w:r>
      <w:r>
        <w:rPr>
          <w:rFonts w:ascii="仿宋_GB2312" w:eastAsia="仿宋_GB2312" w:hAnsi="仿宋_GB2312" w:cs="仿宋_GB2312" w:hint="eastAsia"/>
          <w:color w:val="000000"/>
          <w:sz w:val="32"/>
          <w:szCs w:val="32"/>
        </w:rPr>
        <w:t>。</w:t>
      </w:r>
      <w:r>
        <w:rPr>
          <w:rFonts w:ascii="仿宋_GB2312" w:eastAsia="仿宋_GB2312" w:hAnsi="Helvetica" w:cs="Helvetica" w:hint="eastAsia"/>
          <w:color w:val="333333"/>
          <w:sz w:val="32"/>
          <w:szCs w:val="32"/>
        </w:rPr>
        <w:t>从评价情况来看，</w:t>
      </w:r>
      <w:r>
        <w:rPr>
          <w:rFonts w:ascii="仿宋_GB2312" w:eastAsia="仿宋_GB2312" w:hAnsi="Helvetica" w:cs="Helvetica"/>
          <w:color w:val="333333"/>
          <w:sz w:val="32"/>
          <w:szCs w:val="32"/>
        </w:rPr>
        <w:t>2</w:t>
      </w:r>
      <w:r>
        <w:rPr>
          <w:rFonts w:ascii="仿宋_GB2312" w:eastAsia="仿宋_GB2312" w:hAnsi="Helvetica" w:cs="Helvetica" w:hint="eastAsia"/>
          <w:color w:val="333333"/>
          <w:sz w:val="32"/>
          <w:szCs w:val="32"/>
        </w:rPr>
        <w:t>个项目自评价结果均为“优”。根据年初设定的绩效目标，项目总体完成情况较好，立项依据充分、预算编制合理、绩效目标明确、资金到位及时、预算执行进度较快；建立了相应的资金管理办法，完善了财务管理和内部控制等制度措施，有效保障了资金安全和绩效目标如期实现。</w:t>
      </w:r>
    </w:p>
    <w:p w:rsidR="00DD5BC9" w:rsidRDefault="002C631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（五）当年部门预算及执行情况</w:t>
      </w:r>
    </w:p>
    <w:p w:rsidR="00DD5BC9" w:rsidRDefault="002C6319">
      <w:pPr>
        <w:pStyle w:val="2"/>
        <w:spacing w:line="560" w:lineRule="exact"/>
        <w:ind w:firstLineChars="100" w:firstLine="320"/>
        <w:rPr>
          <w:rFonts w:ascii="仿宋_GB2312" w:eastAsia="仿宋_GB2312" w:hAnsi="Helvetica" w:cs="Helvetica"/>
          <w:color w:val="333333"/>
          <w:kern w:val="0"/>
          <w:sz w:val="32"/>
          <w:szCs w:val="32"/>
        </w:rPr>
      </w:pPr>
      <w:r>
        <w:rPr>
          <w:rFonts w:ascii="仿宋_GB2312" w:eastAsia="仿宋_GB2312" w:hAnsi="Helvetica" w:cs="Helvetica" w:hint="eastAsia"/>
          <w:color w:val="333333"/>
          <w:kern w:val="0"/>
          <w:sz w:val="32"/>
          <w:szCs w:val="32"/>
        </w:rPr>
        <w:t>2023年预算收入</w:t>
      </w:r>
      <w:r w:rsidR="00CE5ACD">
        <w:rPr>
          <w:rFonts w:ascii="仿宋_GB2312" w:eastAsia="仿宋_GB2312" w:hAnsi="Helvetica" w:cs="Helvetica" w:hint="eastAsia"/>
          <w:color w:val="333333"/>
          <w:kern w:val="0"/>
          <w:sz w:val="32"/>
          <w:szCs w:val="32"/>
        </w:rPr>
        <w:t>2945.22</w:t>
      </w:r>
      <w:r>
        <w:rPr>
          <w:rFonts w:ascii="仿宋_GB2312" w:eastAsia="仿宋_GB2312" w:hAnsi="Helvetica" w:cs="Helvetica" w:hint="eastAsia"/>
          <w:color w:val="333333"/>
          <w:kern w:val="0"/>
          <w:sz w:val="32"/>
          <w:szCs w:val="32"/>
        </w:rPr>
        <w:t>万元，预算支出</w:t>
      </w:r>
      <w:r w:rsidR="00CE5ACD">
        <w:rPr>
          <w:rFonts w:ascii="仿宋_GB2312" w:eastAsia="仿宋_GB2312" w:hAnsi="Helvetica" w:cs="Helvetica" w:hint="eastAsia"/>
          <w:color w:val="333333"/>
          <w:kern w:val="0"/>
          <w:sz w:val="32"/>
          <w:szCs w:val="32"/>
        </w:rPr>
        <w:t>2945.22</w:t>
      </w:r>
      <w:r>
        <w:rPr>
          <w:rFonts w:ascii="仿宋_GB2312" w:eastAsia="仿宋_GB2312" w:hAnsi="Helvetica" w:cs="Helvetica" w:hint="eastAsia"/>
          <w:color w:val="333333"/>
          <w:kern w:val="0"/>
          <w:sz w:val="32"/>
          <w:szCs w:val="32"/>
        </w:rPr>
        <w:t>万元，预算执行率100%。</w:t>
      </w:r>
    </w:p>
    <w:p w:rsidR="00DD5BC9" w:rsidRDefault="002C6319">
      <w:pPr>
        <w:spacing w:line="560" w:lineRule="exact"/>
        <w:ind w:firstLineChars="200" w:firstLine="640"/>
        <w:rPr>
          <w:rFonts w:eastAsia="黑体"/>
          <w:sz w:val="32"/>
          <w:szCs w:val="32"/>
        </w:rPr>
      </w:pPr>
      <w:r>
        <w:rPr>
          <w:rFonts w:eastAsia="黑体"/>
          <w:sz w:val="32"/>
          <w:szCs w:val="32"/>
        </w:rPr>
        <w:t>二、部门整体支出绩效实</w:t>
      </w:r>
      <w:r>
        <w:rPr>
          <w:rFonts w:eastAsia="黑体" w:hint="eastAsia"/>
          <w:sz w:val="32"/>
          <w:szCs w:val="32"/>
        </w:rPr>
        <w:t>施</w:t>
      </w:r>
      <w:r>
        <w:rPr>
          <w:rFonts w:eastAsia="黑体"/>
          <w:sz w:val="32"/>
          <w:szCs w:val="32"/>
        </w:rPr>
        <w:t>情况</w:t>
      </w:r>
    </w:p>
    <w:p w:rsidR="00DD5BC9" w:rsidRDefault="002C6319">
      <w:pPr>
        <w:overflowPunct w:val="0"/>
        <w:spacing w:line="560" w:lineRule="exact"/>
        <w:ind w:rightChars="-50" w:right="-105" w:firstLineChars="200" w:firstLine="640"/>
        <w:rPr>
          <w:rFonts w:eastAsia="仿宋_GB2312"/>
          <w:sz w:val="32"/>
          <w:szCs w:val="32"/>
        </w:rPr>
      </w:pPr>
      <w:r>
        <w:rPr>
          <w:rFonts w:eastAsia="仿宋_GB2312"/>
          <w:sz w:val="32"/>
          <w:szCs w:val="32"/>
        </w:rPr>
        <w:t>（一）履职完成情况。从</w:t>
      </w:r>
      <w:r>
        <w:rPr>
          <w:rFonts w:eastAsia="仿宋_GB2312" w:hint="eastAsia"/>
          <w:sz w:val="32"/>
          <w:szCs w:val="32"/>
        </w:rPr>
        <w:t>数</w:t>
      </w:r>
      <w:r>
        <w:rPr>
          <w:rFonts w:eastAsia="仿宋_GB2312"/>
          <w:sz w:val="32"/>
          <w:szCs w:val="32"/>
        </w:rPr>
        <w:t>量、质量、时效等方面归纳反映年度主要计划任务完成情况</w:t>
      </w:r>
      <w:r>
        <w:rPr>
          <w:rFonts w:eastAsia="仿宋_GB2312" w:hint="eastAsia"/>
          <w:sz w:val="32"/>
          <w:szCs w:val="32"/>
        </w:rPr>
        <w:t>。</w:t>
      </w:r>
    </w:p>
    <w:p w:rsidR="00DD5BC9" w:rsidRDefault="002C631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数量指标：</w:t>
      </w:r>
      <w:r>
        <w:rPr>
          <w:rFonts w:ascii="仿宋_GB2312" w:eastAsia="仿宋_GB2312" w:hAnsi="宋体" w:cs="仿宋_GB2312"/>
          <w:kern w:val="0"/>
          <w:sz w:val="32"/>
          <w:szCs w:val="32"/>
        </w:rPr>
        <w:t>202</w:t>
      </w:r>
      <w:r>
        <w:rPr>
          <w:rFonts w:ascii="仿宋_GB2312" w:eastAsia="仿宋_GB2312" w:hAnsi="宋体" w:cs="仿宋_GB2312" w:hint="eastAsia"/>
          <w:kern w:val="0"/>
          <w:sz w:val="32"/>
          <w:szCs w:val="32"/>
        </w:rPr>
        <w:t>3年县级储备粮油费用补贴，完成绩效目标。</w:t>
      </w:r>
    </w:p>
    <w:p w:rsidR="00DD5BC9" w:rsidRDefault="002C631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质量指标</w:t>
      </w:r>
      <w:r>
        <w:rPr>
          <w:rFonts w:ascii="仿宋_GB2312" w:eastAsia="仿宋_GB2312" w:hAnsi="仿宋_GB2312" w:cs="仿宋_GB2312" w:hint="eastAsia"/>
          <w:b/>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02</w:t>
      </w:r>
      <w:r>
        <w:rPr>
          <w:rFonts w:ascii="仿宋_GB2312" w:eastAsia="仿宋_GB2312" w:hAnsi="仿宋_GB2312" w:cs="仿宋_GB2312" w:hint="eastAsia"/>
          <w:bCs/>
          <w:sz w:val="32"/>
          <w:szCs w:val="32"/>
        </w:rPr>
        <w:t>3年</w:t>
      </w:r>
      <w:r>
        <w:rPr>
          <w:rFonts w:ascii="仿宋_GB2312" w:eastAsia="仿宋_GB2312" w:hAnsi="宋体" w:cs="仿宋_GB2312" w:hint="eastAsia"/>
          <w:kern w:val="0"/>
          <w:sz w:val="32"/>
          <w:szCs w:val="32"/>
        </w:rPr>
        <w:t>县级储备粮油费用补贴</w:t>
      </w:r>
      <w:r>
        <w:rPr>
          <w:rFonts w:ascii="仿宋_GB2312" w:eastAsia="仿宋_GB2312" w:hAnsi="仿宋_GB2312" w:cs="仿宋_GB2312" w:hint="eastAsia"/>
          <w:bCs/>
          <w:sz w:val="32"/>
          <w:szCs w:val="32"/>
        </w:rPr>
        <w:t>及时率达到1</w:t>
      </w:r>
      <w:r>
        <w:rPr>
          <w:rFonts w:ascii="仿宋_GB2312" w:eastAsia="仿宋_GB2312" w:hAnsi="仿宋_GB2312" w:cs="仿宋_GB2312"/>
          <w:bCs/>
          <w:sz w:val="32"/>
          <w:szCs w:val="32"/>
        </w:rPr>
        <w:t>00</w:t>
      </w:r>
      <w:r>
        <w:rPr>
          <w:rFonts w:ascii="仿宋_GB2312" w:eastAsia="仿宋_GB2312" w:hAnsi="仿宋_GB2312" w:cs="仿宋_GB2312" w:hint="eastAsia"/>
          <w:bCs/>
          <w:sz w:val="32"/>
          <w:szCs w:val="32"/>
        </w:rPr>
        <w:t>%。</w:t>
      </w:r>
    </w:p>
    <w:p w:rsidR="00DD5BC9" w:rsidRDefault="002C6319">
      <w:pPr>
        <w:spacing w:line="560" w:lineRule="exact"/>
        <w:ind w:firstLineChars="200" w:firstLine="643"/>
      </w:pPr>
      <w:r>
        <w:rPr>
          <w:rFonts w:ascii="仿宋_GB2312" w:eastAsia="仿宋_GB2312" w:hAnsi="仿宋_GB2312" w:cs="仿宋_GB2312" w:hint="eastAsia"/>
          <w:b/>
          <w:bCs/>
          <w:sz w:val="32"/>
          <w:szCs w:val="32"/>
        </w:rPr>
        <w:t>时效指标：</w:t>
      </w:r>
      <w:r>
        <w:rPr>
          <w:rFonts w:ascii="仿宋_GB2312" w:eastAsia="仿宋_GB2312" w:hAnsi="仿宋_GB2312" w:cs="仿宋_GB2312" w:hint="eastAsia"/>
          <w:bCs/>
          <w:sz w:val="32"/>
          <w:szCs w:val="32"/>
        </w:rPr>
        <w:t>各项工作完成率1</w:t>
      </w:r>
      <w:r>
        <w:rPr>
          <w:rFonts w:ascii="仿宋_GB2312" w:eastAsia="仿宋_GB2312" w:hAnsi="仿宋_GB2312" w:cs="仿宋_GB2312"/>
          <w:bCs/>
          <w:sz w:val="32"/>
          <w:szCs w:val="32"/>
        </w:rPr>
        <w:t>00</w:t>
      </w:r>
      <w:r>
        <w:rPr>
          <w:rFonts w:ascii="仿宋_GB2312" w:eastAsia="仿宋_GB2312" w:hAnsi="仿宋_GB2312" w:cs="仿宋_GB2312" w:hint="eastAsia"/>
          <w:bCs/>
          <w:sz w:val="32"/>
          <w:szCs w:val="32"/>
        </w:rPr>
        <w:t>%，能够及时的完成省市县下达的各项工作任务。</w:t>
      </w:r>
    </w:p>
    <w:p w:rsidR="00DD5BC9" w:rsidRDefault="002C6319">
      <w:pPr>
        <w:overflowPunct w:val="0"/>
        <w:spacing w:line="560" w:lineRule="exact"/>
        <w:ind w:rightChars="-50" w:right="-105" w:firstLineChars="200" w:firstLine="640"/>
        <w:rPr>
          <w:rFonts w:eastAsia="仿宋_GB2312"/>
          <w:sz w:val="32"/>
          <w:szCs w:val="32"/>
        </w:rPr>
      </w:pPr>
      <w:r>
        <w:rPr>
          <w:rFonts w:eastAsia="仿宋_GB2312"/>
          <w:sz w:val="32"/>
          <w:szCs w:val="32"/>
        </w:rPr>
        <w:t>（二）履职效果情况。从社会效益、经济效益（如有）、生态效益（如有）等方面反映部门履职效果的实现情况</w:t>
      </w:r>
      <w:r>
        <w:rPr>
          <w:rFonts w:eastAsia="仿宋_GB2312" w:hint="eastAsia"/>
          <w:sz w:val="32"/>
          <w:szCs w:val="32"/>
        </w:rPr>
        <w:t>。</w:t>
      </w:r>
    </w:p>
    <w:p w:rsidR="00DD5BC9" w:rsidRDefault="002C6319">
      <w:pPr>
        <w:widowControl/>
        <w:spacing w:line="560" w:lineRule="exact"/>
        <w:ind w:firstLineChars="200" w:firstLine="643"/>
        <w:rPr>
          <w:sz w:val="32"/>
          <w:szCs w:val="32"/>
        </w:rPr>
      </w:pPr>
      <w:r>
        <w:rPr>
          <w:rFonts w:ascii="楷体" w:eastAsia="楷体" w:hAnsi="楷体" w:cs="楷体" w:hint="eastAsia"/>
          <w:b/>
          <w:color w:val="000000"/>
          <w:sz w:val="32"/>
          <w:szCs w:val="32"/>
        </w:rPr>
        <w:t>效益指标：</w:t>
      </w:r>
      <w:r>
        <w:rPr>
          <w:rFonts w:ascii="仿宋_GB2312" w:eastAsia="仿宋_GB2312" w:hAnsi="仿宋_GB2312" w:cs="仿宋_GB2312" w:hint="eastAsia"/>
          <w:color w:val="000000"/>
          <w:sz w:val="32"/>
          <w:szCs w:val="32"/>
        </w:rPr>
        <w:t>通过项目实施，</w:t>
      </w:r>
      <w:r>
        <w:rPr>
          <w:rFonts w:ascii="仿宋_GB2312" w:eastAsia="仿宋_GB2312" w:hAnsi="仿宋_GB2312" w:cs="仿宋_GB2312" w:hint="eastAsia"/>
          <w:bCs/>
          <w:color w:val="000000"/>
          <w:sz w:val="32"/>
          <w:szCs w:val="32"/>
        </w:rPr>
        <w:t>库存粮食质量、品质和卫生指标均可保证，新轮换入库的小麦达到二等以上。粮食质量管理水平得到提升，库存粮食质量安全得到更充分的保障。 </w:t>
      </w:r>
    </w:p>
    <w:p w:rsidR="00DD5BC9" w:rsidRDefault="002C6319">
      <w:pPr>
        <w:spacing w:line="560" w:lineRule="exact"/>
        <w:ind w:firstLineChars="200" w:firstLine="640"/>
        <w:rPr>
          <w:rFonts w:eastAsia="仿宋_GB2312"/>
          <w:sz w:val="32"/>
          <w:szCs w:val="32"/>
        </w:rPr>
      </w:pPr>
      <w:r>
        <w:rPr>
          <w:rFonts w:eastAsia="仿宋_GB2312"/>
          <w:sz w:val="32"/>
          <w:szCs w:val="32"/>
        </w:rPr>
        <w:t>（三）社会满意度及可持续性影响（如有）</w:t>
      </w:r>
      <w:r>
        <w:rPr>
          <w:rFonts w:eastAsia="仿宋_GB2312" w:hint="eastAsia"/>
          <w:sz w:val="32"/>
          <w:szCs w:val="32"/>
        </w:rPr>
        <w:t>。</w:t>
      </w:r>
    </w:p>
    <w:p w:rsidR="00DD5BC9" w:rsidRDefault="002C6319">
      <w:pPr>
        <w:pStyle w:val="a6"/>
        <w:widowControl/>
        <w:spacing w:before="0" w:beforeAutospacing="0" w:after="0" w:afterAutospacing="0" w:line="560" w:lineRule="exact"/>
        <w:ind w:firstLineChars="200" w:firstLine="640"/>
      </w:pPr>
      <w:r>
        <w:rPr>
          <w:rFonts w:ascii="仿宋_GB2312" w:eastAsia="仿宋_GB2312" w:hAnsi="仿宋_GB2312" w:cs="仿宋_GB2312" w:hint="eastAsia"/>
          <w:sz w:val="32"/>
          <w:szCs w:val="32"/>
        </w:rPr>
        <w:lastRenderedPageBreak/>
        <w:t>群众</w:t>
      </w:r>
      <w:r>
        <w:rPr>
          <w:rFonts w:ascii="仿宋_GB2312" w:eastAsia="仿宋_GB2312" w:hAnsi="仿宋_GB2312" w:cs="仿宋_GB2312"/>
          <w:sz w:val="32"/>
          <w:szCs w:val="32"/>
        </w:rPr>
        <w:t>满意度指标</w:t>
      </w:r>
      <w:r>
        <w:rPr>
          <w:rFonts w:ascii="仿宋_GB2312" w:eastAsia="仿宋_GB2312" w:hAnsi="仿宋_GB2312" w:cs="仿宋_GB2312" w:hint="eastAsia"/>
          <w:sz w:val="32"/>
          <w:szCs w:val="32"/>
        </w:rPr>
        <w:t>：完成率96%。</w:t>
      </w:r>
    </w:p>
    <w:p w:rsidR="00DD5BC9" w:rsidRDefault="002C6319">
      <w:pPr>
        <w:spacing w:line="560" w:lineRule="exact"/>
        <w:ind w:firstLineChars="200" w:firstLine="640"/>
        <w:rPr>
          <w:rFonts w:eastAsia="黑体"/>
          <w:sz w:val="32"/>
          <w:szCs w:val="32"/>
        </w:rPr>
      </w:pPr>
      <w:r>
        <w:rPr>
          <w:rFonts w:eastAsia="黑体"/>
          <w:sz w:val="32"/>
          <w:szCs w:val="32"/>
        </w:rPr>
        <w:t>三、部门整体支出绩效中存在问题及改进措施</w:t>
      </w:r>
    </w:p>
    <w:p w:rsidR="00DD5BC9" w:rsidRDefault="002C6319">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（一）主要问题及原固分析</w:t>
      </w:r>
    </w:p>
    <w:p w:rsidR="00DD5BC9" w:rsidRDefault="002C6319">
      <w:pPr>
        <w:pStyle w:val="a6"/>
        <w:widowControl/>
        <w:spacing w:before="0" w:beforeAutospacing="0" w:after="0" w:afterAutospacing="0" w:line="56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1.基本支出经费保障水平偏低。预算执行基本围绕保障人员经费、保障正常运转进行。从决算情况看，基本支出比重较大。</w:t>
      </w:r>
    </w:p>
    <w:p w:rsidR="00DD5BC9" w:rsidRDefault="002C6319">
      <w:pPr>
        <w:pStyle w:val="a6"/>
        <w:widowControl/>
        <w:spacing w:before="0" w:beforeAutospacing="0" w:after="0" w:afterAutospacing="0" w:line="56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2.预算编制仍需进一步精确细化。随着财务工作日益精细化，各项资金需要完全按照所下指标用途分类来使用，我单位目前还需要进一步对预算编制进行细化，加强对资金使用的前瞻性预估。</w:t>
      </w:r>
    </w:p>
    <w:p w:rsidR="00DD5BC9" w:rsidRDefault="002C6319">
      <w:pPr>
        <w:pStyle w:val="a6"/>
        <w:widowControl/>
        <w:spacing w:before="0" w:beforeAutospacing="0" w:after="0" w:afterAutospacing="0" w:line="56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3.资产管理资料更新速度较慢。我单位虽然按照财政对资产管理的要求，对单位各项资产都进行了登记及建立台账，但仍存在更新滞后的情况。</w:t>
      </w:r>
    </w:p>
    <w:p w:rsidR="00DD5BC9" w:rsidRDefault="002C6319">
      <w:pPr>
        <w:pStyle w:val="a6"/>
        <w:widowControl/>
        <w:spacing w:before="0" w:beforeAutospacing="0" w:after="0" w:afterAutospacing="0" w:line="560" w:lineRule="exact"/>
      </w:pPr>
      <w:r>
        <w:rPr>
          <w:rFonts w:ascii="仿宋_GB2312" w:eastAsia="仿宋_GB2312" w:hAnsi="仿宋_GB2312" w:cs="仿宋_GB2312" w:hint="eastAsia"/>
          <w:kern w:val="2"/>
          <w:sz w:val="32"/>
          <w:szCs w:val="32"/>
        </w:rPr>
        <w:t xml:space="preserve">　　4.财务人员业务水平仍需提高，需加强对财务业务知识的培训。</w:t>
      </w:r>
    </w:p>
    <w:p w:rsidR="00DD5BC9" w:rsidRDefault="002C6319">
      <w:pPr>
        <w:spacing w:line="560" w:lineRule="exact"/>
        <w:ind w:firstLineChars="200" w:firstLine="643"/>
        <w:rPr>
          <w:rFonts w:eastAsia="仿宋_GB2312"/>
          <w:sz w:val="32"/>
          <w:szCs w:val="32"/>
        </w:rPr>
      </w:pPr>
      <w:r>
        <w:rPr>
          <w:rFonts w:ascii="楷体_GB2312" w:eastAsia="楷体_GB2312" w:hAnsi="楷体_GB2312" w:cs="楷体_GB2312" w:hint="eastAsia"/>
          <w:b/>
          <w:bCs/>
          <w:sz w:val="32"/>
          <w:szCs w:val="32"/>
        </w:rPr>
        <w:t>（二）改进的方向和具体措施</w:t>
      </w:r>
    </w:p>
    <w:p w:rsidR="00DD5BC9" w:rsidRDefault="002C6319">
      <w:pPr>
        <w:pStyle w:val="a6"/>
        <w:widowControl/>
        <w:spacing w:before="0" w:beforeAutospacing="0" w:after="0" w:afterAutospacing="0" w:line="56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1.细化预算编制工作，认真做好预算的编制。进一步提升内部机构各股室的预算管理意识，严格按照预算编制的相关制度和要求进行预算编制。</w:t>
      </w:r>
    </w:p>
    <w:p w:rsidR="00DD5BC9" w:rsidRDefault="002C6319">
      <w:pPr>
        <w:pStyle w:val="a6"/>
        <w:widowControl/>
        <w:spacing w:before="0" w:beforeAutospacing="0" w:after="0" w:afterAutospacing="0" w:line="56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2.加强财务管理，严格财务审核。加强单位财务管理，健全单位财务管理制度体系，规范单位财务行为。在费用报销支付时，按照预算规定的费用项目和用途进行资金使用审核、列报支付、财务核算，杜绝超支现象的发生。</w:t>
      </w:r>
    </w:p>
    <w:p w:rsidR="00DD5BC9" w:rsidRDefault="002C6319">
      <w:pPr>
        <w:pStyle w:val="2"/>
        <w:spacing w:line="560" w:lineRule="exact"/>
        <w:ind w:leftChars="0" w:left="0" w:firstLineChars="200" w:firstLine="640"/>
      </w:pPr>
      <w:r>
        <w:rPr>
          <w:rFonts w:ascii="仿宋_GB2312" w:eastAsia="仿宋_GB2312" w:hAnsi="仿宋_GB2312" w:cs="仿宋_GB2312" w:hint="eastAsia"/>
          <w:sz w:val="32"/>
          <w:szCs w:val="32"/>
        </w:rPr>
        <w:t>3.完善资产管理，抓好“三公”经费控制。严格编制政府</w:t>
      </w:r>
      <w:r>
        <w:rPr>
          <w:rFonts w:ascii="仿宋_GB2312" w:eastAsia="仿宋_GB2312" w:hAnsi="仿宋_GB2312" w:cs="仿宋_GB2312" w:hint="eastAsia"/>
          <w:sz w:val="32"/>
          <w:szCs w:val="32"/>
        </w:rPr>
        <w:lastRenderedPageBreak/>
        <w:t>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加强“三公”经费支出的审核、审批，杜绝挪用和挤占其他预算资金行为；进一步细化“三公”经费的管理，合理压缩“三公”经费支出。</w:t>
      </w:r>
    </w:p>
    <w:p w:rsidR="00DD5BC9" w:rsidRDefault="002C6319">
      <w:pPr>
        <w:spacing w:line="560" w:lineRule="exact"/>
        <w:ind w:firstLineChars="200" w:firstLine="640"/>
        <w:rPr>
          <w:rFonts w:eastAsia="黑体"/>
          <w:sz w:val="32"/>
          <w:szCs w:val="32"/>
        </w:rPr>
      </w:pPr>
      <w:r>
        <w:rPr>
          <w:rFonts w:eastAsia="黑体" w:hint="eastAsia"/>
          <w:sz w:val="32"/>
          <w:szCs w:val="32"/>
        </w:rPr>
        <w:t>四、</w:t>
      </w:r>
      <w:r>
        <w:rPr>
          <w:rFonts w:eastAsia="黑体"/>
          <w:sz w:val="32"/>
          <w:szCs w:val="32"/>
        </w:rPr>
        <w:t>其他需要说明的情况</w:t>
      </w:r>
    </w:p>
    <w:p w:rsidR="00DD5BC9" w:rsidRDefault="002C6319">
      <w:pPr>
        <w:pStyle w:val="2"/>
        <w:spacing w:line="560" w:lineRule="exact"/>
        <w:ind w:leftChars="0" w:left="0"/>
      </w:pPr>
      <w:r>
        <w:rPr>
          <w:rFonts w:hint="eastAsia"/>
        </w:rPr>
        <w:t xml:space="preserve">      </w:t>
      </w:r>
      <w:r>
        <w:rPr>
          <w:rFonts w:ascii="仿宋_GB2312" w:eastAsia="仿宋_GB2312" w:hAnsi="仿宋_GB2312" w:cs="仿宋_GB2312" w:hint="eastAsia"/>
          <w:sz w:val="32"/>
          <w:szCs w:val="32"/>
        </w:rPr>
        <w:t>无</w:t>
      </w:r>
    </w:p>
    <w:p w:rsidR="00DD5BC9" w:rsidRDefault="00DD5BC9">
      <w:pPr>
        <w:spacing w:line="560" w:lineRule="exact"/>
        <w:jc w:val="left"/>
        <w:rPr>
          <w:rFonts w:ascii="黑体" w:eastAsia="黑体" w:hAnsi="黑体" w:cs="黑体"/>
          <w:sz w:val="32"/>
          <w:szCs w:val="32"/>
        </w:rPr>
      </w:pPr>
    </w:p>
    <w:p w:rsidR="00DD5BC9" w:rsidRDefault="00DD5BC9">
      <w:pPr>
        <w:spacing w:line="560" w:lineRule="exact"/>
        <w:rPr>
          <w:rFonts w:eastAsia="仿宋_GB2312"/>
          <w:sz w:val="32"/>
          <w:szCs w:val="32"/>
        </w:rPr>
      </w:pPr>
    </w:p>
    <w:p w:rsidR="00EB703D" w:rsidRDefault="00EB703D">
      <w:pPr>
        <w:spacing w:line="560" w:lineRule="exact"/>
        <w:ind w:firstLineChars="1400" w:firstLine="4480"/>
        <w:rPr>
          <w:rFonts w:ascii="仿宋_GB2312" w:eastAsia="仿宋_GB2312" w:hAnsi="仿宋_GB2312" w:cs="仿宋_GB2312"/>
          <w:sz w:val="32"/>
          <w:szCs w:val="32"/>
        </w:rPr>
      </w:pPr>
    </w:p>
    <w:p w:rsidR="00DD5BC9" w:rsidRDefault="0044438B">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宁县</w:t>
      </w:r>
      <w:r w:rsidR="002C6319">
        <w:rPr>
          <w:rFonts w:ascii="仿宋_GB2312" w:eastAsia="仿宋_GB2312" w:hAnsi="仿宋_GB2312" w:cs="仿宋_GB2312" w:hint="eastAsia"/>
          <w:sz w:val="32"/>
          <w:szCs w:val="32"/>
        </w:rPr>
        <w:t>发展和改革局</w:t>
      </w:r>
    </w:p>
    <w:p w:rsidR="00EB703D" w:rsidRDefault="0044438B">
      <w:pPr>
        <w:spacing w:line="3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C6319">
        <w:rPr>
          <w:rFonts w:ascii="仿宋_GB2312" w:eastAsia="仿宋_GB2312" w:hAnsi="仿宋_GB2312" w:cs="仿宋_GB2312" w:hint="eastAsia"/>
          <w:sz w:val="32"/>
          <w:szCs w:val="32"/>
        </w:rPr>
        <w:t xml:space="preserve"> </w:t>
      </w:r>
    </w:p>
    <w:p w:rsidR="00DD5BC9" w:rsidRPr="00EB703D" w:rsidRDefault="002C6319" w:rsidP="00EB703D">
      <w:pPr>
        <w:spacing w:line="3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2024年</w:t>
      </w:r>
      <w:r w:rsidR="00CC5D1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CC5D19">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p w:rsidR="00DD5BC9" w:rsidRPr="00EB703D" w:rsidRDefault="00DD5BC9">
      <w:pPr>
        <w:spacing w:line="300" w:lineRule="exact"/>
        <w:rPr>
          <w:rFonts w:ascii="仿宋_GB2312" w:eastAsia="仿宋_GB2312" w:hAnsi="仿宋_GB2312" w:cs="仿宋_GB2312"/>
          <w:sz w:val="32"/>
          <w:szCs w:val="32"/>
        </w:rPr>
      </w:pPr>
    </w:p>
    <w:p w:rsidR="00DD5BC9" w:rsidRPr="00EB703D" w:rsidRDefault="00DD5BC9" w:rsidP="00EB703D">
      <w:pPr>
        <w:spacing w:line="300" w:lineRule="exact"/>
        <w:ind w:firstLineChars="200" w:firstLine="640"/>
        <w:rPr>
          <w:rFonts w:ascii="仿宋_GB2312" w:eastAsia="仿宋_GB2312" w:hAnsi="仿宋_GB2312" w:cs="仿宋_GB2312"/>
          <w:sz w:val="32"/>
          <w:szCs w:val="32"/>
        </w:rPr>
      </w:pPr>
    </w:p>
    <w:p w:rsidR="00DD5BC9" w:rsidRPr="00EB703D" w:rsidRDefault="00DD5BC9" w:rsidP="00EB703D">
      <w:pPr>
        <w:spacing w:line="300" w:lineRule="exact"/>
        <w:ind w:firstLineChars="200" w:firstLine="640"/>
        <w:rPr>
          <w:rFonts w:ascii="仿宋_GB2312" w:eastAsia="仿宋_GB2312" w:hAnsi="仿宋_GB2312" w:cs="仿宋_GB2312"/>
          <w:sz w:val="32"/>
          <w:szCs w:val="32"/>
        </w:rPr>
      </w:pPr>
    </w:p>
    <w:p w:rsidR="00DD5BC9" w:rsidRDefault="00DD5BC9">
      <w:pPr>
        <w:spacing w:line="300" w:lineRule="exact"/>
        <w:ind w:firstLineChars="200" w:firstLine="600"/>
        <w:rPr>
          <w:rFonts w:eastAsia="仿宋"/>
          <w:spacing w:val="-10"/>
          <w:sz w:val="32"/>
        </w:rPr>
      </w:pPr>
    </w:p>
    <w:p w:rsidR="00DD5BC9" w:rsidRDefault="00DD5BC9">
      <w:pPr>
        <w:spacing w:line="300" w:lineRule="exact"/>
        <w:rPr>
          <w:rFonts w:eastAsia="仿宋"/>
          <w:spacing w:val="-10"/>
          <w:sz w:val="32"/>
        </w:rPr>
      </w:pPr>
    </w:p>
    <w:p w:rsidR="00DD5BC9" w:rsidRDefault="00DD5BC9">
      <w:pPr>
        <w:pStyle w:val="2"/>
        <w:rPr>
          <w:rFonts w:eastAsia="仿宋"/>
          <w:spacing w:val="-10"/>
          <w:sz w:val="32"/>
        </w:rPr>
      </w:pPr>
    </w:p>
    <w:p w:rsidR="00DD5BC9" w:rsidRDefault="00DD5BC9">
      <w:pPr>
        <w:pStyle w:val="2"/>
        <w:ind w:leftChars="0" w:left="0"/>
        <w:rPr>
          <w:rFonts w:eastAsia="仿宋"/>
          <w:spacing w:val="-10"/>
          <w:sz w:val="32"/>
        </w:rPr>
      </w:pPr>
    </w:p>
    <w:p w:rsidR="00DD5BC9" w:rsidRDefault="00DD5BC9">
      <w:pPr>
        <w:rPr>
          <w:rFonts w:eastAsia="仿宋" w:hint="eastAsia"/>
          <w:spacing w:val="-10"/>
          <w:sz w:val="32"/>
        </w:rPr>
      </w:pPr>
    </w:p>
    <w:p w:rsidR="00621941" w:rsidRDefault="00621941" w:rsidP="00621941">
      <w:pPr>
        <w:pStyle w:val="2"/>
        <w:rPr>
          <w:rFonts w:hint="eastAsia"/>
        </w:rPr>
      </w:pPr>
    </w:p>
    <w:p w:rsidR="00621941" w:rsidRDefault="00621941" w:rsidP="00621941">
      <w:pPr>
        <w:rPr>
          <w:rFonts w:hint="eastAsia"/>
        </w:rPr>
      </w:pPr>
    </w:p>
    <w:p w:rsidR="00621941" w:rsidRDefault="00621941" w:rsidP="00621941">
      <w:pPr>
        <w:pStyle w:val="2"/>
        <w:rPr>
          <w:rFonts w:hint="eastAsia"/>
        </w:rPr>
      </w:pPr>
    </w:p>
    <w:p w:rsidR="00621941" w:rsidRDefault="00621941" w:rsidP="00621941">
      <w:pPr>
        <w:rPr>
          <w:rFonts w:hint="eastAsia"/>
        </w:rPr>
      </w:pPr>
    </w:p>
    <w:tbl>
      <w:tblPr>
        <w:tblW w:w="5771" w:type="pct"/>
        <w:tblInd w:w="-459" w:type="dxa"/>
        <w:tblLook w:val="04A0"/>
      </w:tblPr>
      <w:tblGrid>
        <w:gridCol w:w="1498"/>
        <w:gridCol w:w="1288"/>
        <w:gridCol w:w="171"/>
        <w:gridCol w:w="1218"/>
        <w:gridCol w:w="527"/>
        <w:gridCol w:w="586"/>
        <w:gridCol w:w="576"/>
        <w:gridCol w:w="1590"/>
        <w:gridCol w:w="318"/>
        <w:gridCol w:w="338"/>
        <w:gridCol w:w="1955"/>
      </w:tblGrid>
      <w:tr w:rsidR="00621941" w:rsidRPr="00960C85" w:rsidTr="00621941">
        <w:trPr>
          <w:trHeight w:val="1343"/>
        </w:trPr>
        <w:tc>
          <w:tcPr>
            <w:tcW w:w="5000" w:type="pct"/>
            <w:gridSpan w:val="11"/>
            <w:tcBorders>
              <w:top w:val="nil"/>
              <w:left w:val="nil"/>
              <w:bottom w:val="nil"/>
              <w:right w:val="nil"/>
            </w:tcBorders>
            <w:shd w:val="clear" w:color="auto" w:fill="auto"/>
            <w:vAlign w:val="center"/>
            <w:hideMark/>
          </w:tcPr>
          <w:p w:rsidR="00621941" w:rsidRPr="00960C85" w:rsidRDefault="00621941" w:rsidP="003418ED">
            <w:pPr>
              <w:jc w:val="center"/>
              <w:rPr>
                <w:rFonts w:ascii="宋体" w:hAnsi="宋体" w:cs="宋体"/>
                <w:b/>
                <w:bCs/>
                <w:sz w:val="40"/>
                <w:szCs w:val="40"/>
              </w:rPr>
            </w:pPr>
            <w:r w:rsidRPr="00960C85">
              <w:rPr>
                <w:rFonts w:ascii="宋体" w:hAnsi="宋体" w:cs="宋体" w:hint="eastAsia"/>
                <w:b/>
                <w:bCs/>
                <w:sz w:val="40"/>
                <w:szCs w:val="40"/>
              </w:rPr>
              <w:lastRenderedPageBreak/>
              <w:t>部门整体支出绩效目标表</w:t>
            </w:r>
            <w:r w:rsidRPr="00960C85">
              <w:rPr>
                <w:rFonts w:ascii="宋体" w:hAnsi="宋体" w:cs="宋体" w:hint="eastAsia"/>
                <w:b/>
                <w:bCs/>
                <w:sz w:val="40"/>
                <w:szCs w:val="40"/>
              </w:rPr>
              <w:br/>
              <w:t>（2023年度）</w:t>
            </w:r>
          </w:p>
        </w:tc>
      </w:tr>
      <w:tr w:rsidR="00621941" w:rsidRPr="00960C85" w:rsidTr="00621941">
        <w:trPr>
          <w:trHeight w:val="497"/>
        </w:trPr>
        <w:tc>
          <w:tcPr>
            <w:tcW w:w="7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单位(部门)名称</w:t>
            </w:r>
          </w:p>
        </w:tc>
        <w:tc>
          <w:tcPr>
            <w:tcW w:w="4256" w:type="pct"/>
            <w:gridSpan w:val="10"/>
            <w:tcBorders>
              <w:top w:val="single" w:sz="4" w:space="0" w:color="auto"/>
              <w:left w:val="nil"/>
              <w:bottom w:val="single" w:sz="4" w:space="0" w:color="auto"/>
              <w:right w:val="single" w:sz="4" w:space="0" w:color="auto"/>
            </w:tcBorders>
            <w:shd w:val="clear" w:color="auto" w:fill="auto"/>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宁县发展和改革局</w:t>
            </w:r>
          </w:p>
        </w:tc>
      </w:tr>
      <w:tr w:rsidR="00621941" w:rsidRPr="00960C85" w:rsidTr="00621941">
        <w:trPr>
          <w:trHeight w:val="419"/>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联系人</w:t>
            </w:r>
          </w:p>
        </w:tc>
        <w:tc>
          <w:tcPr>
            <w:tcW w:w="1330" w:type="pct"/>
            <w:gridSpan w:val="3"/>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付霞</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联系电话</w:t>
            </w:r>
          </w:p>
        </w:tc>
        <w:tc>
          <w:tcPr>
            <w:tcW w:w="2373" w:type="pct"/>
            <w:gridSpan w:val="5"/>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6622432</w:t>
            </w:r>
          </w:p>
        </w:tc>
      </w:tr>
      <w:tr w:rsidR="00621941" w:rsidRPr="00960C85" w:rsidTr="00621941">
        <w:trPr>
          <w:trHeight w:val="697"/>
        </w:trPr>
        <w:tc>
          <w:tcPr>
            <w:tcW w:w="744" w:type="pct"/>
            <w:vMerge w:val="restar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单位(部门)职能</w:t>
            </w: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依据</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《宁县发展和改革局职能配置、内设机构、和人员编制规定》  宁政办字【2019】31号</w:t>
            </w:r>
          </w:p>
        </w:tc>
      </w:tr>
      <w:tr w:rsidR="00621941" w:rsidRPr="00960C85" w:rsidTr="00621941">
        <w:trPr>
          <w:trHeight w:val="1275"/>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职能简述</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sz w:val="14"/>
                <w:szCs w:val="14"/>
              </w:rPr>
            </w:pPr>
            <w:r w:rsidRPr="00960C85">
              <w:rPr>
                <w:rFonts w:ascii="宋体" w:hAnsi="宋体" w:cs="宋体" w:hint="eastAsia"/>
                <w:color w:val="000000"/>
                <w:sz w:val="14"/>
                <w:szCs w:val="14"/>
              </w:rPr>
              <w:t>职责绩效目标;贯彻执行国家、省、州有关国民经济和社会发展、经济体制改革的方针、政策和法律、法规;负责监测预测全县经济和社会发展形势。负责全县投资宏观管理，协调推进重大项目建设，指导、协调并综合管理全县招标投标工作；负责汇总分析全县财政、金融等方面情况，组织编制全县国民经济动员与装备动员规划、计划并组织实施相关工作，负责公路、铁路、机场等综合交通的统筹规划和发展协调等工作。贯彻实施国家、省、州价格法律法规和方针政策。贯彻实施国家、省、州粮食流通和物资储备法律、法规和方针、政策，贯彻执行省、州粮食流通和物资储备管理的地方法规规章。管理全县粮食和重要物资储备，落实有关动用计划和指令。贯彻实施国家、省、州能源发展战略、规划和政策，拟定并组织实施全县能源发展总体规划年度指导性计划。</w:t>
            </w:r>
          </w:p>
        </w:tc>
      </w:tr>
      <w:tr w:rsidR="00621941" w:rsidRPr="00960C85" w:rsidTr="00621941">
        <w:trPr>
          <w:trHeight w:val="1006"/>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近三年单位职能是否出现过重大变化</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无</w:t>
            </w:r>
          </w:p>
        </w:tc>
      </w:tr>
      <w:tr w:rsidR="00621941" w:rsidRPr="00960C85" w:rsidTr="00621941">
        <w:trPr>
          <w:trHeight w:val="383"/>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变化内容</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无</w:t>
            </w:r>
          </w:p>
        </w:tc>
      </w:tr>
      <w:tr w:rsidR="00621941" w:rsidRPr="00960C85" w:rsidTr="00621941">
        <w:trPr>
          <w:trHeight w:val="431"/>
        </w:trPr>
        <w:tc>
          <w:tcPr>
            <w:tcW w:w="744" w:type="pct"/>
            <w:vMerge w:val="restar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单位(部门)基本信息</w:t>
            </w: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是否为一级预算主管部门</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是</w:t>
            </w:r>
          </w:p>
        </w:tc>
      </w:tr>
      <w:tr w:rsidR="00621941" w:rsidRPr="00960C85" w:rsidTr="00621941">
        <w:trPr>
          <w:trHeight w:val="312"/>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上级主管部门</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 xml:space="preserve">　</w:t>
            </w:r>
          </w:p>
        </w:tc>
      </w:tr>
      <w:tr w:rsidR="00621941" w:rsidRPr="00960C85" w:rsidTr="00621941">
        <w:trPr>
          <w:trHeight w:val="278"/>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部门所属领域</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 xml:space="preserve">　</w:t>
            </w:r>
          </w:p>
        </w:tc>
      </w:tr>
      <w:tr w:rsidR="00621941" w:rsidRPr="00960C85" w:rsidTr="00621941">
        <w:trPr>
          <w:trHeight w:val="364"/>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直属单位包括</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宁县粮食稽查队</w:t>
            </w:r>
          </w:p>
        </w:tc>
      </w:tr>
      <w:tr w:rsidR="00621941" w:rsidRPr="00960C85" w:rsidTr="00621941">
        <w:trPr>
          <w:trHeight w:val="269"/>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内设职能部门</w:t>
            </w:r>
          </w:p>
        </w:tc>
        <w:tc>
          <w:tcPr>
            <w:tcW w:w="3531" w:type="pct"/>
            <w:gridSpan w:val="8"/>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 xml:space="preserve">　</w:t>
            </w:r>
          </w:p>
        </w:tc>
      </w:tr>
      <w:tr w:rsidR="00621941" w:rsidRPr="00960C85" w:rsidTr="00621941">
        <w:trPr>
          <w:trHeight w:val="260"/>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编制人员数</w:t>
            </w:r>
          </w:p>
        </w:tc>
        <w:tc>
          <w:tcPr>
            <w:tcW w:w="6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在职人员总数</w:t>
            </w:r>
          </w:p>
        </w:tc>
        <w:tc>
          <w:tcPr>
            <w:tcW w:w="2926" w:type="pct"/>
            <w:gridSpan w:val="7"/>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其中：</w:t>
            </w:r>
          </w:p>
        </w:tc>
      </w:tr>
      <w:tr w:rsidR="00621941" w:rsidRPr="00960C85" w:rsidTr="00621941">
        <w:trPr>
          <w:trHeight w:val="533"/>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839" w:type="pct"/>
            <w:gridSpan w:val="3"/>
            <w:tcBorders>
              <w:top w:val="nil"/>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行政编制人数</w:t>
            </w:r>
          </w:p>
        </w:tc>
        <w:tc>
          <w:tcPr>
            <w:tcW w:w="1116" w:type="pct"/>
            <w:gridSpan w:val="3"/>
            <w:tcBorders>
              <w:top w:val="nil"/>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事业编制人数</w:t>
            </w:r>
          </w:p>
        </w:tc>
        <w:tc>
          <w:tcPr>
            <w:tcW w:w="971" w:type="pct"/>
            <w:tcBorders>
              <w:top w:val="nil"/>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编外人数</w:t>
            </w:r>
          </w:p>
        </w:tc>
      </w:tr>
      <w:tr w:rsidR="00621941" w:rsidRPr="00960C85" w:rsidTr="00621941">
        <w:trPr>
          <w:trHeight w:val="360"/>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725"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32</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31</w:t>
            </w:r>
          </w:p>
        </w:tc>
        <w:tc>
          <w:tcPr>
            <w:tcW w:w="839" w:type="pct"/>
            <w:gridSpan w:val="3"/>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11</w:t>
            </w:r>
          </w:p>
        </w:tc>
        <w:tc>
          <w:tcPr>
            <w:tcW w:w="1116" w:type="pct"/>
            <w:gridSpan w:val="3"/>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20</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1</w:t>
            </w:r>
          </w:p>
        </w:tc>
      </w:tr>
      <w:tr w:rsidR="00621941" w:rsidRPr="00960C85" w:rsidTr="00621941">
        <w:trPr>
          <w:trHeight w:val="419"/>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部门基本制度建设情况</w:t>
            </w:r>
          </w:p>
        </w:tc>
        <w:tc>
          <w:tcPr>
            <w:tcW w:w="4256" w:type="pct"/>
            <w:gridSpan w:val="10"/>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rPr>
                <w:rFonts w:ascii="宋体" w:hAnsi="宋体" w:cs="宋体"/>
                <w:color w:val="000000"/>
              </w:rPr>
            </w:pPr>
            <w:r w:rsidRPr="00960C85">
              <w:rPr>
                <w:rFonts w:ascii="宋体" w:hAnsi="宋体" w:cs="宋体" w:hint="eastAsia"/>
                <w:color w:val="000000"/>
              </w:rPr>
              <w:t xml:space="preserve">　</w:t>
            </w:r>
          </w:p>
        </w:tc>
      </w:tr>
      <w:tr w:rsidR="00621941" w:rsidRPr="00960C85" w:rsidTr="00621941">
        <w:trPr>
          <w:trHeight w:val="427"/>
        </w:trPr>
        <w:tc>
          <w:tcPr>
            <w:tcW w:w="744" w:type="pct"/>
            <w:vMerge w:val="restar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上年预算情况（万元）</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预算批复数</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预算调整数</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实际支出数</w:t>
            </w:r>
          </w:p>
        </w:tc>
        <w:tc>
          <w:tcPr>
            <w:tcW w:w="1076"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执行率</w:t>
            </w:r>
          </w:p>
        </w:tc>
        <w:tc>
          <w:tcPr>
            <w:tcW w:w="1297" w:type="pct"/>
            <w:gridSpan w:val="3"/>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年末结转结余数</w:t>
            </w:r>
          </w:p>
        </w:tc>
      </w:tr>
      <w:tr w:rsidR="00621941" w:rsidRPr="00960C85" w:rsidTr="00621941">
        <w:trPr>
          <w:trHeight w:val="463"/>
        </w:trPr>
        <w:tc>
          <w:tcPr>
            <w:tcW w:w="744" w:type="pct"/>
            <w:vMerge/>
            <w:tcBorders>
              <w:top w:val="nil"/>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000000"/>
              </w:rPr>
            </w:pP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841.53 </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180.17 </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1021.70 </w:t>
            </w:r>
          </w:p>
        </w:tc>
        <w:tc>
          <w:tcPr>
            <w:tcW w:w="1076"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100%</w:t>
            </w:r>
          </w:p>
        </w:tc>
        <w:tc>
          <w:tcPr>
            <w:tcW w:w="1297" w:type="pct"/>
            <w:gridSpan w:val="3"/>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r>
      <w:tr w:rsidR="00621941" w:rsidRPr="00960C85" w:rsidTr="00621941">
        <w:trPr>
          <w:trHeight w:val="458"/>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sz w:val="18"/>
                <w:szCs w:val="18"/>
              </w:rPr>
            </w:pPr>
            <w:r w:rsidRPr="00960C85">
              <w:rPr>
                <w:rFonts w:ascii="宋体" w:hAnsi="宋体" w:cs="宋体" w:hint="eastAsia"/>
                <w:color w:val="000000"/>
                <w:sz w:val="18"/>
                <w:szCs w:val="18"/>
              </w:rPr>
              <w:lastRenderedPageBreak/>
              <w:t>当年预算构成（万元）</w:t>
            </w:r>
          </w:p>
        </w:tc>
        <w:tc>
          <w:tcPr>
            <w:tcW w:w="1330" w:type="pct"/>
            <w:gridSpan w:val="3"/>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部门收入预算</w:t>
            </w:r>
          </w:p>
        </w:tc>
        <w:tc>
          <w:tcPr>
            <w:tcW w:w="2926" w:type="pct"/>
            <w:gridSpan w:val="7"/>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部门支出预算</w:t>
            </w:r>
          </w:p>
        </w:tc>
      </w:tr>
      <w:tr w:rsidR="00621941" w:rsidRPr="00960C85" w:rsidTr="00621941">
        <w:trPr>
          <w:trHeight w:val="37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上级财政拨款</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人员经费</w:t>
            </w:r>
          </w:p>
        </w:tc>
        <w:tc>
          <w:tcPr>
            <w:tcW w:w="2373" w:type="pct"/>
            <w:gridSpan w:val="5"/>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427.37</w:t>
            </w:r>
          </w:p>
        </w:tc>
      </w:tr>
      <w:tr w:rsidR="00621941" w:rsidRPr="00960C85" w:rsidTr="00621941">
        <w:trPr>
          <w:trHeight w:val="37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本级财政安排</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2945.22 </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公用经费</w:t>
            </w:r>
          </w:p>
        </w:tc>
        <w:tc>
          <w:tcPr>
            <w:tcW w:w="2373" w:type="pct"/>
            <w:gridSpan w:val="5"/>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52.78</w:t>
            </w:r>
          </w:p>
        </w:tc>
      </w:tr>
      <w:tr w:rsidR="00621941" w:rsidRPr="00960C85" w:rsidTr="00621941">
        <w:trPr>
          <w:trHeight w:val="37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其他资金</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项目经费</w:t>
            </w:r>
          </w:p>
        </w:tc>
        <w:tc>
          <w:tcPr>
            <w:tcW w:w="2373" w:type="pct"/>
            <w:gridSpan w:val="5"/>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2465.08</w:t>
            </w:r>
          </w:p>
        </w:tc>
      </w:tr>
      <w:tr w:rsidR="00621941" w:rsidRPr="00960C85" w:rsidTr="00621941">
        <w:trPr>
          <w:trHeight w:val="37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收入预算合计</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2945.22 </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支出预算合计</w:t>
            </w:r>
          </w:p>
        </w:tc>
        <w:tc>
          <w:tcPr>
            <w:tcW w:w="2373" w:type="pct"/>
            <w:gridSpan w:val="5"/>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2945.22 </w:t>
            </w:r>
          </w:p>
        </w:tc>
      </w:tr>
      <w:tr w:rsidR="00621941" w:rsidRPr="00960C85" w:rsidTr="00621941">
        <w:trPr>
          <w:trHeight w:val="375"/>
        </w:trPr>
        <w:tc>
          <w:tcPr>
            <w:tcW w:w="744" w:type="pct"/>
            <w:tcBorders>
              <w:top w:val="nil"/>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sz w:val="16"/>
                <w:szCs w:val="16"/>
              </w:rPr>
            </w:pPr>
            <w:r w:rsidRPr="00960C85">
              <w:rPr>
                <w:rFonts w:ascii="宋体" w:hAnsi="宋体" w:cs="宋体" w:hint="eastAsia"/>
                <w:color w:val="000000"/>
                <w:sz w:val="16"/>
                <w:szCs w:val="16"/>
              </w:rPr>
              <w:t>其他需要说明的问题</w:t>
            </w:r>
          </w:p>
        </w:tc>
        <w:tc>
          <w:tcPr>
            <w:tcW w:w="4256" w:type="pct"/>
            <w:gridSpan w:val="10"/>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000000"/>
              </w:rPr>
            </w:pPr>
            <w:r w:rsidRPr="00960C85">
              <w:rPr>
                <w:rFonts w:ascii="宋体" w:hAnsi="宋体" w:cs="宋体" w:hint="eastAsia"/>
                <w:color w:val="000000"/>
              </w:rPr>
              <w:t xml:space="preserve">　</w:t>
            </w:r>
          </w:p>
        </w:tc>
      </w:tr>
      <w:tr w:rsidR="00621941" w:rsidRPr="00960C85" w:rsidTr="00621941">
        <w:trPr>
          <w:trHeight w:val="407"/>
        </w:trPr>
        <w:tc>
          <w:tcPr>
            <w:tcW w:w="14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1941" w:rsidRPr="00960C85" w:rsidRDefault="00621941" w:rsidP="003418ED">
            <w:pPr>
              <w:jc w:val="center"/>
              <w:rPr>
                <w:rFonts w:ascii="宋体" w:hAnsi="宋体" w:cs="宋体"/>
                <w:b/>
                <w:bCs/>
              </w:rPr>
            </w:pPr>
            <w:r w:rsidRPr="00960C85">
              <w:rPr>
                <w:rFonts w:ascii="宋体" w:hAnsi="宋体" w:cs="宋体" w:hint="eastAsia"/>
                <w:b/>
                <w:bCs/>
              </w:rPr>
              <w:t>一级指标</w:t>
            </w:r>
          </w:p>
        </w:tc>
        <w:tc>
          <w:tcPr>
            <w:tcW w:w="867" w:type="pct"/>
            <w:gridSpan w:val="2"/>
            <w:tcBorders>
              <w:top w:val="single" w:sz="4" w:space="0" w:color="auto"/>
              <w:left w:val="nil"/>
              <w:bottom w:val="single" w:sz="4" w:space="0" w:color="auto"/>
              <w:right w:val="single" w:sz="4" w:space="0" w:color="auto"/>
            </w:tcBorders>
            <w:shd w:val="clear" w:color="auto" w:fill="auto"/>
            <w:vAlign w:val="center"/>
            <w:hideMark/>
          </w:tcPr>
          <w:p w:rsidR="00621941" w:rsidRPr="00960C85" w:rsidRDefault="00621941" w:rsidP="003418ED">
            <w:pPr>
              <w:jc w:val="center"/>
              <w:rPr>
                <w:rFonts w:ascii="宋体" w:hAnsi="宋体" w:cs="宋体"/>
                <w:b/>
                <w:bCs/>
              </w:rPr>
            </w:pPr>
            <w:r w:rsidRPr="00960C85">
              <w:rPr>
                <w:rFonts w:ascii="宋体" w:hAnsi="宋体" w:cs="宋体" w:hint="eastAsia"/>
                <w:b/>
                <w:bCs/>
              </w:rPr>
              <w:t>二级指标</w:t>
            </w:r>
          </w:p>
        </w:tc>
        <w:tc>
          <w:tcPr>
            <w:tcW w:w="1525" w:type="pct"/>
            <w:gridSpan w:val="4"/>
            <w:tcBorders>
              <w:top w:val="single" w:sz="4" w:space="0" w:color="auto"/>
              <w:left w:val="nil"/>
              <w:bottom w:val="single" w:sz="4" w:space="0" w:color="auto"/>
              <w:right w:val="single" w:sz="4" w:space="0" w:color="auto"/>
            </w:tcBorders>
            <w:shd w:val="clear" w:color="auto" w:fill="auto"/>
            <w:vAlign w:val="center"/>
            <w:hideMark/>
          </w:tcPr>
          <w:p w:rsidR="00621941" w:rsidRPr="00960C85" w:rsidRDefault="00621941" w:rsidP="003418ED">
            <w:pPr>
              <w:jc w:val="center"/>
              <w:rPr>
                <w:rFonts w:ascii="宋体" w:hAnsi="宋体" w:cs="宋体"/>
                <w:b/>
                <w:bCs/>
              </w:rPr>
            </w:pPr>
            <w:r w:rsidRPr="00960C85">
              <w:rPr>
                <w:rFonts w:ascii="宋体" w:hAnsi="宋体" w:cs="宋体" w:hint="eastAsia"/>
                <w:b/>
                <w:bCs/>
              </w:rPr>
              <w:t>三级指标</w:t>
            </w:r>
          </w:p>
        </w:tc>
        <w:tc>
          <w:tcPr>
            <w:tcW w:w="1139" w:type="pct"/>
            <w:gridSpan w:val="2"/>
            <w:tcBorders>
              <w:top w:val="single" w:sz="4" w:space="0" w:color="auto"/>
              <w:left w:val="nil"/>
              <w:bottom w:val="single" w:sz="4" w:space="0" w:color="auto"/>
              <w:right w:val="single" w:sz="4" w:space="0" w:color="auto"/>
            </w:tcBorders>
            <w:shd w:val="clear" w:color="auto" w:fill="auto"/>
            <w:vAlign w:val="center"/>
            <w:hideMark/>
          </w:tcPr>
          <w:p w:rsidR="00621941" w:rsidRPr="00960C85" w:rsidRDefault="00621941" w:rsidP="003418ED">
            <w:pPr>
              <w:jc w:val="center"/>
              <w:rPr>
                <w:rFonts w:ascii="宋体" w:hAnsi="宋体" w:cs="宋体"/>
                <w:b/>
                <w:bCs/>
              </w:rPr>
            </w:pPr>
            <w:r w:rsidRPr="00960C85">
              <w:rPr>
                <w:rFonts w:ascii="宋体" w:hAnsi="宋体" w:cs="宋体" w:hint="eastAsia"/>
                <w:b/>
                <w:bCs/>
              </w:rPr>
              <w:t>目标值</w:t>
            </w:r>
          </w:p>
        </w:tc>
      </w:tr>
      <w:tr w:rsidR="00621941" w:rsidRPr="00960C85" w:rsidTr="00621941">
        <w:trPr>
          <w:trHeight w:val="360"/>
        </w:trPr>
        <w:tc>
          <w:tcPr>
            <w:tcW w:w="146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部门管理</w:t>
            </w: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资金投入</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保障人员工资</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192"/>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完成粮食和物资储备任务</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253"/>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财务管理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三公经费执行率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000000"/>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预决算公开及时率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采购管理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执行采购管理办法</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资产管理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固定资产及时入库率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人员管理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在职人员到岗率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重点工作管理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完成重点项目验收合格</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val="restart"/>
            <w:tcBorders>
              <w:top w:val="single" w:sz="4" w:space="0" w:color="auto"/>
              <w:left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r w:rsidRPr="00960C85">
              <w:rPr>
                <w:rFonts w:ascii="宋体" w:hAnsi="宋体" w:cs="宋体" w:hint="eastAsia"/>
                <w:color w:val="333333"/>
              </w:rPr>
              <w:t>履职效果</w:t>
            </w:r>
          </w:p>
          <w:p w:rsidR="00621941" w:rsidRPr="00960C85" w:rsidRDefault="00621941" w:rsidP="003418ED">
            <w:pPr>
              <w:jc w:val="center"/>
              <w:rPr>
                <w:rFonts w:ascii="宋体" w:hAnsi="宋体" w:cs="宋体"/>
                <w:color w:val="333333"/>
              </w:rPr>
            </w:pPr>
          </w:p>
          <w:p w:rsidR="00621941" w:rsidRPr="00960C85" w:rsidRDefault="00621941" w:rsidP="003418ED">
            <w:pPr>
              <w:adjustRightInd w:val="0"/>
              <w:snapToGrid w:val="0"/>
              <w:jc w:val="center"/>
              <w:rPr>
                <w:rFonts w:ascii="宋体" w:hAnsi="宋体" w:cs="宋体"/>
                <w:color w:val="333333"/>
              </w:rPr>
            </w:pP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部门履职目标</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贯彻实施国家、省、州价格法律法规和方针政策 </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51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贯彻执行国家、省、州有关国民经济和社会发展、经济体制改革的方针</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left w:val="single" w:sz="4" w:space="0" w:color="auto"/>
              <w:bottom w:val="single" w:sz="4" w:space="0" w:color="auto"/>
              <w:right w:val="single" w:sz="4" w:space="0" w:color="auto"/>
            </w:tcBorders>
            <w:vAlign w:val="center"/>
            <w:hideMark/>
          </w:tcPr>
          <w:p w:rsidR="00621941" w:rsidRPr="00960C85" w:rsidRDefault="00621941" w:rsidP="003418ED">
            <w:pPr>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r>
      <w:tr w:rsidR="00621941" w:rsidRPr="00960C85" w:rsidTr="00621941">
        <w:trPr>
          <w:trHeight w:val="360"/>
        </w:trPr>
        <w:tc>
          <w:tcPr>
            <w:tcW w:w="1469" w:type="pct"/>
            <w:gridSpan w:val="3"/>
            <w:vMerge w:val="restart"/>
            <w:tcBorders>
              <w:top w:val="single" w:sz="4" w:space="0" w:color="auto"/>
              <w:left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r w:rsidRPr="00960C85">
              <w:rPr>
                <w:rFonts w:ascii="宋体" w:hAnsi="宋体" w:cs="宋体" w:hint="eastAsia"/>
                <w:color w:val="333333"/>
              </w:rPr>
              <w:t>履职效果</w:t>
            </w:r>
          </w:p>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p>
          <w:p w:rsidR="00621941" w:rsidRPr="00960C85" w:rsidRDefault="00621941" w:rsidP="003418ED">
            <w:pPr>
              <w:jc w:val="center"/>
              <w:rPr>
                <w:rFonts w:ascii="宋体" w:hAnsi="宋体" w:cs="宋体"/>
                <w:color w:val="333333"/>
              </w:rPr>
            </w:pPr>
          </w:p>
          <w:p w:rsidR="00621941" w:rsidRPr="00960C85" w:rsidRDefault="00621941" w:rsidP="003418ED">
            <w:pPr>
              <w:adjustRightInd w:val="0"/>
              <w:snapToGrid w:val="0"/>
              <w:jc w:val="center"/>
              <w:rPr>
                <w:rFonts w:ascii="宋体" w:hAnsi="宋体" w:cs="宋体"/>
                <w:color w:val="333333"/>
              </w:rPr>
            </w:pP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部门效果目标</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项目申报未受到质疑，无不良社会反应</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adjustRightInd w:val="0"/>
              <w:snapToGrid w:val="0"/>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绿色低碳发展、节能审查</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adjustRightInd w:val="0"/>
              <w:snapToGrid w:val="0"/>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r>
      <w:tr w:rsidR="00621941" w:rsidRPr="00960C85" w:rsidTr="00621941">
        <w:trPr>
          <w:trHeight w:val="36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adjustRightInd w:val="0"/>
              <w:snapToGrid w:val="0"/>
              <w:jc w:val="center"/>
              <w:rPr>
                <w:rFonts w:ascii="宋体" w:hAnsi="宋体" w:cs="宋体"/>
                <w:color w:val="333333"/>
              </w:rPr>
            </w:pP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服务对象满意度</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群众满意度</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adjustRightInd w:val="0"/>
              <w:snapToGrid w:val="0"/>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职工满意度</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adjustRightInd w:val="0"/>
              <w:snapToGrid w:val="0"/>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r>
      <w:tr w:rsidR="00621941" w:rsidRPr="00960C85" w:rsidTr="00621941">
        <w:trPr>
          <w:trHeight w:val="360"/>
        </w:trPr>
        <w:tc>
          <w:tcPr>
            <w:tcW w:w="1469" w:type="pct"/>
            <w:gridSpan w:val="3"/>
            <w:vMerge/>
            <w:tcBorders>
              <w:left w:val="single" w:sz="4" w:space="0" w:color="auto"/>
              <w:right w:val="single" w:sz="4" w:space="0" w:color="auto"/>
            </w:tcBorders>
            <w:vAlign w:val="center"/>
            <w:hideMark/>
          </w:tcPr>
          <w:p w:rsidR="00621941" w:rsidRPr="00960C85" w:rsidRDefault="00621941" w:rsidP="003418ED">
            <w:pPr>
              <w:jc w:val="center"/>
              <w:rPr>
                <w:rFonts w:ascii="宋体" w:hAnsi="宋体" w:cs="宋体"/>
                <w:color w:val="333333"/>
              </w:rPr>
            </w:pP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社会影响</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通硬化道路率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left w:val="single" w:sz="4" w:space="0" w:color="auto"/>
              <w:bottom w:val="single" w:sz="4" w:space="0" w:color="auto"/>
              <w:right w:val="single" w:sz="4" w:space="0" w:color="auto"/>
            </w:tcBorders>
            <w:vAlign w:val="center"/>
            <w:hideMark/>
          </w:tcPr>
          <w:p w:rsidR="00621941" w:rsidRPr="00960C85" w:rsidRDefault="00621941" w:rsidP="003418ED">
            <w:pPr>
              <w:jc w:val="center"/>
              <w:rPr>
                <w:rFonts w:ascii="宋体" w:hAnsi="宋体" w:cs="宋体"/>
                <w:color w:val="333333"/>
              </w:rPr>
            </w:pPr>
          </w:p>
        </w:tc>
        <w:tc>
          <w:tcPr>
            <w:tcW w:w="867" w:type="pct"/>
            <w:gridSpan w:val="2"/>
            <w:vMerge/>
            <w:tcBorders>
              <w:top w:val="nil"/>
              <w:left w:val="nil"/>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粮食和物资储备质量合格率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能力建设</w:t>
            </w:r>
          </w:p>
        </w:tc>
        <w:tc>
          <w:tcPr>
            <w:tcW w:w="86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长效管理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重点项目竣工验收合格率</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 xml:space="preserve">　</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人力资源建设</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请销假制度完善</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r w:rsidR="00621941" w:rsidRPr="00960C85" w:rsidTr="00621941">
        <w:trPr>
          <w:trHeight w:val="360"/>
        </w:trPr>
        <w:tc>
          <w:tcPr>
            <w:tcW w:w="1469" w:type="pct"/>
            <w:gridSpan w:val="3"/>
            <w:vMerge/>
            <w:tcBorders>
              <w:top w:val="single" w:sz="4" w:space="0" w:color="auto"/>
              <w:left w:val="single" w:sz="4" w:space="0" w:color="auto"/>
              <w:bottom w:val="single" w:sz="4" w:space="0" w:color="auto"/>
              <w:right w:val="single" w:sz="4" w:space="0" w:color="auto"/>
            </w:tcBorders>
            <w:vAlign w:val="center"/>
            <w:hideMark/>
          </w:tcPr>
          <w:p w:rsidR="00621941" w:rsidRPr="00960C85" w:rsidRDefault="00621941" w:rsidP="003418ED">
            <w:pPr>
              <w:rPr>
                <w:rFonts w:ascii="宋体" w:hAnsi="宋体" w:cs="宋体"/>
                <w:color w:val="333333"/>
              </w:rPr>
            </w:pPr>
          </w:p>
        </w:tc>
        <w:tc>
          <w:tcPr>
            <w:tcW w:w="867"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档案管理</w:t>
            </w:r>
          </w:p>
        </w:tc>
        <w:tc>
          <w:tcPr>
            <w:tcW w:w="1525" w:type="pct"/>
            <w:gridSpan w:val="4"/>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制度规范、资料完整</w:t>
            </w:r>
          </w:p>
        </w:tc>
        <w:tc>
          <w:tcPr>
            <w:tcW w:w="1139" w:type="pct"/>
            <w:gridSpan w:val="2"/>
            <w:tcBorders>
              <w:top w:val="single" w:sz="4" w:space="0" w:color="auto"/>
              <w:left w:val="nil"/>
              <w:bottom w:val="single" w:sz="4" w:space="0" w:color="auto"/>
              <w:right w:val="single" w:sz="4" w:space="0" w:color="auto"/>
            </w:tcBorders>
            <w:shd w:val="clear" w:color="000000" w:fill="FFFFFF"/>
            <w:vAlign w:val="center"/>
            <w:hideMark/>
          </w:tcPr>
          <w:p w:rsidR="00621941" w:rsidRPr="00960C85" w:rsidRDefault="00621941" w:rsidP="003418ED">
            <w:pPr>
              <w:jc w:val="center"/>
              <w:rPr>
                <w:rFonts w:ascii="宋体" w:hAnsi="宋体" w:cs="宋体"/>
                <w:color w:val="333333"/>
              </w:rPr>
            </w:pPr>
            <w:r w:rsidRPr="00960C85">
              <w:rPr>
                <w:rFonts w:ascii="宋体" w:hAnsi="宋体" w:cs="宋体" w:hint="eastAsia"/>
                <w:color w:val="333333"/>
              </w:rPr>
              <w:t>100%</w:t>
            </w:r>
          </w:p>
        </w:tc>
      </w:tr>
    </w:tbl>
    <w:p w:rsidR="00DD5BC9" w:rsidRDefault="00DD5BC9" w:rsidP="00621941">
      <w:pPr>
        <w:spacing w:line="300" w:lineRule="exact"/>
        <w:rPr>
          <w:rFonts w:eastAsia="仿宋"/>
          <w:spacing w:val="-10"/>
          <w:sz w:val="32"/>
        </w:rPr>
      </w:pPr>
      <w:bookmarkStart w:id="0" w:name="_GoBack"/>
      <w:bookmarkEnd w:id="0"/>
    </w:p>
    <w:sectPr w:rsidR="00DD5BC9" w:rsidSect="00DD5BC9">
      <w:footerReference w:type="even" r:id="rId7"/>
      <w:footerReference w:type="default" r:id="rId8"/>
      <w:pgSz w:w="11906" w:h="16838"/>
      <w:pgMar w:top="1701" w:right="1701" w:bottom="1417" w:left="1701" w:header="851" w:footer="850"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8D" w:rsidRDefault="0062658D" w:rsidP="00DD5BC9">
      <w:r>
        <w:separator/>
      </w:r>
    </w:p>
  </w:endnote>
  <w:endnote w:type="continuationSeparator" w:id="0">
    <w:p w:rsidR="0062658D" w:rsidRDefault="0062658D" w:rsidP="00DD5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liss Light">
    <w:altName w:val="Times New Roman"/>
    <w:charset w:val="00"/>
    <w:family w:val="auto"/>
    <w:pitch w:val="default"/>
    <w:sig w:usb0="00000000" w:usb1="00000000" w:usb2="00000000" w:usb3="00000000" w:csb0="0000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C9" w:rsidRDefault="00022268">
    <w:pPr>
      <w:pStyle w:val="a4"/>
      <w:framePr w:wrap="around" w:vAnchor="text" w:hAnchor="margin" w:xAlign="center" w:y="1"/>
      <w:rPr>
        <w:rStyle w:val="a7"/>
      </w:rPr>
    </w:pPr>
    <w:r>
      <w:fldChar w:fldCharType="begin"/>
    </w:r>
    <w:r w:rsidR="002C6319">
      <w:rPr>
        <w:rStyle w:val="a7"/>
      </w:rPr>
      <w:instrText xml:space="preserve">PAGE  </w:instrText>
    </w:r>
    <w:r>
      <w:fldChar w:fldCharType="end"/>
    </w:r>
  </w:p>
  <w:p w:rsidR="00DD5BC9" w:rsidRDefault="00DD5B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C9" w:rsidRDefault="00022268">
    <w:pPr>
      <w:pStyle w:val="a4"/>
      <w:jc w:val="right"/>
    </w:pPr>
    <w:r>
      <w:fldChar w:fldCharType="begin"/>
    </w:r>
    <w:r w:rsidR="002C6319">
      <w:instrText>PAGE   \* MERGEFORMAT</w:instrText>
    </w:r>
    <w:r>
      <w:fldChar w:fldCharType="separate"/>
    </w:r>
    <w:r w:rsidR="00621941" w:rsidRPr="00621941">
      <w:rPr>
        <w:noProof/>
        <w:lang w:val="zh-CN"/>
      </w:rPr>
      <w:t>-</w:t>
    </w:r>
    <w:r w:rsidR="00621941">
      <w:rPr>
        <w:noProof/>
      </w:rPr>
      <w:t xml:space="preserve"> 12 -</w:t>
    </w:r>
    <w:r>
      <w:fldChar w:fldCharType="end"/>
    </w:r>
  </w:p>
  <w:p w:rsidR="00DD5BC9" w:rsidRDefault="00DD5B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8D" w:rsidRDefault="0062658D" w:rsidP="00DD5BC9">
      <w:r>
        <w:separator/>
      </w:r>
    </w:p>
  </w:footnote>
  <w:footnote w:type="continuationSeparator" w:id="0">
    <w:p w:rsidR="0062658D" w:rsidRDefault="0062658D" w:rsidP="00DD5B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VhY2M4Mjc2MjI1MzllMDg1YTc4M2I0NTY5ZmY2OWMifQ=="/>
  </w:docVars>
  <w:rsids>
    <w:rsidRoot w:val="2EF91436"/>
    <w:rsid w:val="00022268"/>
    <w:rsid w:val="00133764"/>
    <w:rsid w:val="001505D6"/>
    <w:rsid w:val="00194BB6"/>
    <w:rsid w:val="001A5F11"/>
    <w:rsid w:val="002C6319"/>
    <w:rsid w:val="003A7F68"/>
    <w:rsid w:val="0044438B"/>
    <w:rsid w:val="004842DE"/>
    <w:rsid w:val="0049428C"/>
    <w:rsid w:val="00621941"/>
    <w:rsid w:val="0062658D"/>
    <w:rsid w:val="00645FE3"/>
    <w:rsid w:val="00675374"/>
    <w:rsid w:val="007D49AB"/>
    <w:rsid w:val="008F6B3E"/>
    <w:rsid w:val="009D368E"/>
    <w:rsid w:val="009E0EF7"/>
    <w:rsid w:val="00A804A3"/>
    <w:rsid w:val="00AC3740"/>
    <w:rsid w:val="00AE24B4"/>
    <w:rsid w:val="00B31EA2"/>
    <w:rsid w:val="00B36559"/>
    <w:rsid w:val="00C24E3D"/>
    <w:rsid w:val="00CC5D19"/>
    <w:rsid w:val="00CE5ACD"/>
    <w:rsid w:val="00DD5BC9"/>
    <w:rsid w:val="00DE5D28"/>
    <w:rsid w:val="00E15920"/>
    <w:rsid w:val="00EB703D"/>
    <w:rsid w:val="00FC7D43"/>
    <w:rsid w:val="013C656C"/>
    <w:rsid w:val="01DB145E"/>
    <w:rsid w:val="0216335C"/>
    <w:rsid w:val="021C1F8C"/>
    <w:rsid w:val="03422EAD"/>
    <w:rsid w:val="03A362CF"/>
    <w:rsid w:val="04392E2E"/>
    <w:rsid w:val="04437978"/>
    <w:rsid w:val="04E452F2"/>
    <w:rsid w:val="05376DE2"/>
    <w:rsid w:val="053C0568"/>
    <w:rsid w:val="056D5D69"/>
    <w:rsid w:val="05720265"/>
    <w:rsid w:val="05BB40FF"/>
    <w:rsid w:val="05D3734F"/>
    <w:rsid w:val="06105F81"/>
    <w:rsid w:val="062E7315"/>
    <w:rsid w:val="06320A7B"/>
    <w:rsid w:val="073A4500"/>
    <w:rsid w:val="09071D5C"/>
    <w:rsid w:val="098609E4"/>
    <w:rsid w:val="09C822F7"/>
    <w:rsid w:val="09DD0704"/>
    <w:rsid w:val="0A88228F"/>
    <w:rsid w:val="0BFC35CE"/>
    <w:rsid w:val="0C040EAA"/>
    <w:rsid w:val="0CB71263"/>
    <w:rsid w:val="0D4424FB"/>
    <w:rsid w:val="0DDE1ABA"/>
    <w:rsid w:val="0DEE076D"/>
    <w:rsid w:val="0E094BBD"/>
    <w:rsid w:val="0FAD1E30"/>
    <w:rsid w:val="0FEC68D6"/>
    <w:rsid w:val="1000076B"/>
    <w:rsid w:val="102A2822"/>
    <w:rsid w:val="105F36E3"/>
    <w:rsid w:val="112A4B6B"/>
    <w:rsid w:val="11FE5B02"/>
    <w:rsid w:val="11FE645F"/>
    <w:rsid w:val="1216415E"/>
    <w:rsid w:val="126D1B37"/>
    <w:rsid w:val="12A40B0A"/>
    <w:rsid w:val="12CB383E"/>
    <w:rsid w:val="12F10C26"/>
    <w:rsid w:val="130C2B5F"/>
    <w:rsid w:val="1345032A"/>
    <w:rsid w:val="13FE7D05"/>
    <w:rsid w:val="14D42098"/>
    <w:rsid w:val="14F31242"/>
    <w:rsid w:val="15592CBC"/>
    <w:rsid w:val="1580133A"/>
    <w:rsid w:val="15863CE8"/>
    <w:rsid w:val="15A14CCF"/>
    <w:rsid w:val="15BF0464"/>
    <w:rsid w:val="15C72B1E"/>
    <w:rsid w:val="160B0701"/>
    <w:rsid w:val="16B65F15"/>
    <w:rsid w:val="16BB7406"/>
    <w:rsid w:val="1707594B"/>
    <w:rsid w:val="17336F65"/>
    <w:rsid w:val="17362798"/>
    <w:rsid w:val="1785121E"/>
    <w:rsid w:val="18626E4E"/>
    <w:rsid w:val="198E6401"/>
    <w:rsid w:val="199619EE"/>
    <w:rsid w:val="19FA70BB"/>
    <w:rsid w:val="1A023590"/>
    <w:rsid w:val="1A101F79"/>
    <w:rsid w:val="1A317C76"/>
    <w:rsid w:val="1A7B58AF"/>
    <w:rsid w:val="1AC83472"/>
    <w:rsid w:val="1BB527D2"/>
    <w:rsid w:val="1C057BD0"/>
    <w:rsid w:val="1C392CA5"/>
    <w:rsid w:val="1C6C75AA"/>
    <w:rsid w:val="1CC877A8"/>
    <w:rsid w:val="1DED3E1B"/>
    <w:rsid w:val="1DF71F01"/>
    <w:rsid w:val="1E114FA7"/>
    <w:rsid w:val="1F9D3782"/>
    <w:rsid w:val="1FE0639B"/>
    <w:rsid w:val="207760A8"/>
    <w:rsid w:val="209516DC"/>
    <w:rsid w:val="21A36DB0"/>
    <w:rsid w:val="220462B7"/>
    <w:rsid w:val="228A274F"/>
    <w:rsid w:val="23D02ECA"/>
    <w:rsid w:val="240622A1"/>
    <w:rsid w:val="248B527C"/>
    <w:rsid w:val="24E50C90"/>
    <w:rsid w:val="255E5616"/>
    <w:rsid w:val="25CF6373"/>
    <w:rsid w:val="25FA301A"/>
    <w:rsid w:val="262976C5"/>
    <w:rsid w:val="264622D5"/>
    <w:rsid w:val="273E55BE"/>
    <w:rsid w:val="279A57E1"/>
    <w:rsid w:val="283F7D68"/>
    <w:rsid w:val="292D2AA2"/>
    <w:rsid w:val="29764DA7"/>
    <w:rsid w:val="29F64266"/>
    <w:rsid w:val="2ABC1DA2"/>
    <w:rsid w:val="2ABC4BCB"/>
    <w:rsid w:val="2AC46480"/>
    <w:rsid w:val="2B200D73"/>
    <w:rsid w:val="2B4846BA"/>
    <w:rsid w:val="2B4850E9"/>
    <w:rsid w:val="2B783AE9"/>
    <w:rsid w:val="2BBF4DA7"/>
    <w:rsid w:val="2D355CF5"/>
    <w:rsid w:val="2D6D6367"/>
    <w:rsid w:val="2D945BA3"/>
    <w:rsid w:val="2DB319BA"/>
    <w:rsid w:val="2E580034"/>
    <w:rsid w:val="2EF91436"/>
    <w:rsid w:val="2F04243C"/>
    <w:rsid w:val="2F8C35EB"/>
    <w:rsid w:val="300111F0"/>
    <w:rsid w:val="302C5C73"/>
    <w:rsid w:val="306778AB"/>
    <w:rsid w:val="307746C9"/>
    <w:rsid w:val="309F4280"/>
    <w:rsid w:val="313D4393"/>
    <w:rsid w:val="314551B7"/>
    <w:rsid w:val="31F14481"/>
    <w:rsid w:val="3233683A"/>
    <w:rsid w:val="32DA4926"/>
    <w:rsid w:val="32E8280C"/>
    <w:rsid w:val="33160902"/>
    <w:rsid w:val="33496D39"/>
    <w:rsid w:val="335C2EF4"/>
    <w:rsid w:val="348C247E"/>
    <w:rsid w:val="34B019A5"/>
    <w:rsid w:val="350D472F"/>
    <w:rsid w:val="3531284D"/>
    <w:rsid w:val="356A74F3"/>
    <w:rsid w:val="35BB197C"/>
    <w:rsid w:val="369B3C57"/>
    <w:rsid w:val="36A30511"/>
    <w:rsid w:val="37876688"/>
    <w:rsid w:val="38192958"/>
    <w:rsid w:val="3865216D"/>
    <w:rsid w:val="38CE5E1E"/>
    <w:rsid w:val="39500DD8"/>
    <w:rsid w:val="39686B59"/>
    <w:rsid w:val="3971390B"/>
    <w:rsid w:val="39DC4DEA"/>
    <w:rsid w:val="3A0349B2"/>
    <w:rsid w:val="3AC964FF"/>
    <w:rsid w:val="3B8C756F"/>
    <w:rsid w:val="3B9D352A"/>
    <w:rsid w:val="3BA05DEB"/>
    <w:rsid w:val="3BBE7278"/>
    <w:rsid w:val="3C527AA3"/>
    <w:rsid w:val="3C8E1489"/>
    <w:rsid w:val="3E013A15"/>
    <w:rsid w:val="3E3127C9"/>
    <w:rsid w:val="3E762370"/>
    <w:rsid w:val="3E875CBF"/>
    <w:rsid w:val="3EB5059B"/>
    <w:rsid w:val="3ED2039D"/>
    <w:rsid w:val="3EE23DBC"/>
    <w:rsid w:val="3EEF0025"/>
    <w:rsid w:val="3F787ADC"/>
    <w:rsid w:val="3F7F7340"/>
    <w:rsid w:val="3FFB37B6"/>
    <w:rsid w:val="3FFF0E30"/>
    <w:rsid w:val="40710261"/>
    <w:rsid w:val="421D568C"/>
    <w:rsid w:val="43945304"/>
    <w:rsid w:val="44753D86"/>
    <w:rsid w:val="447B3C2E"/>
    <w:rsid w:val="44EE763B"/>
    <w:rsid w:val="4505742D"/>
    <w:rsid w:val="452A76A9"/>
    <w:rsid w:val="45497A5C"/>
    <w:rsid w:val="45747F4A"/>
    <w:rsid w:val="459B6815"/>
    <w:rsid w:val="46A7022E"/>
    <w:rsid w:val="46E4758E"/>
    <w:rsid w:val="46EC4662"/>
    <w:rsid w:val="47D744C4"/>
    <w:rsid w:val="47DC7814"/>
    <w:rsid w:val="480A3EB4"/>
    <w:rsid w:val="481459D6"/>
    <w:rsid w:val="485C47D0"/>
    <w:rsid w:val="48780195"/>
    <w:rsid w:val="48986C67"/>
    <w:rsid w:val="48AD1CAB"/>
    <w:rsid w:val="49042D9D"/>
    <w:rsid w:val="492C5C7A"/>
    <w:rsid w:val="499836C2"/>
    <w:rsid w:val="4B130023"/>
    <w:rsid w:val="4B183460"/>
    <w:rsid w:val="4C0A5E9A"/>
    <w:rsid w:val="4C7B08D8"/>
    <w:rsid w:val="4C912CC7"/>
    <w:rsid w:val="4D834946"/>
    <w:rsid w:val="4DA13619"/>
    <w:rsid w:val="4E376598"/>
    <w:rsid w:val="4E705824"/>
    <w:rsid w:val="4E7077FB"/>
    <w:rsid w:val="4E7B2988"/>
    <w:rsid w:val="4F01356A"/>
    <w:rsid w:val="4F0E55D4"/>
    <w:rsid w:val="4F235464"/>
    <w:rsid w:val="4F64133B"/>
    <w:rsid w:val="4F983A39"/>
    <w:rsid w:val="4F9A4546"/>
    <w:rsid w:val="505C71F4"/>
    <w:rsid w:val="50FB72E0"/>
    <w:rsid w:val="522F4DAE"/>
    <w:rsid w:val="523848B0"/>
    <w:rsid w:val="5246001F"/>
    <w:rsid w:val="537E76D2"/>
    <w:rsid w:val="5458174D"/>
    <w:rsid w:val="54F36EDF"/>
    <w:rsid w:val="551F5F05"/>
    <w:rsid w:val="554C7D80"/>
    <w:rsid w:val="555150C9"/>
    <w:rsid w:val="557A6C3A"/>
    <w:rsid w:val="558E345F"/>
    <w:rsid w:val="55D50138"/>
    <w:rsid w:val="562F51B3"/>
    <w:rsid w:val="56C01F71"/>
    <w:rsid w:val="56C70F37"/>
    <w:rsid w:val="58DD1EC9"/>
    <w:rsid w:val="59267368"/>
    <w:rsid w:val="593B6A70"/>
    <w:rsid w:val="59774348"/>
    <w:rsid w:val="5983740D"/>
    <w:rsid w:val="59C6040A"/>
    <w:rsid w:val="5AA370BB"/>
    <w:rsid w:val="5B411955"/>
    <w:rsid w:val="5B6928ED"/>
    <w:rsid w:val="5BBA19DA"/>
    <w:rsid w:val="5BD536E8"/>
    <w:rsid w:val="5C3A7B98"/>
    <w:rsid w:val="5C692AE0"/>
    <w:rsid w:val="5C973922"/>
    <w:rsid w:val="5CE73D09"/>
    <w:rsid w:val="5D330461"/>
    <w:rsid w:val="5D434717"/>
    <w:rsid w:val="5DE252FE"/>
    <w:rsid w:val="5EB0426C"/>
    <w:rsid w:val="5EB97321"/>
    <w:rsid w:val="5F2B4124"/>
    <w:rsid w:val="5FC83F9E"/>
    <w:rsid w:val="5FD1082D"/>
    <w:rsid w:val="6091091C"/>
    <w:rsid w:val="60CB4644"/>
    <w:rsid w:val="6104285E"/>
    <w:rsid w:val="6117649F"/>
    <w:rsid w:val="61441F29"/>
    <w:rsid w:val="61546BB7"/>
    <w:rsid w:val="615C0675"/>
    <w:rsid w:val="62493AFD"/>
    <w:rsid w:val="627F09B8"/>
    <w:rsid w:val="62DD1FFA"/>
    <w:rsid w:val="62F02D06"/>
    <w:rsid w:val="633F66DD"/>
    <w:rsid w:val="63885B58"/>
    <w:rsid w:val="638D7BAF"/>
    <w:rsid w:val="64197F46"/>
    <w:rsid w:val="64856DD6"/>
    <w:rsid w:val="64877A8C"/>
    <w:rsid w:val="651B7D0B"/>
    <w:rsid w:val="65EB560F"/>
    <w:rsid w:val="661C6E29"/>
    <w:rsid w:val="66CA0C98"/>
    <w:rsid w:val="66D23A54"/>
    <w:rsid w:val="66DF141A"/>
    <w:rsid w:val="66F93281"/>
    <w:rsid w:val="675E0CC6"/>
    <w:rsid w:val="679D2B40"/>
    <w:rsid w:val="67A2052A"/>
    <w:rsid w:val="68300BA6"/>
    <w:rsid w:val="68682D3C"/>
    <w:rsid w:val="695D36E3"/>
    <w:rsid w:val="697C75EB"/>
    <w:rsid w:val="698E7340"/>
    <w:rsid w:val="69C03C96"/>
    <w:rsid w:val="69D07061"/>
    <w:rsid w:val="69EE0F1C"/>
    <w:rsid w:val="6A1B6784"/>
    <w:rsid w:val="6A637021"/>
    <w:rsid w:val="6B232E5E"/>
    <w:rsid w:val="6B5E5F82"/>
    <w:rsid w:val="6B8B3267"/>
    <w:rsid w:val="6B905A17"/>
    <w:rsid w:val="6BB81968"/>
    <w:rsid w:val="6BEB71A0"/>
    <w:rsid w:val="6C0C1129"/>
    <w:rsid w:val="6C7F165C"/>
    <w:rsid w:val="6CED751D"/>
    <w:rsid w:val="6D00014E"/>
    <w:rsid w:val="6D7F5CAC"/>
    <w:rsid w:val="6D863925"/>
    <w:rsid w:val="6DB45312"/>
    <w:rsid w:val="6DC11EBF"/>
    <w:rsid w:val="6E0F407C"/>
    <w:rsid w:val="6FD7626D"/>
    <w:rsid w:val="6FFB5A4C"/>
    <w:rsid w:val="70145D96"/>
    <w:rsid w:val="72046B6B"/>
    <w:rsid w:val="72471753"/>
    <w:rsid w:val="72966CB6"/>
    <w:rsid w:val="72CC2112"/>
    <w:rsid w:val="73015955"/>
    <w:rsid w:val="735F40B4"/>
    <w:rsid w:val="73622FEC"/>
    <w:rsid w:val="73AA06B7"/>
    <w:rsid w:val="73DF37B1"/>
    <w:rsid w:val="73E004AD"/>
    <w:rsid w:val="73E35452"/>
    <w:rsid w:val="74154692"/>
    <w:rsid w:val="74213FF1"/>
    <w:rsid w:val="747A2C36"/>
    <w:rsid w:val="74A023F0"/>
    <w:rsid w:val="74A9568F"/>
    <w:rsid w:val="74D817A4"/>
    <w:rsid w:val="75511436"/>
    <w:rsid w:val="75974B8E"/>
    <w:rsid w:val="75E61C5B"/>
    <w:rsid w:val="76EC020A"/>
    <w:rsid w:val="76EE6077"/>
    <w:rsid w:val="77B53070"/>
    <w:rsid w:val="782D592F"/>
    <w:rsid w:val="78365F49"/>
    <w:rsid w:val="784966D6"/>
    <w:rsid w:val="78C5069C"/>
    <w:rsid w:val="7A136859"/>
    <w:rsid w:val="7A6C5469"/>
    <w:rsid w:val="7AE00762"/>
    <w:rsid w:val="7B3E3ED0"/>
    <w:rsid w:val="7BA12B6D"/>
    <w:rsid w:val="7C130FA4"/>
    <w:rsid w:val="7D7F11AB"/>
    <w:rsid w:val="7D805AF3"/>
    <w:rsid w:val="7E5C65A1"/>
    <w:rsid w:val="7E6B7C0F"/>
    <w:rsid w:val="7F2A4159"/>
    <w:rsid w:val="7F460DAF"/>
    <w:rsid w:val="7FD32D8B"/>
    <w:rsid w:val="7FF96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D5BC9"/>
    <w:pPr>
      <w:widowControl w:val="0"/>
      <w:jc w:val="both"/>
    </w:pPr>
    <w:rPr>
      <w:kern w:val="2"/>
      <w:sz w:val="21"/>
      <w:szCs w:val="24"/>
    </w:rPr>
  </w:style>
  <w:style w:type="paragraph" w:styleId="1">
    <w:name w:val="heading 1"/>
    <w:basedOn w:val="a"/>
    <w:next w:val="a"/>
    <w:qFormat/>
    <w:rsid w:val="00DD5BC9"/>
    <w:pPr>
      <w:spacing w:beforeAutospacing="1" w:afterAutospacing="1"/>
      <w:jc w:val="left"/>
      <w:outlineLvl w:val="0"/>
    </w:pPr>
    <w:rPr>
      <w:rFonts w:ascii="宋体" w:hAnsi="宋体" w:hint="eastAsia"/>
      <w:b/>
      <w:kern w:val="44"/>
      <w:sz w:val="48"/>
      <w:szCs w:val="48"/>
    </w:rPr>
  </w:style>
  <w:style w:type="paragraph" w:styleId="20">
    <w:name w:val="heading 2"/>
    <w:basedOn w:val="a"/>
    <w:next w:val="a"/>
    <w:uiPriority w:val="1"/>
    <w:qFormat/>
    <w:rsid w:val="00DD5BC9"/>
    <w:pPr>
      <w:spacing w:before="190"/>
      <w:ind w:left="111" w:firstLine="640"/>
      <w:outlineLvl w:val="1"/>
    </w:pPr>
    <w:rPr>
      <w:rFonts w:ascii="楷体_GB2312" w:eastAsia="楷体_GB2312" w:hAnsi="楷体_GB2312" w:cs="楷体_GB2312"/>
      <w:b/>
      <w:bCs/>
      <w:sz w:val="32"/>
      <w:szCs w:val="32"/>
      <w:lang w:val="zh-CN" w:bidi="zh-CN"/>
    </w:rPr>
  </w:style>
  <w:style w:type="paragraph" w:styleId="6">
    <w:name w:val="heading 6"/>
    <w:next w:val="a"/>
    <w:uiPriority w:val="9"/>
    <w:unhideWhenUsed/>
    <w:qFormat/>
    <w:rsid w:val="00DD5BC9"/>
    <w:pPr>
      <w:keepNext/>
      <w:keepLines/>
      <w:widowControl w:val="0"/>
      <w:spacing w:line="360" w:lineRule="auto"/>
      <w:ind w:firstLineChars="200" w:firstLine="640"/>
      <w:jc w:val="both"/>
      <w:outlineLvl w:val="5"/>
    </w:pPr>
    <w:rPr>
      <w:rFonts w:ascii="Cambria" w:eastAsia="仿宋_GB2312" w:hAnsi="Cambria"/>
      <w:bCs/>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DD5BC9"/>
    <w:pPr>
      <w:spacing w:line="480" w:lineRule="auto"/>
      <w:ind w:leftChars="200" w:left="420"/>
    </w:pPr>
    <w:rPr>
      <w:rFonts w:ascii="Calibri" w:hAnsi="Calibri"/>
    </w:rPr>
  </w:style>
  <w:style w:type="paragraph" w:styleId="a3">
    <w:name w:val="Body Text"/>
    <w:basedOn w:val="a"/>
    <w:uiPriority w:val="1"/>
    <w:qFormat/>
    <w:rsid w:val="00DD5BC9"/>
    <w:rPr>
      <w:rFonts w:ascii="仿宋_GB2312" w:eastAsia="仿宋_GB2312" w:hAnsi="仿宋_GB2312" w:cs="仿宋_GB2312"/>
      <w:sz w:val="32"/>
      <w:szCs w:val="32"/>
      <w:lang w:val="zh-CN" w:bidi="zh-CN"/>
    </w:rPr>
  </w:style>
  <w:style w:type="paragraph" w:styleId="a4">
    <w:name w:val="footer"/>
    <w:basedOn w:val="a"/>
    <w:uiPriority w:val="99"/>
    <w:qFormat/>
    <w:rsid w:val="00DD5BC9"/>
    <w:pPr>
      <w:tabs>
        <w:tab w:val="center" w:pos="4153"/>
        <w:tab w:val="right" w:pos="8306"/>
      </w:tabs>
      <w:snapToGrid w:val="0"/>
      <w:jc w:val="left"/>
    </w:pPr>
    <w:rPr>
      <w:sz w:val="18"/>
      <w:szCs w:val="18"/>
    </w:rPr>
  </w:style>
  <w:style w:type="paragraph" w:styleId="a5">
    <w:name w:val="header"/>
    <w:basedOn w:val="a"/>
    <w:qFormat/>
    <w:rsid w:val="00DD5B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D5BC9"/>
    <w:pPr>
      <w:spacing w:before="100" w:beforeAutospacing="1" w:after="100" w:afterAutospacing="1"/>
      <w:jc w:val="left"/>
    </w:pPr>
    <w:rPr>
      <w:rFonts w:ascii="Calibri" w:hAnsi="Calibri"/>
      <w:kern w:val="0"/>
      <w:sz w:val="24"/>
    </w:rPr>
  </w:style>
  <w:style w:type="character" w:styleId="a7">
    <w:name w:val="page number"/>
    <w:basedOn w:val="a0"/>
    <w:qFormat/>
    <w:rsid w:val="00DD5BC9"/>
  </w:style>
  <w:style w:type="character" w:styleId="a8">
    <w:name w:val="Emphasis"/>
    <w:basedOn w:val="a0"/>
    <w:qFormat/>
    <w:rsid w:val="00DD5BC9"/>
    <w:rPr>
      <w:i/>
    </w:rPr>
  </w:style>
  <w:style w:type="character" w:customStyle="1" w:styleId="content1">
    <w:name w:val="content1"/>
    <w:qFormat/>
    <w:rsid w:val="00DD5BC9"/>
    <w:rPr>
      <w:sz w:val="21"/>
      <w:szCs w:val="21"/>
    </w:rPr>
  </w:style>
  <w:style w:type="paragraph" w:customStyle="1" w:styleId="KMText">
    <w:name w:val="KM_Text"/>
    <w:qFormat/>
    <w:rsid w:val="00DD5BC9"/>
    <w:pPr>
      <w:spacing w:line="284" w:lineRule="exact"/>
    </w:pPr>
    <w:rPr>
      <w:rFonts w:ascii="Bliss Light" w:hAnsi="Bliss Light"/>
      <w:sz w:val="22"/>
      <w:szCs w:val="22"/>
      <w:lang w:val="de-DE" w:eastAsia="de-DE"/>
    </w:rPr>
  </w:style>
  <w:style w:type="character" w:customStyle="1" w:styleId="NormalCharacter">
    <w:name w:val="NormalCharacter"/>
    <w:qFormat/>
    <w:rsid w:val="00DD5BC9"/>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海阔天空</dc:creator>
  <cp:lastModifiedBy>Administrator</cp:lastModifiedBy>
  <cp:revision>10</cp:revision>
  <cp:lastPrinted>2024-08-07T08:33:00Z</cp:lastPrinted>
  <dcterms:created xsi:type="dcterms:W3CDTF">2020-02-26T08:53:00Z</dcterms:created>
  <dcterms:modified xsi:type="dcterms:W3CDTF">2024-08-08T10:03:00Z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4C5D18907EBA41EBA86CF3D7E212CE32_13</vt:lpwstr>
  </property>
</Properties>
</file>