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74"/>
        <w:pBdr/>
        <w:spacing/>
        <w:ind/>
        <w:jc w:val="center"/>
        <w:rPr>
          <w:rFonts w:hint="eastAsia" w:ascii="Arial Unicode MS" w:hAnsi="Arial Unicode MS" w:eastAsia="Arial Unicode MS" w:cs="Arial Unicode MS"/>
          <w:b/>
          <w:bCs/>
          <w:sz w:val="52"/>
          <w:szCs w:val="52"/>
        </w:rPr>
      </w:pPr>
      <w:r>
        <w:rPr>
          <w:rFonts w:hint="eastAsia" w:ascii="Arial Unicode MS" w:hAnsi="Arial Unicode MS" w:eastAsia="Arial Unicode MS" w:cs="Arial Unicode MS"/>
          <w:b/>
          <w:bCs/>
          <w:sz w:val="52"/>
          <w:szCs w:val="52"/>
        </w:rPr>
      </w:r>
      <w:r>
        <w:rPr>
          <w:rFonts w:hint="eastAsia" w:ascii="Arial Unicode MS" w:hAnsi="Arial Unicode MS" w:eastAsia="Arial Unicode MS" w:cs="Arial Unicode MS"/>
          <w:b/>
          <w:bCs/>
          <w:sz w:val="52"/>
          <w:szCs w:val="52"/>
        </w:rPr>
      </w:r>
    </w:p>
    <w:p>
      <w:pPr>
        <w:pStyle w:val="674"/>
        <w:pBdr/>
        <w:spacing/>
        <w:ind/>
        <w:jc w:val="center"/>
        <w:rPr>
          <w:rFonts w:hint="eastAsia" w:ascii="方正小标宋简体" w:hAnsi="Arial Unicode MS" w:eastAsia="方正小标宋简体" w:cs="Arial Unicode MS"/>
          <w:b/>
          <w:bCs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b/>
          <w:bCs/>
          <w:sz w:val="44"/>
          <w:szCs w:val="44"/>
        </w:rPr>
        <w:t xml:space="preserve">2022年度整体支出绩效自评报告</w:t>
      </w:r>
      <w:r>
        <w:rPr>
          <w:rFonts w:hint="eastAsia" w:ascii="方正小标宋简体" w:hAnsi="Arial Unicode MS" w:eastAsia="方正小标宋简体" w:cs="Arial Unicode MS"/>
          <w:b/>
          <w:bCs/>
          <w:sz w:val="44"/>
          <w:szCs w:val="44"/>
        </w:rPr>
      </w:r>
      <w:r>
        <w:rPr>
          <w:rFonts w:hint="eastAsia" w:ascii="方正小标宋简体" w:hAnsi="Arial Unicode MS" w:eastAsia="方正小标宋简体" w:cs="Arial Unicode MS"/>
          <w:b/>
          <w:bCs/>
          <w:sz w:val="44"/>
          <w:szCs w:val="44"/>
        </w:rPr>
      </w:r>
    </w:p>
    <w:p>
      <w:pPr>
        <w:pStyle w:val="674"/>
        <w:pBdr/>
        <w:spacing w:line="600" w:lineRule="exact"/>
        <w:ind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b/>
          <w:sz w:val="32"/>
          <w:szCs w:val="32"/>
        </w:rPr>
        <w:t xml:space="preserve">   </w:t>
      </w:r>
      <w:r>
        <w:rPr>
          <w:rFonts w:hint="eastAsia" w:ascii="Arial Unicode MS" w:hAnsi="Arial Unicode MS" w:eastAsia="Arial Unicode MS" w:cs="Arial Unicode MS"/>
          <w:sz w:val="30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根据《宁县全面实施预算绩效管理推进工作方案》（宁财发[2020]33号）及《关于深入开展财政资金绩效自评工作的通知》（宁财发[2020]35号）文件要求，宁县公安局于2023年4月5日至4月15日对2022年度整体支出进行绩效自评，报告如下：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spacing w:line="600" w:lineRule="exact"/>
        <w:ind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b/>
          <w:sz w:val="30"/>
          <w:szCs w:val="30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一、单位概况</w:t>
      </w:r>
      <w:r>
        <w:rPr>
          <w:rFonts w:hint="eastAsia" w:ascii="仿宋_GB2312" w:eastAsia="仿宋_GB2312"/>
          <w:b/>
          <w:sz w:val="32"/>
          <w:szCs w:val="32"/>
        </w:rPr>
      </w:r>
      <w:r>
        <w:rPr>
          <w:rFonts w:hint="eastAsia" w:ascii="仿宋_GB2312" w:eastAsia="仿宋_GB2312"/>
          <w:b/>
          <w:sz w:val="32"/>
          <w:szCs w:val="32"/>
        </w:rPr>
      </w:r>
    </w:p>
    <w:p>
      <w:pPr>
        <w:pStyle w:val="674"/>
        <w:pBdr/>
        <w:spacing w:line="600" w:lineRule="exact"/>
        <w:ind w:firstLine="48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（一）单位基本情况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92"/>
        <w:pBdr/>
        <w:shd w:val="clear" w:color="auto" w:fill="ffffff"/>
        <w:spacing w:after="300" w:afterAutospacing="0" w:before="0" w:beforeAutospacing="0"/>
        <w:ind w:firstLine="42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宁县公安局是隶属宁县人民政府管理的正科级直属行政单位；执行行政单位会计制度，属县财政全额供给的一级预算单位；截止2022年12月底，全局共有财政供养人员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712</w:t>
      </w:r>
      <w:r>
        <w:rPr>
          <w:rFonts w:hint="eastAsia" w:ascii="仿宋_GB2312" w:eastAsia="仿宋_GB2312"/>
          <w:sz w:val="32"/>
          <w:szCs w:val="32"/>
        </w:rPr>
        <w:t xml:space="preserve">人，其中：在职人员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658</w:t>
      </w:r>
      <w:r>
        <w:rPr>
          <w:rFonts w:hint="eastAsia" w:ascii="仿宋_GB2312" w:eastAsia="仿宋_GB2312"/>
          <w:sz w:val="32"/>
          <w:szCs w:val="32"/>
        </w:rPr>
        <w:t xml:space="preserve">人、遗属供养人员32人、临时工22人。全局设21个机关科室,18个乡镇派出所.主要职责如下：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一是贯彻执行国家有关公安工作的法律、法规，指导督促全县公安机关各项工作的落实。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二是掌握影响社会稳定、危害县内安全和社会治安的新情况、新问题，分析、预测全县敌社情动态和社会治安形势，研究和制定相应对策。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三是组织、指导各类案件侦破工作，协调处置重大事件、重大治安灾害事故和骚乱。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四是负责治安管理工作。依法开展治安行政管理工作，查处危害社会治安秩序的行为；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五是指导、监督全县公安机关维护道路交通安全、交通秩序以及机动车辆和驾驶员的管理工作。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六是负责全县禁毒工作和涉毒案件的侦破工作。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七是负责和处置突发恐怖暴力事件，侦破恐怖暴力案件，打击恐怖暴力犯罪组织。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八是负责前来视察、来访的党和国家领导人、重要外宾、重要会议及重点要害部门的安全保卫工作。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650"/>
        </w:tabs>
        <w:spacing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九是承办县委、县政府和上级业务部门交办的其他事项。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（二）2022年单位总体目标、工作任务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pBdr/>
        <w:spacing w:line="600" w:lineRule="exact"/>
        <w:ind w:firstLine="9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2022年</w:t>
      </w:r>
      <w:r>
        <w:rPr>
          <w:rFonts w:hint="eastAsia" w:ascii="仿宋_GB2312" w:eastAsia="仿宋_GB2312"/>
          <w:sz w:val="32"/>
          <w:szCs w:val="32"/>
        </w:rPr>
        <w:t xml:space="preserve">，全县公安将紧紧围绕省公安厅“1351”总体思路，紧扣全县经济社会发展中心工作，全力抓好三大主业，努力为全县经济社会发展创造安全稳定的社会环境、公平正义的法治环境和优质高效的服务环境。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1"/>
        </w:numPr>
        <w:pBdr/>
        <w:spacing w:line="600" w:lineRule="exact"/>
        <w:ind w:firstLine="9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继续以总体国家安全观为统领，有效维护政治安全。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1"/>
        </w:numPr>
        <w:pBdr/>
        <w:spacing w:line="600" w:lineRule="exact"/>
        <w:ind w:firstLine="9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持续开展风险隐患源头化解工作，有效维护社会稳定。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1"/>
        </w:numPr>
        <w:pBdr/>
        <w:spacing w:line="600" w:lineRule="exact"/>
        <w:ind w:firstLine="9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不断强化对各类犯罪的精准打击，有效维护社会安全。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1"/>
        </w:numPr>
        <w:pBdr/>
        <w:spacing w:line="600" w:lineRule="exact"/>
        <w:ind w:firstLine="9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切实增强社会面管控能力，有效维护公共安全。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1"/>
        </w:numPr>
        <w:pBdr/>
        <w:spacing w:line="600" w:lineRule="exact"/>
        <w:ind w:firstLine="9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强化基础保障，夯实公安根基，进一步提升新形势下公安机关核心战斗力。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1"/>
        </w:numPr>
        <w:pBdr/>
        <w:spacing w:line="600" w:lineRule="exact"/>
        <w:ind w:firstLine="9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坚持党建统领，从严治警，着力打造让党放心、让人民满意的过硬公安队伍。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pBdr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（三）2022年整体支出绩效目标。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 w:left="50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2022年预算支出目标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7101.03</w:t>
      </w:r>
      <w:r>
        <w:rPr>
          <w:rFonts w:hint="eastAsia" w:ascii="仿宋_GB2312" w:eastAsia="仿宋_GB2312"/>
          <w:sz w:val="32"/>
          <w:szCs w:val="32"/>
        </w:rPr>
        <w:t xml:space="preserve">万元，其中人员经费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4970.34</w:t>
      </w:r>
      <w:r>
        <w:rPr>
          <w:rFonts w:hint="eastAsia" w:ascii="仿宋_GB2312" w:eastAsia="仿宋_GB2312"/>
          <w:sz w:val="32"/>
          <w:szCs w:val="32"/>
        </w:rPr>
        <w:t xml:space="preserve">万元，日常公用经费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2130.69</w:t>
      </w:r>
      <w:r>
        <w:rPr>
          <w:rFonts w:hint="eastAsia" w:ascii="仿宋_GB2312" w:eastAsia="仿宋_GB2312"/>
          <w:sz w:val="32"/>
          <w:szCs w:val="32"/>
        </w:rPr>
        <w:t xml:space="preserve">万元。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（四）2022年，按照“加快建立健全规范透明、标准科学、约束有力的预算绩效管理体系”的要求，结合单位实际情况，着力完善预算绩效管理的整体目标和初步工作措施，实现预算和绩效管理一体化。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（五）2022年一般公共预算收入年初预算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7101.02</w:t>
      </w:r>
      <w:r>
        <w:rPr>
          <w:rFonts w:hint="eastAsia" w:ascii="仿宋_GB2312" w:eastAsia="仿宋_GB2312"/>
          <w:sz w:val="32"/>
          <w:szCs w:val="32"/>
        </w:rPr>
        <w:t xml:space="preserve">万元，调整预算收入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9895.81</w:t>
      </w:r>
      <w:r>
        <w:rPr>
          <w:rFonts w:hint="eastAsia" w:ascii="仿宋_GB2312" w:eastAsia="仿宋_GB2312"/>
          <w:sz w:val="32"/>
          <w:szCs w:val="32"/>
        </w:rPr>
        <w:t xml:space="preserve">万元，其中人员经费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7590.27</w:t>
      </w:r>
      <w:r>
        <w:rPr>
          <w:rFonts w:hint="eastAsia" w:ascii="仿宋_GB2312" w:eastAsia="仿宋_GB2312"/>
          <w:sz w:val="32"/>
          <w:szCs w:val="32"/>
        </w:rPr>
        <w:t xml:space="preserve">万元，日常公用经费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1881.35</w:t>
      </w:r>
      <w:r>
        <w:rPr>
          <w:rFonts w:hint="eastAsia" w:ascii="仿宋_GB2312" w:eastAsia="仿宋_GB2312"/>
          <w:sz w:val="32"/>
          <w:szCs w:val="32"/>
        </w:rPr>
        <w:t xml:space="preserve">万元，项目经费4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24.20</w:t>
      </w:r>
      <w:r>
        <w:rPr>
          <w:rFonts w:hint="eastAsia" w:ascii="仿宋_GB2312" w:eastAsia="仿宋_GB2312"/>
          <w:sz w:val="32"/>
          <w:szCs w:val="32"/>
        </w:rPr>
        <w:t xml:space="preserve">万元，完成预算收入的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139</w:t>
      </w:r>
      <w:r>
        <w:rPr>
          <w:rFonts w:hint="eastAsia" w:ascii="仿宋_GB2312" w:eastAsia="仿宋_GB2312"/>
          <w:sz w:val="32"/>
          <w:szCs w:val="32"/>
        </w:rPr>
        <w:t xml:space="preserve">%，一般公共预算支出年初预算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7101.02</w:t>
      </w:r>
      <w:r>
        <w:rPr>
          <w:rFonts w:hint="eastAsia" w:ascii="仿宋_GB2312" w:eastAsia="仿宋_GB2312"/>
          <w:sz w:val="32"/>
          <w:szCs w:val="32"/>
        </w:rPr>
        <w:t xml:space="preserve">万元，调整预算支出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9895.81</w:t>
      </w:r>
      <w:r>
        <w:rPr>
          <w:rFonts w:hint="eastAsia" w:ascii="仿宋_GB2312" w:eastAsia="仿宋_GB2312"/>
          <w:sz w:val="32"/>
          <w:szCs w:val="32"/>
        </w:rPr>
        <w:t xml:space="preserve">万元，其中人员经费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7590.27</w:t>
      </w:r>
      <w:r>
        <w:rPr>
          <w:rFonts w:hint="eastAsia" w:ascii="仿宋_GB2312" w:eastAsia="仿宋_GB2312"/>
          <w:sz w:val="32"/>
          <w:szCs w:val="32"/>
        </w:rPr>
        <w:t xml:space="preserve">元，日常公用经费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1881.35</w:t>
      </w:r>
      <w:r>
        <w:rPr>
          <w:rFonts w:hint="eastAsia" w:ascii="仿宋_GB2312" w:eastAsia="仿宋_GB2312"/>
          <w:sz w:val="32"/>
          <w:szCs w:val="32"/>
        </w:rPr>
        <w:t xml:space="preserve">万元，项目经费42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</w:t>
      </w:r>
      <w:r>
        <w:rPr>
          <w:rFonts w:hint="eastAsia" w:ascii="仿宋_GB2312" w:eastAsia="仿宋_GB2312"/>
          <w:sz w:val="32"/>
          <w:szCs w:val="32"/>
        </w:rPr>
        <w:t xml:space="preserve">.2万元。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spacing w:line="600" w:lineRule="exact"/>
        <w:ind/>
        <w:rPr>
          <w:rFonts w:hint="eastAsia" w:ascii="Arial Unicode MS" w:hAnsi="Arial Unicode MS" w:eastAsia="Arial Unicode MS" w:cs="Arial Unicode MS"/>
          <w:b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b/>
          <w:sz w:val="30"/>
          <w:szCs w:val="30"/>
        </w:rPr>
        <w:t xml:space="preserve">二、2022年度整体支出绩效实现情况</w:t>
      </w:r>
      <w:r>
        <w:rPr>
          <w:rFonts w:hint="eastAsia" w:ascii="Arial Unicode MS" w:hAnsi="Arial Unicode MS" w:eastAsia="Arial Unicode MS" w:cs="Arial Unicode MS"/>
          <w:b/>
          <w:sz w:val="30"/>
          <w:szCs w:val="30"/>
        </w:rPr>
      </w:r>
      <w:r>
        <w:rPr>
          <w:rFonts w:hint="eastAsia" w:ascii="Arial Unicode MS" w:hAnsi="Arial Unicode MS" w:eastAsia="Arial Unicode MS" w:cs="Arial Unicode MS"/>
          <w:b/>
          <w:sz w:val="30"/>
          <w:szCs w:val="30"/>
        </w:rPr>
      </w:r>
    </w:p>
    <w:p>
      <w:pPr>
        <w:pStyle w:val="674"/>
        <w:numPr>
          <w:ilvl w:val="0"/>
          <w:numId w:val="2"/>
        </w:numPr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履职完成情况：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3"/>
        </w:numPr>
        <w:pBdr/>
        <w:tabs>
          <w:tab w:val="left" w:leader="none" w:pos="720"/>
        </w:tabs>
        <w:spacing w:line="600" w:lineRule="exact"/>
        <w:ind w:firstLine="9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聚焦风险防控，强化主动进攻，营造了安全稳固的政治环境；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3"/>
        </w:numPr>
        <w:pBdr/>
        <w:tabs>
          <w:tab w:val="left" w:leader="none" w:pos="720"/>
        </w:tabs>
        <w:spacing w:line="600" w:lineRule="exact"/>
        <w:ind w:firstLine="9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紧盯打防主业，提升综合效能，进一步营造了安定有序的社会环境；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3"/>
        </w:numPr>
        <w:pBdr/>
        <w:tabs>
          <w:tab w:val="left" w:leader="none" w:pos="720"/>
        </w:tabs>
        <w:spacing w:line="600" w:lineRule="exact"/>
        <w:ind w:firstLine="9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深化改革创新，夯实公安根基，进一步提升了新形势下公安核心战斗力；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3"/>
        </w:numPr>
        <w:pBdr/>
        <w:tabs>
          <w:tab w:val="left" w:leader="none" w:pos="720"/>
        </w:tabs>
        <w:spacing w:line="600" w:lineRule="exact"/>
        <w:ind w:firstLine="9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坚持从严治警，强化作风锻造，进一步营造了良好的干事创业环境；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2"/>
        </w:numPr>
        <w:pBdr/>
        <w:tabs>
          <w:tab w:val="left" w:leader="none" w:pos="720"/>
        </w:tabs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履职效果情况：2022年认真贯彻落实各级政法、公安工作会议精神，坚持服务大局、创新理念、改革驱动、对标对表、真抓实干，扎实开展三大攻坚战，强化各项工作措施，狠抓各项工作落实，工作取得了一定成效，队伍形象得到了不断提升，较好地履行了维护一方平安的职责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2"/>
        </w:numPr>
        <w:pBdr/>
        <w:tabs>
          <w:tab w:val="left" w:leader="none" w:pos="720"/>
        </w:tabs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社会满意度及可持续影响：社会满意度较高，取得了全县年度绩效考核并列第一。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numPr>
          <w:ilvl w:val="0"/>
          <w:numId w:val="4"/>
        </w:numPr>
        <w:pBdr/>
        <w:tabs>
          <w:tab w:val="left" w:leader="none" w:pos="720"/>
        </w:tabs>
        <w:spacing w:line="600" w:lineRule="exact"/>
        <w:ind/>
        <w:rPr>
          <w:rFonts w:hint="eastAsia" w:ascii="Arial Unicode MS" w:hAnsi="Arial Unicode MS" w:eastAsia="Arial Unicode MS" w:cs="Arial Unicode MS"/>
          <w:b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b/>
          <w:sz w:val="30"/>
          <w:szCs w:val="30"/>
        </w:rPr>
        <w:t xml:space="preserve">单位整体支出绩效中存在的问题及改进措施</w:t>
      </w:r>
      <w:r>
        <w:rPr>
          <w:rFonts w:hint="eastAsia" w:ascii="Arial Unicode MS" w:hAnsi="Arial Unicode MS" w:eastAsia="Arial Unicode MS" w:cs="Arial Unicode MS"/>
          <w:b/>
          <w:sz w:val="30"/>
          <w:szCs w:val="30"/>
        </w:rPr>
      </w:r>
      <w:r>
        <w:rPr>
          <w:rFonts w:hint="eastAsia" w:ascii="Arial Unicode MS" w:hAnsi="Arial Unicode MS" w:eastAsia="Arial Unicode MS" w:cs="Arial Unicode MS"/>
          <w:b/>
          <w:sz w:val="30"/>
          <w:szCs w:val="30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绩效评价人员近对预算绩效管理认识不到位、理解不充分、对绩效管理业务不熟悉。拟采取培训、讲座、专题会议等方式加大培训学习力度，提高绩效评价人员业务知识。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2023年4月8日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tabs>
          <w:tab w:val="left" w:leader="none" w:pos="720"/>
        </w:tabs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spacing w:line="57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74"/>
        <w:pBdr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74"/>
        <w:pBdr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sectPr>
      <w:headerReference w:type="default" r:id="rId9"/>
      <w:footerReference w:type="default" r:id="rId10"/>
      <w:footnotePr/>
      <w:endnotePr/>
      <w:type w:val="nextPage"/>
      <w:pgSz w:h="16783" w:orient="landscape" w:w="11850"/>
      <w:pgMar w:top="1440" w:right="567" w:bottom="1440" w:left="851" w:header="851" w:footer="992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Symbol">
    <w:panose1 w:val="05050102010706020507"/>
  </w:font>
  <w:font w:name="Wingdings">
    <w:panose1 w:val="05000000000000000000"/>
  </w:font>
  <w:font w:name="新宋体">
    <w:panose1 w:val="02010609030101010101"/>
  </w:font>
  <w:font w:name="方正小标宋简体">
    <w:panose1 w:val="03000509000000000000"/>
  </w:font>
  <w:font w:name="仿宋_GB2312">
    <w:panose1 w:val="02010609030101010101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pBdr/>
      <w:tabs>
        <w:tab w:val="center" w:leader="none" w:pos="4153"/>
        <w:tab w:val="right" w:leader="none" w:pos="8306"/>
      </w:tabs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74"/>
                            <w:pBdr/>
                            <w:spacing/>
                            <w:ind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 xml:space="preserve">-</w:t>
                          </w:r>
                          <w:r>
                            <w:rPr>
                              <w:sz w:val="18"/>
                            </w:rPr>
                            <w:t xml:space="preserve">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</w:r>
                          <w:r>
                            <w:rPr>
                              <w:rFonts w:hint="eastAsia"/>
                              <w:sz w:val="18"/>
                            </w:rPr>
                          </w:r>
                        </w:p>
                        <w:p>
                          <w:pPr>
                            <w:pStyle w:val="674"/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674"/>
                      <w:pBdr/>
                      <w:spacing/>
                      <w:ind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 xml:space="preserve">-</w:t>
                    </w:r>
                    <w:r>
                      <w:rPr>
                        <w:sz w:val="18"/>
                      </w:rPr>
                      <w:t xml:space="preserve">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</w:r>
                    <w:r>
                      <w:rPr>
                        <w:rFonts w:hint="eastAsia"/>
                        <w:sz w:val="18"/>
                      </w:rPr>
                    </w:r>
                  </w:p>
                  <w:p>
                    <w:pPr>
                      <w:pStyle w:val="674"/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pBdr>
        <w:bottom w:val="none" w:color="000000" w:sz="0" w:space="0"/>
      </w:pBdr>
      <w:tabs>
        <w:tab w:val="center" w:leader="none" w:pos="4153"/>
        <w:tab w:val="right" w:leader="none" w:pos="8306"/>
      </w:tabs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>
        <w:rFonts w:hint="eastAsia"/>
      </w:rPr>
      <w:start w:val="3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、"/>
      <w:numFmt w:val="decimal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%1、"/>
      <w:numFmt w:val="decimal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（%1）"/>
      <w:numFmt w:val="chineseCounting"/>
      <w:pPr>
        <w:pBdr/>
        <w:spacing/>
        <w:ind/>
      </w:pPr>
      <w:rPr>
        <w:rFonts w:hint="eastAsia"/>
      </w:rPr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4"/>
    <w:next w:val="67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74"/>
    <w:next w:val="67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74"/>
    <w:next w:val="67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74"/>
    <w:next w:val="67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74"/>
    <w:next w:val="67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74"/>
    <w:next w:val="67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74"/>
    <w:next w:val="67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74"/>
    <w:next w:val="67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74"/>
    <w:next w:val="67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7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4"/>
    <w:next w:val="67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4"/>
    <w:next w:val="67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4"/>
    <w:next w:val="67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4"/>
    <w:next w:val="67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7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7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74"/>
    <w:next w:val="67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4"/>
    <w:next w:val="67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4"/>
    <w:next w:val="67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4"/>
    <w:next w:val="67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4"/>
    <w:next w:val="67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4"/>
    <w:next w:val="67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4"/>
    <w:next w:val="67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4"/>
    <w:next w:val="67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4"/>
    <w:next w:val="67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4"/>
    <w:next w:val="67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4"/>
    <w:next w:val="674"/>
    <w:uiPriority w:val="99"/>
    <w:unhideWhenUsed/>
    <w:pPr>
      <w:pBdr/>
      <w:spacing w:after="0" w:afterAutospacing="0"/>
      <w:ind/>
    </w:pPr>
  </w:style>
  <w:style w:type="paragraph" w:styleId="674" w:default="1">
    <w:name w:val="Normal"/>
    <w:next w:val="674"/>
    <w:link w:val="674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75">
    <w:name w:val="默认段落字体"/>
    <w:next w:val="675"/>
    <w:link w:val="674"/>
    <w:pPr>
      <w:pBdr/>
      <w:spacing/>
      <w:ind/>
    </w:pPr>
  </w:style>
  <w:style w:type="table" w:styleId="676">
    <w:name w:val="普通表格"/>
    <w:next w:val="676"/>
    <w:link w:val="674"/>
    <w:uiPriority w:val="99"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7">
    <w:name w:val="页码"/>
    <w:basedOn w:val="675"/>
    <w:next w:val="677"/>
    <w:link w:val="674"/>
    <w:pPr>
      <w:pBdr/>
      <w:spacing/>
      <w:ind/>
    </w:pPr>
  </w:style>
  <w:style w:type="character" w:styleId="678">
    <w:name w:val="font81"/>
    <w:basedOn w:val="675"/>
    <w:next w:val="678"/>
    <w:link w:val="674"/>
    <w:pPr>
      <w:pBdr/>
      <w:spacing/>
      <w:ind/>
    </w:pPr>
    <w:rPr>
      <w:rFonts w:ascii="Arial" w:hAnsi="Arial" w:cs="Arial"/>
      <w:i w:val="0"/>
      <w:color w:val="000000"/>
      <w:sz w:val="20"/>
      <w:szCs w:val="20"/>
      <w:u w:val="none"/>
    </w:rPr>
  </w:style>
  <w:style w:type="character" w:styleId="679">
    <w:name w:val="font21"/>
    <w:basedOn w:val="675"/>
    <w:next w:val="679"/>
    <w:link w:val="674"/>
    <w:pPr>
      <w:pBdr/>
      <w:spacing/>
      <w:ind/>
    </w:pPr>
    <w:rPr>
      <w:rFonts w:ascii="Times New Roman" w:hAnsi="Times New Roman" w:cs="Times New Roman"/>
      <w:i w:val="0"/>
      <w:color w:val="000000"/>
      <w:sz w:val="20"/>
      <w:szCs w:val="20"/>
      <w:u w:val="none"/>
    </w:rPr>
  </w:style>
  <w:style w:type="character" w:styleId="680">
    <w:name w:val="批注框文本 Char"/>
    <w:next w:val="680"/>
    <w:link w:val="690"/>
    <w:pPr>
      <w:pBdr/>
      <w:spacing/>
      <w:ind/>
    </w:pPr>
    <w:rPr>
      <w:sz w:val="18"/>
      <w:szCs w:val="18"/>
    </w:rPr>
  </w:style>
  <w:style w:type="character" w:styleId="681">
    <w:name w:val="批注主题 Char"/>
    <w:next w:val="681"/>
    <w:link w:val="697"/>
    <w:pPr>
      <w:pBdr/>
      <w:spacing/>
      <w:ind/>
    </w:pPr>
    <w:rPr>
      <w:b/>
      <w:bCs/>
      <w:sz w:val="21"/>
      <w:szCs w:val="24"/>
    </w:rPr>
  </w:style>
  <w:style w:type="character" w:styleId="682">
    <w:name w:val="批注引用"/>
    <w:next w:val="682"/>
    <w:link w:val="674"/>
    <w:pPr>
      <w:pBdr/>
      <w:spacing/>
      <w:ind/>
    </w:pPr>
    <w:rPr>
      <w:sz w:val="21"/>
      <w:szCs w:val="21"/>
    </w:rPr>
  </w:style>
  <w:style w:type="character" w:styleId="683">
    <w:name w:val="font01"/>
    <w:basedOn w:val="675"/>
    <w:next w:val="683"/>
    <w:link w:val="674"/>
    <w:pPr>
      <w:pBdr/>
      <w:spacing/>
      <w:ind/>
    </w:pPr>
    <w:rPr>
      <w:rFonts w:ascii="Times New Roman" w:hAnsi="Times New Roman" w:cs="Times New Roman"/>
      <w:i w:val="0"/>
      <w:color w:val="000000"/>
      <w:sz w:val="20"/>
      <w:szCs w:val="20"/>
      <w:u w:val="none"/>
    </w:rPr>
  </w:style>
  <w:style w:type="character" w:styleId="684">
    <w:name w:val="font61"/>
    <w:basedOn w:val="675"/>
    <w:next w:val="684"/>
    <w:link w:val="674"/>
    <w:pPr>
      <w:pBdr/>
      <w:spacing/>
      <w:ind/>
    </w:pPr>
    <w:rPr>
      <w:rFonts w:hint="eastAsia" w:ascii="宋体" w:hAnsi="宋体" w:eastAsia="宋体" w:cs="宋体"/>
      <w:i w:val="0"/>
      <w:color w:val="000000"/>
      <w:sz w:val="20"/>
      <w:szCs w:val="20"/>
      <w:u w:val="single"/>
    </w:rPr>
  </w:style>
  <w:style w:type="character" w:styleId="685">
    <w:name w:val="font11"/>
    <w:basedOn w:val="675"/>
    <w:next w:val="685"/>
    <w:link w:val="674"/>
    <w:pPr>
      <w:pBdr/>
      <w:spacing/>
      <w:ind/>
    </w:pPr>
    <w:rPr>
      <w:rFonts w:hint="eastAsia" w:ascii="宋体" w:hAnsi="宋体" w:eastAsia="宋体" w:cs="宋体"/>
      <w:i w:val="0"/>
      <w:color w:val="000000"/>
      <w:sz w:val="20"/>
      <w:szCs w:val="20"/>
      <w:u w:val="none"/>
    </w:rPr>
  </w:style>
  <w:style w:type="character" w:styleId="686">
    <w:name w:val="页眉 Char"/>
    <w:next w:val="686"/>
    <w:link w:val="691"/>
    <w:pPr>
      <w:pBdr/>
      <w:spacing/>
      <w:ind/>
    </w:pPr>
    <w:rPr>
      <w:sz w:val="18"/>
      <w:szCs w:val="18"/>
    </w:rPr>
  </w:style>
  <w:style w:type="character" w:styleId="687">
    <w:name w:val="批注文字 Char"/>
    <w:next w:val="687"/>
    <w:link w:val="695"/>
    <w:pPr>
      <w:pBdr/>
      <w:spacing/>
      <w:ind/>
    </w:pPr>
    <w:rPr>
      <w:sz w:val="21"/>
      <w:szCs w:val="24"/>
    </w:rPr>
  </w:style>
  <w:style w:type="character" w:styleId="688">
    <w:name w:val="页脚 Char"/>
    <w:next w:val="688"/>
    <w:link w:val="694"/>
    <w:uiPriority w:val="99"/>
    <w:pPr>
      <w:pBdr/>
      <w:spacing/>
      <w:ind/>
    </w:pPr>
    <w:rPr>
      <w:sz w:val="18"/>
      <w:szCs w:val="18"/>
    </w:rPr>
  </w:style>
  <w:style w:type="character" w:styleId="689">
    <w:name w:val="grame"/>
    <w:basedOn w:val="675"/>
    <w:next w:val="689"/>
    <w:link w:val="674"/>
    <w:pPr>
      <w:pBdr/>
      <w:spacing/>
      <w:ind/>
    </w:pPr>
  </w:style>
  <w:style w:type="paragraph" w:styleId="690">
    <w:name w:val="批注框文本"/>
    <w:basedOn w:val="674"/>
    <w:next w:val="690"/>
    <w:link w:val="680"/>
    <w:pPr>
      <w:pBdr/>
      <w:spacing/>
      <w:ind/>
    </w:pPr>
    <w:rPr>
      <w:sz w:val="18"/>
      <w:szCs w:val="18"/>
    </w:rPr>
  </w:style>
  <w:style w:type="paragraph" w:styleId="691">
    <w:name w:val="页眉"/>
    <w:basedOn w:val="674"/>
    <w:next w:val="691"/>
    <w:link w:val="686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92">
    <w:name w:val="普通(网站)"/>
    <w:basedOn w:val="674"/>
    <w:next w:val="692"/>
    <w:link w:val="674"/>
    <w:unhideWhenUsed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paragraph" w:styleId="693">
    <w:name w:val="正文1 Char Char Char"/>
    <w:basedOn w:val="674"/>
    <w:next w:val="693"/>
    <w:link w:val="674"/>
    <w:pPr>
      <w:pBdr/>
      <w:spacing w:line="360" w:lineRule="auto"/>
      <w:ind w:firstLine="200"/>
    </w:pPr>
    <w:rPr>
      <w:rFonts w:ascii="仿宋_GB2312" w:hAnsi="新宋体" w:eastAsia="仿宋_GB2312"/>
      <w:sz w:val="32"/>
    </w:rPr>
  </w:style>
  <w:style w:type="paragraph" w:styleId="694">
    <w:name w:val="页脚"/>
    <w:basedOn w:val="674"/>
    <w:next w:val="694"/>
    <w:link w:val="688"/>
    <w:uiPriority w:val="99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95">
    <w:name w:val="批注文字"/>
    <w:basedOn w:val="674"/>
    <w:next w:val="695"/>
    <w:link w:val="687"/>
    <w:pPr>
      <w:pBdr/>
      <w:spacing/>
      <w:ind/>
      <w:jc w:val="left"/>
    </w:pPr>
  </w:style>
  <w:style w:type="paragraph" w:styleId="696">
    <w:name w:val="列出段落"/>
    <w:basedOn w:val="674"/>
    <w:next w:val="696"/>
    <w:link w:val="674"/>
    <w:qFormat/>
    <w:pPr>
      <w:pBdr/>
      <w:spacing w:line="360" w:lineRule="auto"/>
      <w:ind w:firstLine="420"/>
    </w:pPr>
    <w:rPr>
      <w:rFonts w:ascii="Calibri" w:hAnsi="Calibri"/>
      <w:sz w:val="28"/>
      <w:szCs w:val="22"/>
    </w:rPr>
  </w:style>
  <w:style w:type="paragraph" w:styleId="697">
    <w:name w:val="批注主题"/>
    <w:basedOn w:val="695"/>
    <w:next w:val="695"/>
    <w:link w:val="681"/>
    <w:pPr>
      <w:pBdr/>
      <w:spacing/>
      <w:ind/>
    </w:pPr>
    <w:rPr>
      <w:b/>
      <w:bCs/>
    </w:rPr>
  </w:style>
  <w:style w:type="character" w:styleId="982" w:default="1">
    <w:name w:val="Default Paragraph Font"/>
    <w:uiPriority w:val="1"/>
    <w:semiHidden/>
    <w:unhideWhenUsed/>
    <w:pPr>
      <w:pBdr/>
      <w:spacing/>
      <w:ind/>
    </w:pPr>
  </w:style>
  <w:style w:type="numbering" w:styleId="983" w:default="1">
    <w:name w:val="No List"/>
    <w:uiPriority w:val="99"/>
    <w:semiHidden/>
    <w:unhideWhenUsed/>
    <w:pPr>
      <w:pBdr/>
      <w:spacing/>
      <w:ind/>
    </w:pPr>
  </w:style>
  <w:style w:type="table" w:styleId="98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MC SY</Company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3</cp:revision>
  <dcterms:created xsi:type="dcterms:W3CDTF">2014-06-09T15:43:00Z</dcterms:created>
  <dcterms:modified xsi:type="dcterms:W3CDTF">2025-03-10T09:15:46Z</dcterms:modified>
</cp:coreProperties>
</file>