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eastAsia="zh-CN"/>
        </w:rPr>
        <w:t>宁县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val="en-US"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eastAsia="zh-CN"/>
        </w:rPr>
        <w:t>局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2F2F2F"/>
          <w:sz w:val="44"/>
          <w:szCs w:val="44"/>
          <w:shd w:val="clear" w:color="auto" w:fill="FFFFFF"/>
          <w:lang w:eastAsia="zh-CN"/>
        </w:rPr>
        <w:t>部门整体支出绩效评价报告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一、项目概况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（一）项目单位基本情况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宁县工业和信息化局是县政府主管工业和信息化工作的职能部门，负责组织实施“工业强县”战略、工业集中区建设、非公经济发展，分析、监测县域工业信息化和生产性服务业运行态势，工业、通信业节能减排工作的综合协调，制定中小企业发展规划、年度计划并监督实施等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（二）项目绩效目标、绩效指标设定或调整情况。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 xml:space="preserve">    根据项目绩效评价的相关要求及本项目的具体特点，本项目设立了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项绩效目标，同时设立了相应的绩效指标，项目实施期间其绩效目标与绩效指标均未调整。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（三）项目基本性质、用途和主要内容、涉及范围。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1、驻村工作队员生活补助20000元，用于2022年驻村工作队员生活补助。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2、2021年省级制造业高质量发展专项资金600000元，用于奖励庆阳能化集团沃德石油技术有限公司、甘肃三合塑胶有限公司两户省级“专精特新”企业。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3、2022年省级制造业高质量发展和专项资金（第一批）400000元，用于补助宁县康盛源药业有限责任公司年产5000吨中药饮片扩建项目（乡村振兴项目）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4、疫情防控物资采购资金5925975.53元，用于采购防护服、N95口罩、核酸检测试剂等全员核酸检测物资储备。</w:t>
      </w:r>
    </w:p>
    <w:p>
      <w:pPr>
        <w:numPr>
          <w:ilvl w:val="0"/>
          <w:numId w:val="0"/>
        </w:numPr>
        <w:tabs>
          <w:tab w:val="left" w:pos="840"/>
        </w:tabs>
        <w:spacing w:line="50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二、预算执行情况分析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（一）收入支出结构分析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收入情况：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2022年财政拨款收入为10510629.94元（一般公共预算拨款收入9510629.64元，其他收入1000000元），其中：专项经费7095075.53元，占财政拨款的67.50 %。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 xml:space="preserve">2、支出情况：2022年一般公共预算财政拨款总支出9510629.94元，结转712200元。基本支出3414654.41元，占总支出35.90%（其中：工资福利支出2361923.39元，占基本支出的69.17%；商品和服务支出234861.9元，占基本支出的6.88%；退休费支出795274.12元，占基本支出的23.29%；其他支出22595元，占基本支出的0.66%。）。政府性基金支出0元。 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3、项目支出:7095975.53元，占总支出的67.51%。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（二）项目资金到位情况分析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1、驻村工作队员生活补助20000元，用于2022年驻村工作队员生活补助。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2、2021年省级制造业高质量发展专项资金600000元，用于奖励庆阳能化集团沃德石油技术有限公司、甘肃三合塑胶有限公司两户省级“专精特新”企业。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3、2022年省级制造业高质量发展和专项资金（第一批）400000元，用于补助宁县康盛源药业有限责任公司年产5000吨中药饮片扩建项目（乡村振兴项目）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4、疫情防控物资采购资金5925975.53元，用于采购防护服、N95口罩、核酸检测试剂等全员核酸检测物资储备。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以上资金截止2022年12月31日全部支付到位。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（三）项目资金使用情况分析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1、驻村工作队员生活补助20000元，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截止报告期末，该项目共计支出：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20000元，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资金使用与项目内容高度吻合。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2、2021年省级制造业高质量发展专项资金600000元，，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截止报告期末，该项目共计支出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600000元，资金按时按期拨付至庆阳能化集团沃德石油技术有限公司300000元，甘肃三合塑胶有限公司300000元，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资金使用与项目内容高度吻合。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3、2022年省级制造业高质量发展和专项资金（第一批）400000元，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截止报告期末，该项目共计支出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400000元，用于补助宁县康盛源药业有限责任公司年产5000吨中药饮片扩建项目（乡村振兴项目），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资金使用与项目内容一致。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4.疫情防控物资采购资金5925975.53元，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截止报告期末，该项目共计支出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5925975.53元，用于采购防护服、N95口罩、核酸检测试剂等全员核酸检测物资储备，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资金使用与项目内容一致。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（四）项目资金管理情况分析本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由本单位执行的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个项目资金由宁县财政局国库集中支付核算中心统一管理，按照项目计划安排和实际工作情况开支，做到了专款专用。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三、项目绩效情况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将项目支出后的实际状况与绩效目标对比，从项目决策、项目管理、项目绩效等方面进行量化、具体分析。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1. 项目决策情况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（1）项目目标情况：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个项目的目标明确、细化、量化均达到标准。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）项目决策过程：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个项目决策过程均符合经济社会发展规划和部门年度工作计划，项目决策程序符合相关管理办法。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2. 项目管理情况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（1）资金到位情况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个项目资金共计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6945975.53元，实际支付6945975.53元，到位率100%。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项目资金管理情况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所有资金使用严格按照有关财务制度执行，由宁县财政局国库集中支付核算中心统一管理，按照项目计划安排和实际工作情况开支，做到了专款专用。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/>
        <w:jc w:val="left"/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（3）项目组织实施情况</w:t>
      </w:r>
    </w:p>
    <w:p>
      <w:pPr>
        <w:numPr>
          <w:ilvl w:val="0"/>
          <w:numId w:val="0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我局严格按照年初分工，执行相关项目管理制度。</w:t>
      </w:r>
    </w:p>
    <w:p>
      <w:pPr>
        <w:numPr>
          <w:ilvl w:val="0"/>
          <w:numId w:val="1"/>
        </w:num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财政绩效情况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基本支出保证单位业务正常运行及职工工资正常发放。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新冠肺炎疫情防控采购物资有效帮助我县人民抵御疫情，保护了人民群众健康。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省级制造业高质量发展专项资金有效激励我县中小企业高质量发展，有力推动工业强县战略。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四、综合评价情况及评价结论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经按“财政支出绩效评价指标体系”进行综合评价，项目综合得分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分，评价等次为“优”。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640" w:firstLineChars="200"/>
        <w:jc w:val="left"/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五、相关意见与建议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一）强化财务督查，严肃追责问责。对扶贫项目运行、收益分配等情况进行高密度、多频率、全覆盖式的督查检查，进一步强化村居集体经济监管，提高村级会计核算水平。同时，严肃查处贪污挪用、截留私分、优亲厚友、雁过拔毛等问题，增强群众的获得感和对党组织的信任度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二）加强项目管理，确保效益发挥。加强对项目的预算评审、招投标和审核验收等环节的管理，通过建立科学的绩效评价指标体系，从资金拨付、项目实施、效益发挥入手，强化项目考核问责和第三方评估，实现对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开发政策、资金、项目全方位、多频率、全覆盖式的督查检查。同时，以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工业强县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实施为统领，结合当地实际，着力做好项目前期可行性研究，避免出现“半拉子”、“短命”工程，形成长期稳定的经济效益，确保项目“接地气”、“真扶贫”。</w:t>
      </w:r>
    </w:p>
    <w:p>
      <w:pPr>
        <w:pBdr>
          <w:top w:val="none" w:color="000000" w:sz="0" w:space="7"/>
          <w:bottom w:val="none" w:color="000000" w:sz="0" w:space="7"/>
        </w:pBdr>
        <w:shd w:val="solid" w:color="FFFFFF" w:fill="auto"/>
        <w:kinsoku/>
        <w:autoSpaceDE/>
        <w:autoSpaceDN w:val="0"/>
        <w:spacing w:line="27" w:lineRule="atLeast"/>
        <w:ind w:firstLine="42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（三）完善机制体制，提高资产收益。健全完善的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工业经济运行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工作推进、项目管理机制，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相关职能部门应根据职责分工，加强沟通协商，认真做好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napToGrid/>
          <w:color w:val="2F2F2F"/>
          <w:sz w:val="32"/>
          <w:szCs w:val="32"/>
          <w:shd w:val="clear" w:color="auto" w:fill="FFFFFF"/>
          <w:lang w:eastAsia="zh-CN"/>
        </w:rPr>
        <w:t>项目实施、资金管理使用的监督检查和协调指导等工作，提高财政专项资金项目管理规范化、科学化水平。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A7BDA"/>
    <w:rsid w:val="05E84A1D"/>
    <w:rsid w:val="071850E8"/>
    <w:rsid w:val="13B72AB3"/>
    <w:rsid w:val="16BC23FE"/>
    <w:rsid w:val="1C7D2D45"/>
    <w:rsid w:val="20EC2146"/>
    <w:rsid w:val="216E42E0"/>
    <w:rsid w:val="2F7B641A"/>
    <w:rsid w:val="31E1189F"/>
    <w:rsid w:val="35F33805"/>
    <w:rsid w:val="37297F61"/>
    <w:rsid w:val="39614E52"/>
    <w:rsid w:val="3A09348E"/>
    <w:rsid w:val="3AF9566C"/>
    <w:rsid w:val="3BF8377E"/>
    <w:rsid w:val="3F825F7F"/>
    <w:rsid w:val="435273E2"/>
    <w:rsid w:val="4BEE764B"/>
    <w:rsid w:val="4E3041D5"/>
    <w:rsid w:val="4FAE7F05"/>
    <w:rsid w:val="501D5026"/>
    <w:rsid w:val="54B71B72"/>
    <w:rsid w:val="5BB63A39"/>
    <w:rsid w:val="5E202B21"/>
    <w:rsid w:val="63E62F37"/>
    <w:rsid w:val="72644C51"/>
    <w:rsid w:val="72841156"/>
    <w:rsid w:val="78CC6B69"/>
    <w:rsid w:val="7E561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1032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2020-07-07T11:42:00Z</dcterms:created>
  <dc:creator>Waudjr</dc:creator>
  <cp:lastModifiedBy>范楷</cp:lastModifiedBy>
  <cp:lastPrinted>2023-10-24T09:01:00Z</cp:lastPrinted>
  <dcterms:modified xsi:type="dcterms:W3CDTF">2023-10-26T02:59:05Z</dcterms:modified>
  <dc:title>财政支出项目绩效评价报告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