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sz w:val="36"/>
          <w:szCs w:val="36"/>
        </w:rPr>
      </w:pPr>
      <w:bookmarkStart w:id="0" w:name="_Hlk57883707"/>
    </w:p>
    <w:p>
      <w:pPr>
        <w:rPr>
          <w:color w:val="auto"/>
          <w:sz w:val="36"/>
          <w:szCs w:val="36"/>
        </w:rPr>
      </w:pPr>
    </w:p>
    <w:p>
      <w:pPr>
        <w:rPr>
          <w:color w:val="auto"/>
          <w:sz w:val="36"/>
          <w:szCs w:val="36"/>
        </w:rPr>
      </w:pPr>
    </w:p>
    <w:p>
      <w:pPr>
        <w:rPr>
          <w:color w:val="auto"/>
          <w:sz w:val="36"/>
          <w:szCs w:val="36"/>
        </w:rPr>
      </w:pPr>
    </w:p>
    <w:bookmarkEnd w:id="0"/>
    <w:p>
      <w:pPr>
        <w:adjustRightInd w:val="0"/>
        <w:snapToGrid w:val="0"/>
        <w:jc w:val="center"/>
        <w:outlineLvl w:val="0"/>
        <w:rPr>
          <w:bCs/>
          <w:color w:val="auto"/>
          <w:sz w:val="72"/>
          <w:szCs w:val="72"/>
        </w:rPr>
      </w:pPr>
      <w:r>
        <w:rPr>
          <w:bCs/>
          <w:color w:val="auto"/>
          <w:sz w:val="72"/>
          <w:szCs w:val="72"/>
        </w:rPr>
        <w:t>建设项目环境影响报告表</w:t>
      </w:r>
    </w:p>
    <w:p>
      <w:pPr>
        <w:adjustRightInd w:val="0"/>
        <w:snapToGrid w:val="0"/>
        <w:spacing w:before="192" w:beforeLines="80"/>
        <w:jc w:val="center"/>
        <w:rPr>
          <w:bCs/>
          <w:color w:val="auto"/>
          <w:sz w:val="48"/>
          <w:szCs w:val="48"/>
        </w:rPr>
      </w:pPr>
      <w:r>
        <w:rPr>
          <w:bCs/>
          <w:color w:val="auto"/>
          <w:sz w:val="48"/>
          <w:szCs w:val="48"/>
        </w:rPr>
        <w:t>（生态影响类）</w:t>
      </w:r>
    </w:p>
    <w:p>
      <w:pPr>
        <w:pStyle w:val="58"/>
        <w:ind w:firstLine="480"/>
        <w:rPr>
          <w:color w:val="auto"/>
        </w:rPr>
      </w:pPr>
      <w:bookmarkStart w:id="1" w:name="_Hlk57883728"/>
    </w:p>
    <w:p>
      <w:pPr>
        <w:pStyle w:val="58"/>
        <w:ind w:firstLine="480"/>
        <w:rPr>
          <w:color w:val="auto"/>
        </w:rPr>
      </w:pPr>
    </w:p>
    <w:p>
      <w:pPr>
        <w:ind w:firstLine="1040"/>
        <w:rPr>
          <w:color w:val="auto"/>
          <w:sz w:val="44"/>
          <w:szCs w:val="44"/>
        </w:rPr>
      </w:pPr>
    </w:p>
    <w:p>
      <w:pPr>
        <w:ind w:firstLine="1040"/>
        <w:rPr>
          <w:color w:val="auto"/>
          <w:sz w:val="44"/>
          <w:szCs w:val="44"/>
        </w:rPr>
      </w:pPr>
    </w:p>
    <w:p>
      <w:pPr>
        <w:ind w:firstLine="1040"/>
        <w:rPr>
          <w:color w:val="auto"/>
          <w:sz w:val="44"/>
          <w:szCs w:val="44"/>
        </w:rPr>
      </w:pPr>
    </w:p>
    <w:p>
      <w:pPr>
        <w:ind w:firstLine="1040"/>
        <w:rPr>
          <w:color w:val="auto"/>
          <w:sz w:val="44"/>
          <w:szCs w:val="44"/>
        </w:rPr>
      </w:pPr>
    </w:p>
    <w:p>
      <w:pPr>
        <w:pStyle w:val="58"/>
        <w:ind w:firstLine="480"/>
        <w:rPr>
          <w:color w:val="auto"/>
        </w:rPr>
      </w:pPr>
    </w:p>
    <w:p>
      <w:pPr>
        <w:pStyle w:val="58"/>
        <w:ind w:firstLine="480"/>
        <w:rPr>
          <w:color w:val="auto"/>
        </w:rPr>
      </w:pPr>
    </w:p>
    <w:p>
      <w:pPr>
        <w:rPr>
          <w:color w:val="auto"/>
        </w:rPr>
      </w:pPr>
    </w:p>
    <w:bookmarkEnd w:id="1"/>
    <w:p>
      <w:pPr>
        <w:adjustRightInd w:val="0"/>
        <w:snapToGrid w:val="0"/>
        <w:spacing w:line="480" w:lineRule="auto"/>
        <w:ind w:firstLine="300" w:firstLineChars="100"/>
        <w:jc w:val="left"/>
        <w:rPr>
          <w:rFonts w:hint="default"/>
          <w:color w:val="auto"/>
          <w:sz w:val="30"/>
          <w:szCs w:val="30"/>
          <w:lang w:val="en-US"/>
        </w:rPr>
      </w:pPr>
      <w:r>
        <w:rPr>
          <w:color w:val="auto"/>
          <w:sz w:val="30"/>
          <w:szCs w:val="30"/>
        </w:rPr>
        <w:t>项目名称：</w:t>
      </w:r>
      <w:r>
        <w:rPr>
          <w:rFonts w:hint="eastAsia"/>
          <w:color w:val="auto"/>
          <w:sz w:val="30"/>
          <w:szCs w:val="30"/>
          <w:u w:val="single"/>
        </w:rPr>
        <w:t xml:space="preserve"> </w:t>
      </w:r>
      <w:r>
        <w:rPr>
          <w:rFonts w:hint="eastAsia"/>
          <w:color w:val="auto"/>
          <w:sz w:val="30"/>
          <w:szCs w:val="30"/>
          <w:u w:val="single"/>
          <w:lang w:val="en-US" w:eastAsia="zh-CN"/>
        </w:rPr>
        <w:t xml:space="preserve">          宁县滨河大桥建设项目                   </w:t>
      </w:r>
    </w:p>
    <w:p>
      <w:pPr>
        <w:adjustRightInd w:val="0"/>
        <w:snapToGrid w:val="0"/>
        <w:spacing w:line="480" w:lineRule="auto"/>
        <w:ind w:firstLine="300" w:firstLineChars="100"/>
        <w:jc w:val="left"/>
        <w:rPr>
          <w:color w:val="auto"/>
          <w:sz w:val="30"/>
          <w:szCs w:val="30"/>
          <w:u w:val="single"/>
        </w:rPr>
      </w:pPr>
      <w:r>
        <w:rPr>
          <w:color w:val="auto"/>
          <w:sz w:val="30"/>
          <w:szCs w:val="30"/>
        </w:rPr>
        <w:t>建设单位（盖章）：</w:t>
      </w:r>
      <w:r>
        <w:rPr>
          <w:rFonts w:hint="eastAsia"/>
          <w:color w:val="auto"/>
          <w:sz w:val="30"/>
          <w:szCs w:val="30"/>
          <w:u w:val="single"/>
        </w:rPr>
        <w:t xml:space="preserve">  </w:t>
      </w:r>
      <w:r>
        <w:rPr>
          <w:rFonts w:hint="eastAsia"/>
          <w:color w:val="auto"/>
          <w:sz w:val="30"/>
          <w:szCs w:val="30"/>
          <w:u w:val="single"/>
          <w:lang w:val="en-US" w:eastAsia="zh-CN"/>
        </w:rPr>
        <w:t xml:space="preserve">  </w:t>
      </w:r>
      <w:r>
        <w:rPr>
          <w:rFonts w:hint="eastAsia"/>
          <w:color w:val="auto"/>
          <w:sz w:val="30"/>
          <w:szCs w:val="30"/>
          <w:u w:val="single"/>
          <w:lang w:eastAsia="zh-CN"/>
        </w:rPr>
        <w:t>宁县住房和城乡建设局</w:t>
      </w:r>
      <w:r>
        <w:rPr>
          <w:rFonts w:hint="eastAsia"/>
          <w:color w:val="auto"/>
          <w:sz w:val="30"/>
          <w:szCs w:val="30"/>
          <w:u w:val="single"/>
        </w:rPr>
        <w:t xml:space="preserve">  </w:t>
      </w:r>
      <w:r>
        <w:rPr>
          <w:rFonts w:hint="eastAsia"/>
          <w:color w:val="auto"/>
          <w:sz w:val="30"/>
          <w:szCs w:val="30"/>
          <w:u w:val="single"/>
          <w:lang w:val="en-US" w:eastAsia="zh-CN"/>
        </w:rPr>
        <w:t xml:space="preserve">   </w:t>
      </w:r>
      <w:r>
        <w:rPr>
          <w:rFonts w:hint="eastAsia"/>
          <w:color w:val="auto"/>
          <w:sz w:val="30"/>
          <w:szCs w:val="30"/>
          <w:u w:val="single"/>
        </w:rPr>
        <w:t xml:space="preserve"> </w:t>
      </w:r>
      <w:r>
        <w:rPr>
          <w:rFonts w:hint="eastAsia"/>
          <w:color w:val="auto"/>
          <w:sz w:val="30"/>
          <w:szCs w:val="30"/>
          <w:u w:val="single"/>
          <w:lang w:val="en-US" w:eastAsia="zh-CN"/>
        </w:rPr>
        <w:t xml:space="preserve"> </w:t>
      </w:r>
      <w:r>
        <w:rPr>
          <w:rFonts w:hint="eastAsia"/>
          <w:color w:val="auto"/>
          <w:sz w:val="30"/>
          <w:szCs w:val="30"/>
          <w:u w:val="single"/>
        </w:rPr>
        <w:t xml:space="preserve">        </w:t>
      </w:r>
    </w:p>
    <w:p>
      <w:pPr>
        <w:adjustRightInd w:val="0"/>
        <w:snapToGrid w:val="0"/>
        <w:spacing w:line="480" w:lineRule="auto"/>
        <w:ind w:firstLine="300" w:firstLineChars="100"/>
        <w:jc w:val="left"/>
        <w:rPr>
          <w:color w:val="auto"/>
          <w:sz w:val="30"/>
          <w:szCs w:val="30"/>
          <w:u w:val="single"/>
        </w:rPr>
      </w:pPr>
      <w:r>
        <w:rPr>
          <w:color w:val="auto"/>
          <w:sz w:val="30"/>
          <w:szCs w:val="30"/>
        </w:rPr>
        <w:t>编制日期：</w:t>
      </w:r>
      <w:r>
        <w:rPr>
          <w:color w:val="auto"/>
          <w:sz w:val="30"/>
          <w:szCs w:val="30"/>
          <w:u w:val="single"/>
        </w:rPr>
        <w:t xml:space="preserve">        </w:t>
      </w:r>
      <w:r>
        <w:rPr>
          <w:rFonts w:hint="eastAsia"/>
          <w:color w:val="auto"/>
          <w:sz w:val="30"/>
          <w:szCs w:val="30"/>
          <w:u w:val="single"/>
          <w:lang w:val="en-US" w:eastAsia="zh-CN"/>
        </w:rPr>
        <w:t xml:space="preserve">  </w:t>
      </w:r>
      <w:r>
        <w:rPr>
          <w:rFonts w:hint="eastAsia"/>
          <w:color w:val="auto"/>
          <w:sz w:val="30"/>
          <w:szCs w:val="30"/>
          <w:u w:val="single"/>
        </w:rPr>
        <w:t xml:space="preserve"> </w:t>
      </w:r>
      <w:r>
        <w:rPr>
          <w:rFonts w:hint="eastAsia"/>
          <w:color w:val="auto"/>
          <w:sz w:val="30"/>
          <w:szCs w:val="30"/>
          <w:u w:val="single"/>
          <w:lang w:val="en-US" w:eastAsia="zh-CN"/>
        </w:rPr>
        <w:t xml:space="preserve">   </w:t>
      </w:r>
      <w:r>
        <w:rPr>
          <w:color w:val="auto"/>
          <w:sz w:val="30"/>
          <w:szCs w:val="30"/>
          <w:u w:val="single"/>
        </w:rPr>
        <w:t>二〇二</w:t>
      </w:r>
      <w:r>
        <w:rPr>
          <w:rFonts w:hint="eastAsia"/>
          <w:color w:val="auto"/>
          <w:sz w:val="30"/>
          <w:szCs w:val="30"/>
          <w:u w:val="single"/>
          <w:lang w:eastAsia="zh-CN"/>
        </w:rPr>
        <w:t>二</w:t>
      </w:r>
      <w:r>
        <w:rPr>
          <w:color w:val="auto"/>
          <w:sz w:val="30"/>
          <w:szCs w:val="30"/>
          <w:u w:val="single"/>
        </w:rPr>
        <w:t>年</w:t>
      </w:r>
      <w:r>
        <w:rPr>
          <w:rFonts w:hint="eastAsia"/>
          <w:color w:val="auto"/>
          <w:sz w:val="30"/>
          <w:szCs w:val="30"/>
          <w:u w:val="single"/>
          <w:lang w:eastAsia="zh-CN"/>
        </w:rPr>
        <w:t>十</w:t>
      </w:r>
      <w:r>
        <w:rPr>
          <w:color w:val="auto"/>
          <w:sz w:val="30"/>
          <w:szCs w:val="30"/>
          <w:u w:val="single"/>
        </w:rPr>
        <w:t xml:space="preserve">月    </w:t>
      </w:r>
      <w:r>
        <w:rPr>
          <w:rFonts w:hint="eastAsia"/>
          <w:color w:val="auto"/>
          <w:sz w:val="30"/>
          <w:szCs w:val="30"/>
          <w:u w:val="single"/>
          <w:lang w:val="en-US" w:eastAsia="zh-CN"/>
        </w:rPr>
        <w:t xml:space="preserve"> </w:t>
      </w:r>
      <w:r>
        <w:rPr>
          <w:color w:val="auto"/>
          <w:sz w:val="30"/>
          <w:szCs w:val="30"/>
          <w:u w:val="single"/>
        </w:rPr>
        <w:t xml:space="preserve">   </w:t>
      </w:r>
      <w:r>
        <w:rPr>
          <w:rFonts w:hint="eastAsia"/>
          <w:color w:val="auto"/>
          <w:sz w:val="30"/>
          <w:szCs w:val="30"/>
          <w:u w:val="single"/>
          <w:lang w:val="en-US" w:eastAsia="zh-CN"/>
        </w:rPr>
        <w:t xml:space="preserve">    </w:t>
      </w:r>
      <w:r>
        <w:rPr>
          <w:color w:val="auto"/>
          <w:sz w:val="30"/>
          <w:szCs w:val="30"/>
          <w:u w:val="single"/>
        </w:rPr>
        <w:t xml:space="preserve"> </w:t>
      </w:r>
      <w:r>
        <w:rPr>
          <w:rFonts w:hint="eastAsia"/>
          <w:color w:val="auto"/>
          <w:sz w:val="30"/>
          <w:szCs w:val="30"/>
          <w:u w:val="single"/>
        </w:rPr>
        <w:t xml:space="preserve">   </w:t>
      </w:r>
      <w:r>
        <w:rPr>
          <w:color w:val="auto"/>
          <w:sz w:val="30"/>
          <w:szCs w:val="30"/>
          <w:u w:val="single"/>
        </w:rPr>
        <w:t xml:space="preserve">  </w:t>
      </w:r>
      <w:r>
        <w:rPr>
          <w:rFonts w:hint="eastAsia"/>
          <w:color w:val="auto"/>
          <w:sz w:val="30"/>
          <w:szCs w:val="30"/>
          <w:u w:val="single"/>
        </w:rPr>
        <w:t xml:space="preserve">  </w:t>
      </w:r>
    </w:p>
    <w:p>
      <w:pPr>
        <w:adjustRightInd w:val="0"/>
        <w:snapToGrid w:val="0"/>
        <w:spacing w:line="288" w:lineRule="auto"/>
        <w:ind w:firstLine="1040"/>
        <w:rPr>
          <w:color w:val="auto"/>
          <w:sz w:val="36"/>
          <w:szCs w:val="36"/>
          <w:u w:val="single"/>
        </w:rPr>
      </w:pPr>
    </w:p>
    <w:p>
      <w:pPr>
        <w:adjustRightInd w:val="0"/>
        <w:snapToGrid w:val="0"/>
        <w:spacing w:line="288" w:lineRule="auto"/>
        <w:ind w:firstLine="1040"/>
        <w:rPr>
          <w:color w:val="auto"/>
          <w:sz w:val="36"/>
          <w:szCs w:val="36"/>
        </w:rPr>
      </w:pPr>
    </w:p>
    <w:p>
      <w:pPr>
        <w:adjustRightInd w:val="0"/>
        <w:snapToGrid w:val="0"/>
        <w:spacing w:line="288" w:lineRule="auto"/>
        <w:ind w:firstLine="1040"/>
        <w:rPr>
          <w:color w:val="auto"/>
          <w:sz w:val="36"/>
          <w:szCs w:val="36"/>
        </w:rPr>
      </w:pPr>
    </w:p>
    <w:p>
      <w:pPr>
        <w:adjustRightInd w:val="0"/>
        <w:snapToGrid w:val="0"/>
        <w:spacing w:line="288" w:lineRule="auto"/>
        <w:ind w:firstLine="1040"/>
        <w:rPr>
          <w:color w:val="auto"/>
          <w:sz w:val="36"/>
          <w:szCs w:val="36"/>
        </w:rPr>
      </w:pPr>
    </w:p>
    <w:p>
      <w:pPr>
        <w:adjustRightInd w:val="0"/>
        <w:snapToGrid w:val="0"/>
        <w:spacing w:line="288" w:lineRule="auto"/>
        <w:ind w:firstLine="1040"/>
        <w:rPr>
          <w:color w:val="auto"/>
          <w:sz w:val="36"/>
          <w:szCs w:val="36"/>
        </w:rPr>
      </w:pPr>
    </w:p>
    <w:p>
      <w:pPr>
        <w:adjustRightInd w:val="0"/>
        <w:snapToGrid w:val="0"/>
        <w:spacing w:line="288" w:lineRule="auto"/>
        <w:ind w:firstLine="1040"/>
        <w:rPr>
          <w:color w:val="auto"/>
        </w:rPr>
      </w:pPr>
    </w:p>
    <w:p>
      <w:pPr>
        <w:adjustRightInd w:val="0"/>
        <w:snapToGrid w:val="0"/>
        <w:spacing w:line="288" w:lineRule="auto"/>
        <w:jc w:val="center"/>
        <w:rPr>
          <w:color w:val="auto"/>
          <w:sz w:val="36"/>
          <w:szCs w:val="36"/>
        </w:rPr>
      </w:pPr>
      <w:r>
        <w:rPr>
          <w:color w:val="auto"/>
          <w:sz w:val="36"/>
          <w:szCs w:val="36"/>
        </w:rPr>
        <w:t>中华人民共和国生态环境部制</w:t>
      </w:r>
    </w:p>
    <w:p>
      <w:pPr>
        <w:adjustRightInd w:val="0"/>
        <w:snapToGrid w:val="0"/>
        <w:spacing w:line="288" w:lineRule="auto"/>
        <w:jc w:val="center"/>
        <w:rPr>
          <w:color w:val="auto"/>
          <w:sz w:val="36"/>
          <w:szCs w:val="36"/>
        </w:rPr>
      </w:pPr>
    </w:p>
    <w:p>
      <w:pPr>
        <w:pStyle w:val="58"/>
        <w:ind w:firstLine="480"/>
        <w:rPr>
          <w:color w:val="auto"/>
        </w:rPr>
      </w:pPr>
    </w:p>
    <w:p>
      <w:pPr>
        <w:adjustRightInd w:val="0"/>
        <w:snapToGrid w:val="0"/>
        <w:spacing w:line="288" w:lineRule="auto"/>
        <w:ind w:firstLine="1040"/>
        <w:rPr>
          <w:color w:val="auto"/>
          <w:sz w:val="36"/>
          <w:szCs w:val="36"/>
        </w:rPr>
        <w:sectPr>
          <w:footerReference r:id="rId3" w:type="default"/>
          <w:footerReference r:id="rId4" w:type="even"/>
          <w:pgSz w:w="11906" w:h="16838"/>
          <w:pgMar w:top="1701" w:right="1531" w:bottom="1701" w:left="1531" w:header="851" w:footer="1077" w:gutter="0"/>
          <w:pgNumType w:start="21"/>
          <w:cols w:space="720" w:num="1"/>
          <w:docGrid w:linePitch="312" w:charSpace="0"/>
        </w:sectPr>
      </w:pPr>
    </w:p>
    <w:p>
      <w:pPr>
        <w:pStyle w:val="2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0"/>
        <w:rPr>
          <w:rFonts w:ascii="Times New Roman" w:hAnsi="Times New Roman"/>
          <w:b/>
          <w:bCs/>
          <w:snapToGrid w:val="0"/>
          <w:color w:val="auto"/>
          <w:sz w:val="30"/>
          <w:szCs w:val="30"/>
        </w:rPr>
      </w:pPr>
      <w:r>
        <w:rPr>
          <w:rFonts w:ascii="Times New Roman" w:hAnsi="Times New Roman"/>
          <w:b/>
          <w:bCs/>
          <w:snapToGrid w:val="0"/>
          <w:color w:val="auto"/>
          <w:sz w:val="30"/>
          <w:szCs w:val="30"/>
        </w:rPr>
        <w:t>一、建设项目基本情况</w:t>
      </w:r>
    </w:p>
    <w:tbl>
      <w:tblPr>
        <w:tblStyle w:val="26"/>
        <w:tblW w:w="9049" w:type="dxa"/>
        <w:tblInd w:w="17"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133"/>
        <w:gridCol w:w="2176"/>
        <w:gridCol w:w="1112"/>
        <w:gridCol w:w="1434"/>
        <w:gridCol w:w="17"/>
        <w:gridCol w:w="1686"/>
        <w:gridCol w:w="14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133" w:type="dxa"/>
            <w:tcMar>
              <w:top w:w="16" w:type="dxa"/>
              <w:left w:w="16" w:type="dxa"/>
              <w:right w:w="16" w:type="dxa"/>
            </w:tcMar>
            <w:vAlign w:val="center"/>
          </w:tcPr>
          <w:p>
            <w:pPr>
              <w:adjustRightInd w:val="0"/>
              <w:snapToGrid w:val="0"/>
              <w:jc w:val="center"/>
              <w:rPr>
                <w:color w:val="auto"/>
                <w:sz w:val="24"/>
                <w:szCs w:val="21"/>
              </w:rPr>
            </w:pPr>
            <w:r>
              <w:rPr>
                <w:color w:val="auto"/>
                <w:sz w:val="24"/>
                <w:szCs w:val="21"/>
              </w:rPr>
              <w:t>建设项目名称</w:t>
            </w:r>
          </w:p>
        </w:tc>
        <w:tc>
          <w:tcPr>
            <w:tcW w:w="7916" w:type="dxa"/>
            <w:gridSpan w:val="6"/>
            <w:vAlign w:val="center"/>
          </w:tcPr>
          <w:p>
            <w:pPr>
              <w:adjustRightInd w:val="0"/>
              <w:snapToGrid w:val="0"/>
              <w:jc w:val="center"/>
              <w:rPr>
                <w:color w:val="auto"/>
                <w:sz w:val="24"/>
                <w:szCs w:val="21"/>
              </w:rPr>
            </w:pPr>
            <w:r>
              <w:rPr>
                <w:rFonts w:hint="eastAsia"/>
                <w:color w:val="auto"/>
                <w:sz w:val="24"/>
                <w:szCs w:val="21"/>
                <w:lang w:val="en-US" w:eastAsia="zh-CN"/>
              </w:rPr>
              <w:t xml:space="preserve">宁县滨河大桥建设项目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133" w:type="dxa"/>
            <w:tcMar>
              <w:top w:w="16" w:type="dxa"/>
              <w:left w:w="16" w:type="dxa"/>
              <w:right w:w="16" w:type="dxa"/>
            </w:tcMar>
            <w:vAlign w:val="center"/>
          </w:tcPr>
          <w:p>
            <w:pPr>
              <w:adjustRightInd w:val="0"/>
              <w:snapToGrid w:val="0"/>
              <w:jc w:val="center"/>
              <w:rPr>
                <w:color w:val="auto"/>
                <w:sz w:val="24"/>
                <w:szCs w:val="21"/>
              </w:rPr>
            </w:pPr>
            <w:r>
              <w:rPr>
                <w:color w:val="auto"/>
                <w:sz w:val="24"/>
                <w:szCs w:val="21"/>
              </w:rPr>
              <w:t>项目代码</w:t>
            </w:r>
          </w:p>
        </w:tc>
        <w:tc>
          <w:tcPr>
            <w:tcW w:w="7916" w:type="dxa"/>
            <w:gridSpan w:val="6"/>
            <w:vAlign w:val="center"/>
          </w:tcPr>
          <w:p>
            <w:pPr>
              <w:adjustRightInd w:val="0"/>
              <w:snapToGrid w:val="0"/>
              <w:jc w:val="center"/>
              <w:rPr>
                <w:color w:val="auto"/>
                <w:sz w:val="24"/>
                <w:szCs w:val="21"/>
              </w:rPr>
            </w:pPr>
            <w:r>
              <w:rPr>
                <w:color w:val="auto"/>
                <w:sz w:val="24"/>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133" w:type="dxa"/>
            <w:tcMar>
              <w:top w:w="16" w:type="dxa"/>
              <w:left w:w="16" w:type="dxa"/>
              <w:right w:w="16" w:type="dxa"/>
            </w:tcMar>
            <w:vAlign w:val="center"/>
          </w:tcPr>
          <w:p>
            <w:pPr>
              <w:adjustRightInd w:val="0"/>
              <w:snapToGrid w:val="0"/>
              <w:jc w:val="center"/>
              <w:rPr>
                <w:color w:val="auto"/>
                <w:sz w:val="24"/>
                <w:szCs w:val="21"/>
              </w:rPr>
            </w:pPr>
            <w:r>
              <w:rPr>
                <w:color w:val="auto"/>
                <w:sz w:val="24"/>
                <w:szCs w:val="21"/>
              </w:rPr>
              <w:t>建设单位联系人</w:t>
            </w:r>
          </w:p>
        </w:tc>
        <w:tc>
          <w:tcPr>
            <w:tcW w:w="2176" w:type="dxa"/>
            <w:vAlign w:val="center"/>
          </w:tcPr>
          <w:p>
            <w:pPr>
              <w:adjustRightInd w:val="0"/>
              <w:snapToGrid w:val="0"/>
              <w:jc w:val="center"/>
              <w:rPr>
                <w:color w:val="auto"/>
                <w:sz w:val="24"/>
                <w:szCs w:val="21"/>
              </w:rPr>
            </w:pPr>
            <w:r>
              <w:rPr>
                <w:rFonts w:hint="eastAsia"/>
                <w:color w:val="auto"/>
                <w:sz w:val="24"/>
                <w:szCs w:val="21"/>
              </w:rPr>
              <w:t>罗刚刚</w:t>
            </w:r>
          </w:p>
        </w:tc>
        <w:tc>
          <w:tcPr>
            <w:tcW w:w="2563" w:type="dxa"/>
            <w:gridSpan w:val="3"/>
            <w:vAlign w:val="center"/>
          </w:tcPr>
          <w:p>
            <w:pPr>
              <w:adjustRightInd w:val="0"/>
              <w:snapToGrid w:val="0"/>
              <w:jc w:val="center"/>
              <w:rPr>
                <w:color w:val="auto"/>
                <w:sz w:val="24"/>
                <w:szCs w:val="21"/>
              </w:rPr>
            </w:pPr>
            <w:r>
              <w:rPr>
                <w:color w:val="auto"/>
                <w:sz w:val="24"/>
                <w:szCs w:val="21"/>
              </w:rPr>
              <w:t>联系方式</w:t>
            </w:r>
          </w:p>
        </w:tc>
        <w:tc>
          <w:tcPr>
            <w:tcW w:w="3177" w:type="dxa"/>
            <w:gridSpan w:val="2"/>
            <w:vAlign w:val="center"/>
          </w:tcPr>
          <w:p>
            <w:pPr>
              <w:adjustRightInd w:val="0"/>
              <w:snapToGrid w:val="0"/>
              <w:jc w:val="center"/>
              <w:rPr>
                <w:rFonts w:hint="default"/>
                <w:color w:val="auto"/>
                <w:sz w:val="24"/>
                <w:szCs w:val="21"/>
                <w:lang w:val="en-US" w:eastAsia="zh-CN"/>
              </w:rPr>
            </w:pPr>
            <w:r>
              <w:rPr>
                <w:rFonts w:hint="eastAsia"/>
                <w:color w:val="auto"/>
                <w:sz w:val="24"/>
                <w:szCs w:val="21"/>
                <w:lang w:val="en-US" w:eastAsia="zh-CN"/>
              </w:rPr>
              <w:t>15213835379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133" w:type="dxa"/>
            <w:tcMar>
              <w:top w:w="16" w:type="dxa"/>
              <w:left w:w="16" w:type="dxa"/>
              <w:right w:w="16" w:type="dxa"/>
            </w:tcMar>
            <w:vAlign w:val="center"/>
          </w:tcPr>
          <w:p>
            <w:pPr>
              <w:adjustRightInd w:val="0"/>
              <w:snapToGrid w:val="0"/>
              <w:jc w:val="center"/>
              <w:rPr>
                <w:color w:val="auto"/>
                <w:sz w:val="24"/>
                <w:szCs w:val="21"/>
              </w:rPr>
            </w:pPr>
            <w:r>
              <w:rPr>
                <w:color w:val="auto"/>
                <w:sz w:val="24"/>
                <w:szCs w:val="21"/>
              </w:rPr>
              <w:t>建设地点</w:t>
            </w:r>
          </w:p>
        </w:tc>
        <w:tc>
          <w:tcPr>
            <w:tcW w:w="7916" w:type="dxa"/>
            <w:gridSpan w:val="6"/>
            <w:vAlign w:val="center"/>
          </w:tcPr>
          <w:p>
            <w:pPr>
              <w:adjustRightInd w:val="0"/>
              <w:snapToGrid w:val="0"/>
              <w:jc w:val="center"/>
              <w:rPr>
                <w:rFonts w:hint="eastAsia" w:eastAsia="宋体"/>
                <w:color w:val="auto"/>
                <w:sz w:val="24"/>
                <w:szCs w:val="21"/>
                <w:lang w:eastAsia="zh-CN"/>
              </w:rPr>
            </w:pPr>
            <w:r>
              <w:rPr>
                <w:rFonts w:hint="eastAsia"/>
                <w:color w:val="auto"/>
                <w:sz w:val="24"/>
                <w:szCs w:val="21"/>
                <w:lang w:eastAsia="zh-CN"/>
              </w:rPr>
              <w:t>宁县县城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133" w:type="dxa"/>
            <w:tcMar>
              <w:top w:w="16" w:type="dxa"/>
              <w:left w:w="16" w:type="dxa"/>
              <w:right w:w="16" w:type="dxa"/>
            </w:tcMar>
            <w:vAlign w:val="center"/>
          </w:tcPr>
          <w:p>
            <w:pPr>
              <w:adjustRightInd w:val="0"/>
              <w:snapToGrid w:val="0"/>
              <w:jc w:val="center"/>
              <w:rPr>
                <w:color w:val="auto"/>
                <w:sz w:val="24"/>
                <w:szCs w:val="21"/>
              </w:rPr>
            </w:pPr>
            <w:r>
              <w:rPr>
                <w:color w:val="auto"/>
                <w:sz w:val="24"/>
                <w:szCs w:val="21"/>
              </w:rPr>
              <w:t>地理坐标</w:t>
            </w:r>
          </w:p>
        </w:tc>
        <w:tc>
          <w:tcPr>
            <w:tcW w:w="7916" w:type="dxa"/>
            <w:gridSpan w:val="6"/>
            <w:vAlign w:val="center"/>
          </w:tcPr>
          <w:p>
            <w:pPr>
              <w:adjustRightInd w:val="0"/>
              <w:snapToGrid w:val="0"/>
              <w:jc w:val="center"/>
              <w:rPr>
                <w:rFonts w:hint="eastAsia"/>
                <w:color w:val="FF0000"/>
                <w:sz w:val="24"/>
                <w:szCs w:val="21"/>
                <w:lang w:eastAsia="zh-CN"/>
              </w:rPr>
            </w:pPr>
            <w:r>
              <w:rPr>
                <w:rFonts w:hint="eastAsia"/>
                <w:color w:val="FF0000"/>
                <w:sz w:val="24"/>
                <w:szCs w:val="21"/>
                <w:lang w:eastAsia="zh-CN"/>
              </w:rPr>
              <w:t>桥梁起点坐标：经度107°54′34.571″, 纬度35°29′47.145″</w:t>
            </w:r>
          </w:p>
          <w:p>
            <w:pPr>
              <w:adjustRightInd w:val="0"/>
              <w:snapToGrid w:val="0"/>
              <w:jc w:val="center"/>
              <w:rPr>
                <w:rFonts w:hint="eastAsia"/>
                <w:color w:val="auto"/>
                <w:sz w:val="24"/>
                <w:szCs w:val="21"/>
                <w:lang w:eastAsia="zh-CN"/>
              </w:rPr>
            </w:pPr>
            <w:r>
              <w:rPr>
                <w:rFonts w:hint="eastAsia"/>
                <w:color w:val="FF0000"/>
                <w:sz w:val="24"/>
                <w:szCs w:val="21"/>
                <w:lang w:eastAsia="zh-CN"/>
              </w:rPr>
              <w:t>桥梁终点坐标：经度107°54′27.696″, 纬度35°29′53.344″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1133" w:type="dxa"/>
            <w:tcMar>
              <w:top w:w="16" w:type="dxa"/>
              <w:left w:w="16" w:type="dxa"/>
              <w:right w:w="16" w:type="dxa"/>
            </w:tcMar>
            <w:vAlign w:val="center"/>
          </w:tcPr>
          <w:p>
            <w:pPr>
              <w:adjustRightInd w:val="0"/>
              <w:snapToGrid w:val="0"/>
              <w:jc w:val="center"/>
              <w:rPr>
                <w:color w:val="auto"/>
                <w:sz w:val="24"/>
              </w:rPr>
            </w:pPr>
            <w:r>
              <w:rPr>
                <w:color w:val="auto"/>
                <w:sz w:val="24"/>
              </w:rPr>
              <w:t>建设项目</w:t>
            </w:r>
          </w:p>
          <w:p>
            <w:pPr>
              <w:adjustRightInd w:val="0"/>
              <w:snapToGrid w:val="0"/>
              <w:jc w:val="center"/>
              <w:rPr>
                <w:color w:val="auto"/>
                <w:sz w:val="24"/>
              </w:rPr>
            </w:pPr>
            <w:r>
              <w:rPr>
                <w:color w:val="auto"/>
                <w:sz w:val="24"/>
              </w:rPr>
              <w:t>行业类别</w:t>
            </w:r>
          </w:p>
        </w:tc>
        <w:tc>
          <w:tcPr>
            <w:tcW w:w="2176" w:type="dxa"/>
            <w:vAlign w:val="center"/>
          </w:tcPr>
          <w:p>
            <w:pPr>
              <w:adjustRightInd w:val="0"/>
              <w:snapToGrid w:val="0"/>
              <w:jc w:val="center"/>
              <w:rPr>
                <w:color w:val="auto"/>
                <w:sz w:val="24"/>
              </w:rPr>
            </w:pPr>
            <w:r>
              <w:rPr>
                <w:rFonts w:hint="default"/>
                <w:color w:val="auto"/>
                <w:sz w:val="24"/>
                <w:lang w:val="en-US" w:eastAsia="zh-CN"/>
              </w:rPr>
              <w:t xml:space="preserve">52_131 </w:t>
            </w:r>
            <w:r>
              <w:rPr>
                <w:rFonts w:hint="eastAsia"/>
                <w:color w:val="auto"/>
                <w:sz w:val="24"/>
                <w:lang w:val="en-US" w:eastAsia="zh-CN"/>
              </w:rPr>
              <w:t>新建快速路、主干路；城市桥梁、隧道</w:t>
            </w:r>
          </w:p>
        </w:tc>
        <w:tc>
          <w:tcPr>
            <w:tcW w:w="1112" w:type="dxa"/>
            <w:vAlign w:val="center"/>
          </w:tcPr>
          <w:p>
            <w:pPr>
              <w:adjustRightInd w:val="0"/>
              <w:snapToGrid w:val="0"/>
              <w:jc w:val="center"/>
              <w:rPr>
                <w:color w:val="auto"/>
                <w:sz w:val="24"/>
                <w:szCs w:val="21"/>
              </w:rPr>
            </w:pPr>
            <w:r>
              <w:rPr>
                <w:color w:val="auto"/>
                <w:sz w:val="24"/>
                <w:szCs w:val="21"/>
              </w:rPr>
              <w:t>行业类别及代码</w:t>
            </w:r>
          </w:p>
        </w:tc>
        <w:tc>
          <w:tcPr>
            <w:tcW w:w="1434" w:type="dxa"/>
            <w:vAlign w:val="center"/>
          </w:tcPr>
          <w:p>
            <w:pPr>
              <w:adjustRightInd w:val="0"/>
              <w:snapToGrid w:val="0"/>
              <w:jc w:val="center"/>
              <w:rPr>
                <w:color w:val="auto"/>
                <w:sz w:val="24"/>
                <w:szCs w:val="21"/>
              </w:rPr>
            </w:pPr>
            <w:r>
              <w:rPr>
                <w:color w:val="auto"/>
                <w:sz w:val="24"/>
                <w:szCs w:val="21"/>
              </w:rPr>
              <w:t>E481</w:t>
            </w:r>
            <w:r>
              <w:rPr>
                <w:rFonts w:hint="eastAsia"/>
                <w:color w:val="auto"/>
                <w:sz w:val="24"/>
                <w:szCs w:val="21"/>
                <w:lang w:val="en-US" w:eastAsia="zh-CN"/>
              </w:rPr>
              <w:t>9</w:t>
            </w:r>
            <w:r>
              <w:rPr>
                <w:color w:val="auto"/>
                <w:sz w:val="24"/>
                <w:szCs w:val="21"/>
              </w:rPr>
              <w:t xml:space="preserve">  </w:t>
            </w:r>
            <w:r>
              <w:rPr>
                <w:rFonts w:hint="eastAsia"/>
                <w:color w:val="auto"/>
                <w:sz w:val="24"/>
                <w:szCs w:val="21"/>
              </w:rPr>
              <w:t>其他道路、隧道和桥梁工程建筑</w:t>
            </w:r>
            <w:r>
              <w:rPr>
                <w:color w:val="auto"/>
                <w:sz w:val="24"/>
                <w:szCs w:val="21"/>
              </w:rPr>
              <w:t xml:space="preserve">   </w:t>
            </w:r>
          </w:p>
        </w:tc>
        <w:tc>
          <w:tcPr>
            <w:tcW w:w="1703" w:type="dxa"/>
            <w:gridSpan w:val="2"/>
            <w:vAlign w:val="center"/>
          </w:tcPr>
          <w:p>
            <w:pPr>
              <w:adjustRightInd w:val="0"/>
              <w:snapToGrid w:val="0"/>
              <w:jc w:val="center"/>
              <w:rPr>
                <w:color w:val="auto"/>
                <w:sz w:val="24"/>
                <w:szCs w:val="21"/>
                <w:highlight w:val="none"/>
              </w:rPr>
            </w:pPr>
            <w:r>
              <w:rPr>
                <w:color w:val="auto"/>
                <w:sz w:val="24"/>
                <w:szCs w:val="21"/>
                <w:highlight w:val="none"/>
              </w:rPr>
              <w:t>用地（用海）面积（m</w:t>
            </w:r>
            <w:r>
              <w:rPr>
                <w:color w:val="auto"/>
                <w:sz w:val="24"/>
                <w:szCs w:val="21"/>
                <w:highlight w:val="none"/>
                <w:vertAlign w:val="superscript"/>
              </w:rPr>
              <w:t>2</w:t>
            </w:r>
            <w:r>
              <w:rPr>
                <w:color w:val="auto"/>
                <w:sz w:val="24"/>
                <w:szCs w:val="21"/>
                <w:highlight w:val="none"/>
              </w:rPr>
              <w:t>）/长度（km）</w:t>
            </w:r>
          </w:p>
        </w:tc>
        <w:tc>
          <w:tcPr>
            <w:tcW w:w="1491" w:type="dxa"/>
            <w:vAlign w:val="center"/>
          </w:tcPr>
          <w:p>
            <w:pPr>
              <w:adjustRightInd w:val="0"/>
              <w:snapToGrid w:val="0"/>
              <w:jc w:val="center"/>
              <w:rPr>
                <w:color w:val="auto"/>
                <w:sz w:val="24"/>
                <w:szCs w:val="21"/>
                <w:highlight w:val="none"/>
              </w:rPr>
            </w:pPr>
            <w:r>
              <w:rPr>
                <w:rFonts w:hint="eastAsia"/>
                <w:color w:val="auto"/>
                <w:spacing w:val="10"/>
                <w:sz w:val="24"/>
                <w:szCs w:val="21"/>
                <w:highlight w:val="none"/>
                <w:lang w:val="en-US" w:eastAsia="zh-CN"/>
              </w:rPr>
              <w:t>0.269</w:t>
            </w:r>
            <w:r>
              <w:rPr>
                <w:color w:val="auto"/>
                <w:spacing w:val="10"/>
                <w:sz w:val="24"/>
                <w:szCs w:val="21"/>
                <w:highlight w:val="none"/>
              </w:rPr>
              <w:t>km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1133" w:type="dxa"/>
            <w:tcMar>
              <w:top w:w="16" w:type="dxa"/>
              <w:left w:w="16" w:type="dxa"/>
              <w:right w:w="16" w:type="dxa"/>
            </w:tcMar>
            <w:vAlign w:val="center"/>
          </w:tcPr>
          <w:p>
            <w:pPr>
              <w:adjustRightInd w:val="0"/>
              <w:snapToGrid w:val="0"/>
              <w:jc w:val="center"/>
              <w:rPr>
                <w:color w:val="auto"/>
                <w:sz w:val="24"/>
                <w:szCs w:val="21"/>
              </w:rPr>
            </w:pPr>
            <w:r>
              <w:rPr>
                <w:color w:val="auto"/>
                <w:sz w:val="24"/>
                <w:szCs w:val="21"/>
              </w:rPr>
              <w:t>建设性质</w:t>
            </w:r>
          </w:p>
        </w:tc>
        <w:tc>
          <w:tcPr>
            <w:tcW w:w="2176" w:type="dxa"/>
            <w:vAlign w:val="center"/>
          </w:tcPr>
          <w:p>
            <w:pPr>
              <w:adjustRightInd w:val="0"/>
              <w:snapToGrid w:val="0"/>
              <w:jc w:val="left"/>
              <w:rPr>
                <w:color w:val="auto"/>
                <w:sz w:val="24"/>
                <w:szCs w:val="21"/>
              </w:rPr>
            </w:pPr>
            <w:r>
              <w:rPr>
                <w:color w:val="auto"/>
                <w:sz w:val="24"/>
                <w:szCs w:val="21"/>
              </w:rPr>
              <w:sym w:font="Wingdings 2" w:char="0052"/>
            </w:r>
            <w:r>
              <w:rPr>
                <w:color w:val="auto"/>
                <w:sz w:val="24"/>
                <w:szCs w:val="21"/>
              </w:rPr>
              <w:t>新建（迁建）</w:t>
            </w:r>
          </w:p>
          <w:p>
            <w:pPr>
              <w:adjustRightInd w:val="0"/>
              <w:snapToGrid w:val="0"/>
              <w:jc w:val="left"/>
              <w:rPr>
                <w:color w:val="auto"/>
                <w:sz w:val="24"/>
                <w:szCs w:val="21"/>
              </w:rPr>
            </w:pPr>
            <w:r>
              <w:rPr>
                <w:color w:val="auto"/>
                <w:sz w:val="24"/>
                <w:szCs w:val="21"/>
              </w:rPr>
              <w:t>□改建</w:t>
            </w:r>
          </w:p>
          <w:p>
            <w:pPr>
              <w:adjustRightInd w:val="0"/>
              <w:snapToGrid w:val="0"/>
              <w:jc w:val="left"/>
              <w:rPr>
                <w:color w:val="auto"/>
                <w:sz w:val="24"/>
                <w:szCs w:val="21"/>
              </w:rPr>
            </w:pPr>
            <w:r>
              <w:rPr>
                <w:color w:val="auto"/>
                <w:sz w:val="24"/>
                <w:szCs w:val="21"/>
              </w:rPr>
              <w:t>□扩建</w:t>
            </w:r>
          </w:p>
          <w:p>
            <w:pPr>
              <w:adjustRightInd w:val="0"/>
              <w:snapToGrid w:val="0"/>
              <w:jc w:val="left"/>
              <w:rPr>
                <w:color w:val="auto"/>
                <w:sz w:val="24"/>
                <w:szCs w:val="21"/>
              </w:rPr>
            </w:pPr>
            <w:r>
              <w:rPr>
                <w:color w:val="auto"/>
                <w:sz w:val="24"/>
                <w:szCs w:val="21"/>
              </w:rPr>
              <w:t>□技术改造</w:t>
            </w:r>
          </w:p>
        </w:tc>
        <w:tc>
          <w:tcPr>
            <w:tcW w:w="2546" w:type="dxa"/>
            <w:gridSpan w:val="2"/>
            <w:vAlign w:val="center"/>
          </w:tcPr>
          <w:p>
            <w:pPr>
              <w:adjustRightInd w:val="0"/>
              <w:snapToGrid w:val="0"/>
              <w:jc w:val="center"/>
              <w:rPr>
                <w:color w:val="auto"/>
                <w:sz w:val="24"/>
                <w:szCs w:val="21"/>
              </w:rPr>
            </w:pPr>
            <w:r>
              <w:rPr>
                <w:color w:val="auto"/>
                <w:sz w:val="24"/>
                <w:szCs w:val="21"/>
              </w:rPr>
              <w:t>建设项目</w:t>
            </w:r>
          </w:p>
          <w:p>
            <w:pPr>
              <w:adjustRightInd w:val="0"/>
              <w:snapToGrid w:val="0"/>
              <w:jc w:val="center"/>
              <w:rPr>
                <w:color w:val="auto"/>
                <w:sz w:val="24"/>
                <w:szCs w:val="21"/>
              </w:rPr>
            </w:pPr>
            <w:r>
              <w:rPr>
                <w:color w:val="auto"/>
                <w:sz w:val="24"/>
                <w:szCs w:val="21"/>
              </w:rPr>
              <w:t>申报情形</w:t>
            </w:r>
          </w:p>
        </w:tc>
        <w:tc>
          <w:tcPr>
            <w:tcW w:w="3194" w:type="dxa"/>
            <w:gridSpan w:val="3"/>
            <w:vAlign w:val="center"/>
          </w:tcPr>
          <w:p>
            <w:pPr>
              <w:adjustRightInd w:val="0"/>
              <w:snapToGrid w:val="0"/>
              <w:jc w:val="left"/>
              <w:rPr>
                <w:color w:val="auto"/>
                <w:sz w:val="24"/>
                <w:szCs w:val="21"/>
              </w:rPr>
            </w:pPr>
            <w:r>
              <w:rPr>
                <w:color w:val="auto"/>
                <w:sz w:val="24"/>
                <w:szCs w:val="21"/>
              </w:rPr>
              <w:sym w:font="Wingdings 2" w:char="0052"/>
            </w:r>
            <w:r>
              <w:rPr>
                <w:color w:val="auto"/>
                <w:sz w:val="24"/>
                <w:szCs w:val="21"/>
              </w:rPr>
              <w:t>首次申报项目</w:t>
            </w:r>
          </w:p>
          <w:p>
            <w:pPr>
              <w:adjustRightInd w:val="0"/>
              <w:snapToGrid w:val="0"/>
              <w:jc w:val="left"/>
              <w:rPr>
                <w:color w:val="auto"/>
                <w:sz w:val="24"/>
                <w:szCs w:val="21"/>
              </w:rPr>
            </w:pPr>
            <w:r>
              <w:rPr>
                <w:color w:val="auto"/>
                <w:sz w:val="24"/>
                <w:szCs w:val="21"/>
              </w:rPr>
              <w:t>□不予批准后再次申报项目</w:t>
            </w:r>
          </w:p>
          <w:p>
            <w:pPr>
              <w:adjustRightInd w:val="0"/>
              <w:snapToGrid w:val="0"/>
              <w:jc w:val="left"/>
              <w:rPr>
                <w:color w:val="auto"/>
                <w:sz w:val="24"/>
                <w:szCs w:val="21"/>
              </w:rPr>
            </w:pPr>
            <w:r>
              <w:rPr>
                <w:color w:val="auto"/>
                <w:sz w:val="24"/>
                <w:szCs w:val="21"/>
              </w:rPr>
              <w:t>□超五年重新审核项目</w:t>
            </w:r>
          </w:p>
          <w:p>
            <w:pPr>
              <w:adjustRightInd w:val="0"/>
              <w:snapToGrid w:val="0"/>
              <w:rPr>
                <w:color w:val="auto"/>
                <w:sz w:val="24"/>
                <w:szCs w:val="21"/>
              </w:rPr>
            </w:pPr>
            <w:r>
              <w:rPr>
                <w:color w:val="auto"/>
                <w:sz w:val="24"/>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1133" w:type="dxa"/>
            <w:tcMar>
              <w:top w:w="16" w:type="dxa"/>
              <w:left w:w="16" w:type="dxa"/>
              <w:right w:w="16" w:type="dxa"/>
            </w:tcMar>
            <w:vAlign w:val="center"/>
          </w:tcPr>
          <w:p>
            <w:pPr>
              <w:adjustRightInd w:val="0"/>
              <w:snapToGrid w:val="0"/>
              <w:jc w:val="center"/>
              <w:rPr>
                <w:color w:val="auto"/>
                <w:sz w:val="24"/>
                <w:szCs w:val="21"/>
              </w:rPr>
            </w:pPr>
            <w:r>
              <w:rPr>
                <w:color w:val="auto"/>
                <w:sz w:val="24"/>
                <w:szCs w:val="21"/>
              </w:rPr>
              <w:t>项目审批（核准/</w:t>
            </w:r>
          </w:p>
          <w:p>
            <w:pPr>
              <w:adjustRightInd w:val="0"/>
              <w:snapToGrid w:val="0"/>
              <w:jc w:val="center"/>
              <w:rPr>
                <w:color w:val="auto"/>
                <w:sz w:val="24"/>
                <w:szCs w:val="21"/>
              </w:rPr>
            </w:pPr>
            <w:r>
              <w:rPr>
                <w:color w:val="auto"/>
                <w:sz w:val="24"/>
                <w:szCs w:val="21"/>
              </w:rPr>
              <w:t>备案）部门（选填）</w:t>
            </w:r>
          </w:p>
        </w:tc>
        <w:tc>
          <w:tcPr>
            <w:tcW w:w="2176" w:type="dxa"/>
            <w:vAlign w:val="center"/>
          </w:tcPr>
          <w:p>
            <w:pPr>
              <w:adjustRightInd w:val="0"/>
              <w:snapToGrid w:val="0"/>
              <w:jc w:val="center"/>
              <w:rPr>
                <w:rFonts w:hint="eastAsia" w:eastAsia="宋体"/>
                <w:color w:val="auto"/>
                <w:sz w:val="24"/>
                <w:szCs w:val="21"/>
                <w:lang w:eastAsia="zh-CN"/>
              </w:rPr>
            </w:pPr>
            <w:r>
              <w:rPr>
                <w:rFonts w:hint="eastAsia"/>
                <w:color w:val="auto"/>
                <w:sz w:val="24"/>
                <w:szCs w:val="21"/>
                <w:lang w:eastAsia="zh-CN"/>
              </w:rPr>
              <w:t>宁县发展和改革局</w:t>
            </w:r>
          </w:p>
        </w:tc>
        <w:tc>
          <w:tcPr>
            <w:tcW w:w="2546" w:type="dxa"/>
            <w:gridSpan w:val="2"/>
            <w:vAlign w:val="center"/>
          </w:tcPr>
          <w:p>
            <w:pPr>
              <w:adjustRightInd w:val="0"/>
              <w:snapToGrid w:val="0"/>
              <w:jc w:val="center"/>
              <w:rPr>
                <w:color w:val="auto"/>
                <w:sz w:val="24"/>
                <w:szCs w:val="21"/>
              </w:rPr>
            </w:pPr>
            <w:r>
              <w:rPr>
                <w:color w:val="auto"/>
                <w:sz w:val="24"/>
                <w:szCs w:val="21"/>
              </w:rPr>
              <w:t>项目审批（核准/</w:t>
            </w:r>
          </w:p>
          <w:p>
            <w:pPr>
              <w:adjustRightInd w:val="0"/>
              <w:snapToGrid w:val="0"/>
              <w:jc w:val="center"/>
              <w:rPr>
                <w:color w:val="auto"/>
                <w:sz w:val="24"/>
                <w:szCs w:val="21"/>
              </w:rPr>
            </w:pPr>
            <w:r>
              <w:rPr>
                <w:color w:val="auto"/>
                <w:sz w:val="24"/>
                <w:szCs w:val="21"/>
              </w:rPr>
              <w:t>备案）文号（选填）</w:t>
            </w:r>
          </w:p>
        </w:tc>
        <w:tc>
          <w:tcPr>
            <w:tcW w:w="3194" w:type="dxa"/>
            <w:gridSpan w:val="3"/>
            <w:vAlign w:val="center"/>
          </w:tcPr>
          <w:p>
            <w:pPr>
              <w:adjustRightInd w:val="0"/>
              <w:snapToGrid w:val="0"/>
              <w:jc w:val="center"/>
              <w:rPr>
                <w:rFonts w:hint="default" w:eastAsia="宋体"/>
                <w:color w:val="auto"/>
                <w:sz w:val="24"/>
                <w:szCs w:val="21"/>
                <w:lang w:val="en-US" w:eastAsia="zh-CN"/>
              </w:rPr>
            </w:pPr>
            <w:r>
              <w:rPr>
                <w:rFonts w:hint="eastAsia"/>
                <w:color w:val="auto"/>
                <w:sz w:val="24"/>
                <w:szCs w:val="21"/>
                <w:lang w:eastAsia="zh-CN"/>
              </w:rPr>
              <w:t>宁发改【</w:t>
            </w:r>
            <w:r>
              <w:rPr>
                <w:rFonts w:hint="eastAsia"/>
                <w:color w:val="auto"/>
                <w:sz w:val="24"/>
                <w:szCs w:val="21"/>
                <w:lang w:val="en-US" w:eastAsia="zh-CN"/>
              </w:rPr>
              <w:t>2022</w:t>
            </w:r>
            <w:r>
              <w:rPr>
                <w:rFonts w:hint="eastAsia"/>
                <w:color w:val="auto"/>
                <w:sz w:val="24"/>
                <w:szCs w:val="21"/>
                <w:lang w:eastAsia="zh-CN"/>
              </w:rPr>
              <w:t>】</w:t>
            </w:r>
            <w:r>
              <w:rPr>
                <w:rFonts w:hint="eastAsia"/>
                <w:color w:val="auto"/>
                <w:sz w:val="24"/>
                <w:szCs w:val="21"/>
                <w:lang w:val="en-US" w:eastAsia="zh-CN"/>
              </w:rPr>
              <w:t>89号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133" w:type="dxa"/>
            <w:tcMar>
              <w:top w:w="16" w:type="dxa"/>
              <w:left w:w="16" w:type="dxa"/>
              <w:right w:w="16" w:type="dxa"/>
            </w:tcMar>
            <w:vAlign w:val="center"/>
          </w:tcPr>
          <w:p>
            <w:pPr>
              <w:adjustRightInd w:val="0"/>
              <w:snapToGrid w:val="0"/>
              <w:jc w:val="center"/>
              <w:rPr>
                <w:color w:val="auto"/>
                <w:sz w:val="24"/>
                <w:szCs w:val="21"/>
              </w:rPr>
            </w:pPr>
            <w:r>
              <w:rPr>
                <w:color w:val="auto"/>
                <w:sz w:val="24"/>
                <w:szCs w:val="21"/>
              </w:rPr>
              <w:t>总投资（万元）</w:t>
            </w:r>
          </w:p>
        </w:tc>
        <w:tc>
          <w:tcPr>
            <w:tcW w:w="2176" w:type="dxa"/>
            <w:vAlign w:val="center"/>
          </w:tcPr>
          <w:p>
            <w:pPr>
              <w:adjustRightInd w:val="0"/>
              <w:snapToGrid w:val="0"/>
              <w:jc w:val="center"/>
              <w:rPr>
                <w:rFonts w:hint="default"/>
                <w:color w:val="auto"/>
                <w:sz w:val="24"/>
                <w:szCs w:val="21"/>
                <w:lang w:val="en-US" w:eastAsia="zh-CN"/>
              </w:rPr>
            </w:pPr>
            <w:r>
              <w:rPr>
                <w:rFonts w:hint="eastAsia"/>
                <w:color w:val="auto"/>
                <w:sz w:val="24"/>
                <w:szCs w:val="21"/>
                <w:lang w:val="en-US" w:eastAsia="zh-CN"/>
              </w:rPr>
              <w:t>5968.55</w:t>
            </w:r>
          </w:p>
        </w:tc>
        <w:tc>
          <w:tcPr>
            <w:tcW w:w="2546" w:type="dxa"/>
            <w:gridSpan w:val="2"/>
            <w:tcMar>
              <w:top w:w="16" w:type="dxa"/>
              <w:left w:w="16" w:type="dxa"/>
              <w:right w:w="16" w:type="dxa"/>
            </w:tcMar>
            <w:vAlign w:val="center"/>
          </w:tcPr>
          <w:p>
            <w:pPr>
              <w:adjustRightInd w:val="0"/>
              <w:snapToGrid w:val="0"/>
              <w:jc w:val="center"/>
              <w:rPr>
                <w:color w:val="auto"/>
                <w:sz w:val="24"/>
                <w:szCs w:val="21"/>
              </w:rPr>
            </w:pPr>
            <w:r>
              <w:rPr>
                <w:color w:val="auto"/>
                <w:sz w:val="24"/>
                <w:szCs w:val="21"/>
              </w:rPr>
              <w:t>环保投资（万元）</w:t>
            </w:r>
          </w:p>
        </w:tc>
        <w:tc>
          <w:tcPr>
            <w:tcW w:w="3194" w:type="dxa"/>
            <w:gridSpan w:val="3"/>
            <w:vAlign w:val="center"/>
          </w:tcPr>
          <w:p>
            <w:pPr>
              <w:adjustRightInd w:val="0"/>
              <w:snapToGrid w:val="0"/>
              <w:jc w:val="center"/>
              <w:rPr>
                <w:rFonts w:hint="default"/>
                <w:color w:val="auto"/>
                <w:sz w:val="24"/>
                <w:szCs w:val="21"/>
                <w:lang w:val="en-US" w:eastAsia="zh-CN"/>
              </w:rPr>
            </w:pPr>
            <w:r>
              <w:rPr>
                <w:rFonts w:hint="eastAsia"/>
                <w:color w:val="auto"/>
                <w:sz w:val="24"/>
                <w:szCs w:val="21"/>
                <w:lang w:val="en-US" w:eastAsia="zh-CN"/>
              </w:rPr>
              <w:t>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1133" w:type="dxa"/>
            <w:tcMar>
              <w:top w:w="16" w:type="dxa"/>
              <w:left w:w="16" w:type="dxa"/>
              <w:right w:w="16" w:type="dxa"/>
            </w:tcMar>
            <w:vAlign w:val="center"/>
          </w:tcPr>
          <w:p>
            <w:pPr>
              <w:adjustRightInd w:val="0"/>
              <w:snapToGrid w:val="0"/>
              <w:jc w:val="center"/>
              <w:rPr>
                <w:color w:val="auto"/>
                <w:sz w:val="24"/>
                <w:szCs w:val="21"/>
              </w:rPr>
            </w:pPr>
            <w:r>
              <w:rPr>
                <w:color w:val="auto"/>
                <w:sz w:val="24"/>
                <w:szCs w:val="21"/>
              </w:rPr>
              <w:t>环保投资占比（%）</w:t>
            </w:r>
          </w:p>
        </w:tc>
        <w:tc>
          <w:tcPr>
            <w:tcW w:w="2176" w:type="dxa"/>
            <w:vAlign w:val="center"/>
          </w:tcPr>
          <w:p>
            <w:pPr>
              <w:adjustRightInd w:val="0"/>
              <w:snapToGrid w:val="0"/>
              <w:jc w:val="center"/>
              <w:rPr>
                <w:rFonts w:hint="default"/>
                <w:color w:val="auto"/>
                <w:sz w:val="24"/>
                <w:szCs w:val="21"/>
                <w:lang w:val="en-US"/>
              </w:rPr>
            </w:pPr>
            <w:r>
              <w:rPr>
                <w:rFonts w:hint="eastAsia"/>
                <w:color w:val="auto"/>
                <w:sz w:val="24"/>
                <w:szCs w:val="21"/>
                <w:lang w:val="en-US" w:eastAsia="zh-CN"/>
              </w:rPr>
              <w:t>1.09%</w:t>
            </w:r>
          </w:p>
        </w:tc>
        <w:tc>
          <w:tcPr>
            <w:tcW w:w="2546" w:type="dxa"/>
            <w:gridSpan w:val="2"/>
            <w:tcMar>
              <w:top w:w="16" w:type="dxa"/>
              <w:left w:w="16" w:type="dxa"/>
              <w:right w:w="16" w:type="dxa"/>
            </w:tcMar>
            <w:vAlign w:val="center"/>
          </w:tcPr>
          <w:p>
            <w:pPr>
              <w:adjustRightInd w:val="0"/>
              <w:snapToGrid w:val="0"/>
              <w:jc w:val="center"/>
              <w:rPr>
                <w:color w:val="auto"/>
                <w:sz w:val="24"/>
                <w:szCs w:val="21"/>
              </w:rPr>
            </w:pPr>
            <w:r>
              <w:rPr>
                <w:color w:val="auto"/>
                <w:sz w:val="24"/>
                <w:szCs w:val="21"/>
              </w:rPr>
              <w:t>施工工期</w:t>
            </w:r>
          </w:p>
        </w:tc>
        <w:tc>
          <w:tcPr>
            <w:tcW w:w="3194" w:type="dxa"/>
            <w:gridSpan w:val="3"/>
            <w:vAlign w:val="center"/>
          </w:tcPr>
          <w:p>
            <w:pPr>
              <w:adjustRightInd w:val="0"/>
              <w:snapToGrid w:val="0"/>
              <w:jc w:val="center"/>
              <w:rPr>
                <w:color w:val="auto"/>
                <w:sz w:val="24"/>
                <w:szCs w:val="21"/>
              </w:rPr>
            </w:pPr>
            <w:r>
              <w:rPr>
                <w:rFonts w:hint="eastAsia"/>
                <w:color w:val="auto"/>
                <w:sz w:val="24"/>
                <w:szCs w:val="21"/>
                <w:lang w:val="en-US" w:eastAsia="zh-CN"/>
              </w:rPr>
              <w:t>10</w:t>
            </w:r>
            <w:r>
              <w:rPr>
                <w:color w:val="auto"/>
                <w:sz w:val="24"/>
                <w:szCs w:val="21"/>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88" w:hRule="atLeast"/>
        </w:trPr>
        <w:tc>
          <w:tcPr>
            <w:tcW w:w="1133" w:type="dxa"/>
            <w:tcMar>
              <w:top w:w="16" w:type="dxa"/>
              <w:left w:w="16" w:type="dxa"/>
              <w:right w:w="16" w:type="dxa"/>
            </w:tcMar>
            <w:vAlign w:val="center"/>
          </w:tcPr>
          <w:p>
            <w:pPr>
              <w:adjustRightInd w:val="0"/>
              <w:snapToGrid w:val="0"/>
              <w:jc w:val="center"/>
              <w:rPr>
                <w:color w:val="auto"/>
                <w:sz w:val="24"/>
                <w:szCs w:val="21"/>
              </w:rPr>
            </w:pPr>
            <w:r>
              <w:rPr>
                <w:color w:val="auto"/>
                <w:sz w:val="24"/>
                <w:szCs w:val="21"/>
              </w:rPr>
              <w:t>是否开工建设</w:t>
            </w:r>
          </w:p>
        </w:tc>
        <w:tc>
          <w:tcPr>
            <w:tcW w:w="7916" w:type="dxa"/>
            <w:gridSpan w:val="6"/>
            <w:vAlign w:val="center"/>
          </w:tcPr>
          <w:p>
            <w:pPr>
              <w:adjustRightInd w:val="0"/>
              <w:snapToGrid w:val="0"/>
              <w:ind w:firstLine="105"/>
              <w:jc w:val="left"/>
              <w:rPr>
                <w:color w:val="auto"/>
                <w:sz w:val="24"/>
                <w:szCs w:val="21"/>
              </w:rPr>
            </w:pPr>
            <w:r>
              <w:rPr>
                <w:color w:val="auto"/>
                <w:sz w:val="24"/>
                <w:szCs w:val="21"/>
              </w:rPr>
              <w:sym w:font="Wingdings 2" w:char="0052"/>
            </w:r>
            <w:r>
              <w:rPr>
                <w:color w:val="auto"/>
                <w:sz w:val="24"/>
                <w:szCs w:val="21"/>
              </w:rPr>
              <w:t>否</w:t>
            </w:r>
          </w:p>
          <w:p>
            <w:pPr>
              <w:adjustRightInd w:val="0"/>
              <w:snapToGrid w:val="0"/>
              <w:ind w:firstLine="92"/>
              <w:jc w:val="left"/>
              <w:rPr>
                <w:color w:val="auto"/>
                <w:sz w:val="24"/>
                <w:szCs w:val="21"/>
              </w:rPr>
            </w:pPr>
            <w:r>
              <w:rPr>
                <w:color w:val="auto"/>
                <w:sz w:val="24"/>
                <w:szCs w:val="21"/>
              </w:rPr>
              <w:t>□是：</w:t>
            </w:r>
            <w:r>
              <w:rPr>
                <w:color w:val="auto"/>
                <w:sz w:val="24"/>
                <w:szCs w:val="21"/>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9" w:hRule="atLeast"/>
        </w:trPr>
        <w:tc>
          <w:tcPr>
            <w:tcW w:w="1133" w:type="dxa"/>
            <w:tcMar>
              <w:top w:w="16" w:type="dxa"/>
              <w:left w:w="16" w:type="dxa"/>
              <w:right w:w="16" w:type="dxa"/>
            </w:tcMar>
            <w:vAlign w:val="center"/>
          </w:tcPr>
          <w:p>
            <w:pPr>
              <w:autoSpaceDE w:val="0"/>
              <w:autoSpaceDN w:val="0"/>
              <w:adjustRightInd w:val="0"/>
              <w:snapToGrid w:val="0"/>
              <w:jc w:val="center"/>
              <w:rPr>
                <w:color w:val="auto"/>
                <w:sz w:val="24"/>
                <w:szCs w:val="21"/>
              </w:rPr>
            </w:pPr>
            <w:r>
              <w:rPr>
                <w:color w:val="auto"/>
                <w:sz w:val="24"/>
                <w:szCs w:val="21"/>
              </w:rPr>
              <w:t>专项评价设置情况</w:t>
            </w:r>
          </w:p>
        </w:tc>
        <w:tc>
          <w:tcPr>
            <w:tcW w:w="7916" w:type="dxa"/>
            <w:gridSpan w:val="6"/>
            <w:tcMar>
              <w:top w:w="16" w:type="dxa"/>
              <w:left w:w="16" w:type="dxa"/>
              <w:right w:w="16" w:type="dxa"/>
            </w:tcMar>
            <w:vAlign w:val="center"/>
          </w:tcPr>
          <w:p>
            <w:pPr>
              <w:autoSpaceDE w:val="0"/>
              <w:autoSpaceDN w:val="0"/>
              <w:adjustRightInd w:val="0"/>
              <w:snapToGrid w:val="0"/>
              <w:jc w:val="center"/>
              <w:rPr>
                <w:rFonts w:hint="eastAsia"/>
                <w:color w:val="auto"/>
                <w:sz w:val="24"/>
                <w:szCs w:val="21"/>
              </w:rPr>
            </w:pPr>
            <w:r>
              <w:rPr>
                <w:rFonts w:hint="eastAsia"/>
                <w:color w:val="auto"/>
                <w:sz w:val="24"/>
                <w:szCs w:val="21"/>
                <w:lang w:val="en-US" w:eastAsia="zh-CN"/>
              </w:rPr>
              <w:t>根据《建设项目环境影响报告表编制技术指南（生态影响类）（试行）》，城市道路（不含维护、不含支路、人行天桥、人行地道）：全部项目应编制声环境影响评价专项。本项目属于城市桥梁建设项目，属于城市道路类别。因此本项目设置声环境影响评价专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99" w:hRule="atLeast"/>
        </w:trPr>
        <w:tc>
          <w:tcPr>
            <w:tcW w:w="1133" w:type="dxa"/>
            <w:tcMar>
              <w:top w:w="16" w:type="dxa"/>
              <w:left w:w="16" w:type="dxa"/>
              <w:right w:w="16" w:type="dxa"/>
            </w:tcMar>
            <w:vAlign w:val="center"/>
          </w:tcPr>
          <w:p>
            <w:pPr>
              <w:autoSpaceDE w:val="0"/>
              <w:autoSpaceDN w:val="0"/>
              <w:adjustRightInd w:val="0"/>
              <w:snapToGrid w:val="0"/>
              <w:jc w:val="center"/>
              <w:rPr>
                <w:rFonts w:hint="eastAsia"/>
                <w:color w:val="FF0000"/>
                <w:sz w:val="24"/>
                <w:szCs w:val="21"/>
                <w:lang w:val="en-US" w:eastAsia="zh-CN"/>
              </w:rPr>
            </w:pPr>
            <w:r>
              <w:rPr>
                <w:rFonts w:hint="eastAsia"/>
                <w:color w:val="FF0000"/>
                <w:sz w:val="24"/>
                <w:szCs w:val="21"/>
                <w:lang w:val="en-US" w:eastAsia="zh-CN"/>
              </w:rPr>
              <w:t>规划情况</w:t>
            </w:r>
          </w:p>
        </w:tc>
        <w:tc>
          <w:tcPr>
            <w:tcW w:w="7916" w:type="dxa"/>
            <w:gridSpan w:val="6"/>
            <w:tcMar>
              <w:top w:w="16" w:type="dxa"/>
              <w:left w:w="16" w:type="dxa"/>
              <w:right w:w="16" w:type="dxa"/>
            </w:tcMar>
            <w:vAlign w:val="center"/>
          </w:tcPr>
          <w:p>
            <w:pPr>
              <w:autoSpaceDE w:val="0"/>
              <w:autoSpaceDN w:val="0"/>
              <w:adjustRightInd w:val="0"/>
              <w:snapToGrid w:val="0"/>
              <w:jc w:val="center"/>
              <w:rPr>
                <w:rFonts w:hint="eastAsia"/>
                <w:color w:val="FF0000"/>
                <w:sz w:val="24"/>
                <w:szCs w:val="21"/>
                <w:lang w:val="en-US" w:eastAsia="zh-CN"/>
              </w:rPr>
            </w:pPr>
            <w:r>
              <w:rPr>
                <w:rFonts w:hint="eastAsia"/>
                <w:color w:val="FF0000"/>
                <w:sz w:val="24"/>
                <w:szCs w:val="21"/>
                <w:lang w:val="en-US" w:eastAsia="zh-CN"/>
              </w:rPr>
              <w:t>本项目宁县滨河大桥作为宁县城市道路规划“三横两纵一环线”主干路为主骨架中西引路中“一环线”的一部分，是连接城市新老城区交通的城市主干道，宁县滨河大桥是该道路跨马莲河的主要交通节点。符合《宁县县城总体规划》（</w:t>
            </w:r>
            <w:r>
              <w:rPr>
                <w:rFonts w:hint="default"/>
                <w:color w:val="FF0000"/>
                <w:sz w:val="24"/>
                <w:szCs w:val="21"/>
                <w:lang w:val="en-US" w:eastAsia="zh-CN"/>
              </w:rPr>
              <w:t>2015</w:t>
            </w:r>
            <w:r>
              <w:rPr>
                <w:rFonts w:hint="eastAsia"/>
                <w:color w:val="FF0000"/>
                <w:sz w:val="24"/>
                <w:szCs w:val="21"/>
                <w:lang w:val="en-US" w:eastAsia="zh-CN"/>
              </w:rPr>
              <w:t>～</w:t>
            </w:r>
            <w:r>
              <w:rPr>
                <w:rFonts w:hint="default"/>
                <w:color w:val="FF0000"/>
                <w:sz w:val="24"/>
                <w:szCs w:val="21"/>
                <w:lang w:val="en-US" w:eastAsia="zh-CN"/>
              </w:rPr>
              <w:t>2035</w:t>
            </w:r>
            <w:r>
              <w:rPr>
                <w:rFonts w:hint="eastAsia"/>
                <w:color w:val="FF0000"/>
                <w:sz w:val="24"/>
                <w:szCs w:val="21"/>
                <w:lang w:val="en-US" w:eastAsia="zh-CN"/>
              </w:rPr>
              <w:t>）及《宁县县城道路交通专项规划（2018-2035）》（宁县城乡规划局、陕西省城乡规划设计研究院 2019年6月）。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6" w:hRule="atLeast"/>
        </w:trPr>
        <w:tc>
          <w:tcPr>
            <w:tcW w:w="1133" w:type="dxa"/>
            <w:tcMar>
              <w:top w:w="16" w:type="dxa"/>
              <w:left w:w="16" w:type="dxa"/>
              <w:right w:w="16" w:type="dxa"/>
            </w:tcMar>
            <w:vAlign w:val="center"/>
          </w:tcPr>
          <w:p>
            <w:pPr>
              <w:autoSpaceDE w:val="0"/>
              <w:autoSpaceDN w:val="0"/>
              <w:adjustRightInd w:val="0"/>
              <w:snapToGrid w:val="0"/>
              <w:jc w:val="center"/>
              <w:rPr>
                <w:color w:val="auto"/>
                <w:sz w:val="24"/>
                <w:szCs w:val="21"/>
              </w:rPr>
            </w:pPr>
            <w:r>
              <w:rPr>
                <w:color w:val="auto"/>
                <w:sz w:val="24"/>
                <w:szCs w:val="21"/>
              </w:rPr>
              <w:t>规划环境影响</w:t>
            </w:r>
          </w:p>
          <w:p>
            <w:pPr>
              <w:autoSpaceDE w:val="0"/>
              <w:autoSpaceDN w:val="0"/>
              <w:adjustRightInd w:val="0"/>
              <w:snapToGrid w:val="0"/>
              <w:jc w:val="center"/>
              <w:rPr>
                <w:color w:val="auto"/>
                <w:kern w:val="0"/>
                <w:sz w:val="24"/>
                <w:szCs w:val="21"/>
              </w:rPr>
            </w:pPr>
            <w:r>
              <w:rPr>
                <w:color w:val="auto"/>
                <w:sz w:val="24"/>
                <w:szCs w:val="21"/>
              </w:rPr>
              <w:t>评价情况</w:t>
            </w:r>
          </w:p>
        </w:tc>
        <w:tc>
          <w:tcPr>
            <w:tcW w:w="7916" w:type="dxa"/>
            <w:gridSpan w:val="6"/>
            <w:tcMar>
              <w:top w:w="16" w:type="dxa"/>
              <w:left w:w="16" w:type="dxa"/>
              <w:right w:w="16" w:type="dxa"/>
            </w:tcMar>
            <w:vAlign w:val="center"/>
          </w:tcPr>
          <w:p>
            <w:pPr>
              <w:adjustRightInd w:val="0"/>
              <w:snapToGrid w:val="0"/>
              <w:jc w:val="center"/>
              <w:rPr>
                <w:color w:val="auto"/>
                <w:kern w:val="0"/>
                <w:sz w:val="24"/>
                <w:szCs w:val="21"/>
              </w:rPr>
            </w:pPr>
            <w:r>
              <w:rPr>
                <w:color w:val="auto"/>
                <w:kern w:val="0"/>
                <w:sz w:val="24"/>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60" w:hRule="atLeast"/>
        </w:trPr>
        <w:tc>
          <w:tcPr>
            <w:tcW w:w="1133" w:type="dxa"/>
            <w:tcMar>
              <w:top w:w="16" w:type="dxa"/>
              <w:left w:w="16" w:type="dxa"/>
              <w:right w:w="16" w:type="dxa"/>
            </w:tcMar>
            <w:vAlign w:val="center"/>
          </w:tcPr>
          <w:p>
            <w:pPr>
              <w:autoSpaceDE w:val="0"/>
              <w:autoSpaceDN w:val="0"/>
              <w:adjustRightInd w:val="0"/>
              <w:snapToGrid w:val="0"/>
              <w:jc w:val="center"/>
              <w:rPr>
                <w:color w:val="auto"/>
                <w:kern w:val="0"/>
                <w:sz w:val="24"/>
                <w:szCs w:val="21"/>
              </w:rPr>
            </w:pPr>
            <w:r>
              <w:rPr>
                <w:color w:val="auto"/>
                <w:kern w:val="0"/>
                <w:sz w:val="24"/>
                <w:szCs w:val="21"/>
              </w:rPr>
              <w:t>规划及</w:t>
            </w:r>
            <w:r>
              <w:rPr>
                <w:color w:val="auto"/>
                <w:sz w:val="24"/>
                <w:szCs w:val="21"/>
              </w:rPr>
              <w:t>规划环境影响评价</w:t>
            </w:r>
            <w:r>
              <w:rPr>
                <w:color w:val="auto"/>
                <w:kern w:val="0"/>
                <w:sz w:val="24"/>
                <w:szCs w:val="21"/>
              </w:rPr>
              <w:t>符合性分析</w:t>
            </w:r>
          </w:p>
        </w:tc>
        <w:tc>
          <w:tcPr>
            <w:tcW w:w="7916" w:type="dxa"/>
            <w:gridSpan w:val="6"/>
            <w:tcMar>
              <w:top w:w="16" w:type="dxa"/>
              <w:left w:w="16" w:type="dxa"/>
              <w:right w:w="16" w:type="dxa"/>
            </w:tcMar>
            <w:vAlign w:val="center"/>
          </w:tcPr>
          <w:p>
            <w:pPr>
              <w:autoSpaceDE w:val="0"/>
              <w:autoSpaceDN w:val="0"/>
              <w:adjustRightInd w:val="0"/>
              <w:snapToGrid w:val="0"/>
              <w:jc w:val="center"/>
              <w:rPr>
                <w:rFonts w:hint="eastAsia" w:eastAsia="宋体"/>
                <w:color w:val="auto"/>
                <w:sz w:val="24"/>
                <w:szCs w:val="21"/>
                <w:lang w:eastAsia="zh-CN"/>
              </w:rPr>
            </w:pPr>
            <w:r>
              <w:rPr>
                <w:rFonts w:hint="eastAsia"/>
                <w:color w:val="auto"/>
                <w:sz w:val="24"/>
                <w:szCs w:val="21"/>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39" w:hRule="atLeast"/>
        </w:trPr>
        <w:tc>
          <w:tcPr>
            <w:tcW w:w="1133" w:type="dxa"/>
            <w:tcMar>
              <w:top w:w="16" w:type="dxa"/>
              <w:left w:w="16" w:type="dxa"/>
              <w:right w:w="16" w:type="dxa"/>
            </w:tcMar>
            <w:vAlign w:val="center"/>
          </w:tcPr>
          <w:p>
            <w:pPr>
              <w:autoSpaceDE w:val="0"/>
              <w:autoSpaceDN w:val="0"/>
              <w:adjustRightInd w:val="0"/>
              <w:snapToGrid w:val="0"/>
              <w:jc w:val="center"/>
              <w:rPr>
                <w:color w:val="auto"/>
                <w:kern w:val="0"/>
                <w:sz w:val="24"/>
              </w:rPr>
            </w:pPr>
            <w:bookmarkStart w:id="2" w:name="_Hlk56690880"/>
            <w:r>
              <w:rPr>
                <w:color w:val="auto"/>
                <w:kern w:val="0"/>
                <w:sz w:val="24"/>
              </w:rPr>
              <w:t>其他符合性分析</w:t>
            </w:r>
            <w:bookmarkEnd w:id="2"/>
          </w:p>
        </w:tc>
        <w:tc>
          <w:tcPr>
            <w:tcW w:w="7916" w:type="dxa"/>
            <w:gridSpan w:val="6"/>
            <w:tcMar>
              <w:top w:w="16" w:type="dxa"/>
              <w:left w:w="16" w:type="dxa"/>
              <w:right w:w="16" w:type="dxa"/>
            </w:tcMar>
          </w:tcPr>
          <w:p>
            <w:pPr>
              <w:spacing w:line="360" w:lineRule="auto"/>
              <w:outlineLvl w:val="2"/>
              <w:rPr>
                <w:b/>
                <w:color w:val="auto"/>
                <w:sz w:val="24"/>
              </w:rPr>
            </w:pPr>
            <w:r>
              <w:rPr>
                <w:b/>
                <w:color w:val="auto"/>
                <w:sz w:val="24"/>
              </w:rPr>
              <w:t>产业政策符合性分析</w:t>
            </w:r>
          </w:p>
          <w:p>
            <w:pPr>
              <w:adjustRightInd w:val="0"/>
              <w:snapToGrid w:val="0"/>
              <w:spacing w:line="360" w:lineRule="auto"/>
              <w:ind w:firstLine="480"/>
              <w:rPr>
                <w:bCs/>
                <w:color w:val="auto"/>
                <w:sz w:val="24"/>
              </w:rPr>
            </w:pPr>
            <w:r>
              <w:rPr>
                <w:rFonts w:hint="eastAsia"/>
                <w:bCs/>
                <w:color w:val="auto"/>
                <w:sz w:val="24"/>
                <w:lang w:val="en-US" w:eastAsia="zh-CN"/>
              </w:rPr>
              <w:t>根据《产业结构调整指导目录（</w:t>
            </w:r>
            <w:r>
              <w:rPr>
                <w:rFonts w:hint="default"/>
                <w:bCs/>
                <w:color w:val="auto"/>
                <w:sz w:val="24"/>
                <w:lang w:val="en-US" w:eastAsia="zh-CN"/>
              </w:rPr>
              <w:t>2019</w:t>
            </w:r>
            <w:r>
              <w:rPr>
                <w:rFonts w:hint="eastAsia"/>
                <w:bCs/>
                <w:color w:val="auto"/>
                <w:sz w:val="24"/>
                <w:lang w:val="en-US" w:eastAsia="zh-CN"/>
              </w:rPr>
              <w:t>年本）》本项目属于“鼓励类 二十二条 城市基础设施第</w:t>
            </w:r>
            <w:r>
              <w:rPr>
                <w:rFonts w:hint="default"/>
                <w:bCs/>
                <w:color w:val="auto"/>
                <w:sz w:val="24"/>
                <w:lang w:val="en-US" w:eastAsia="zh-CN"/>
              </w:rPr>
              <w:t>4</w:t>
            </w:r>
            <w:r>
              <w:rPr>
                <w:rFonts w:hint="eastAsia"/>
                <w:bCs/>
                <w:color w:val="auto"/>
                <w:sz w:val="24"/>
                <w:lang w:val="en-US" w:eastAsia="zh-CN"/>
              </w:rPr>
              <w:t>项</w:t>
            </w:r>
            <w:r>
              <w:rPr>
                <w:rFonts w:hint="default"/>
                <w:bCs/>
                <w:color w:val="auto"/>
                <w:sz w:val="24"/>
                <w:lang w:val="en-US" w:eastAsia="zh-CN"/>
              </w:rPr>
              <w:t>——</w:t>
            </w:r>
            <w:r>
              <w:rPr>
                <w:rFonts w:hint="eastAsia"/>
                <w:bCs/>
                <w:color w:val="auto"/>
                <w:sz w:val="24"/>
                <w:lang w:val="en-US" w:eastAsia="zh-CN"/>
              </w:rPr>
              <w:t>城市道路及智能交通体系建设和第</w:t>
            </w:r>
            <w:r>
              <w:rPr>
                <w:rFonts w:hint="default"/>
                <w:bCs/>
                <w:color w:val="auto"/>
                <w:sz w:val="24"/>
                <w:lang w:val="en-US" w:eastAsia="zh-CN"/>
              </w:rPr>
              <w:t>9</w:t>
            </w:r>
            <w:r>
              <w:rPr>
                <w:rFonts w:hint="eastAsia"/>
                <w:bCs/>
                <w:color w:val="auto"/>
                <w:sz w:val="24"/>
                <w:lang w:val="en-US" w:eastAsia="zh-CN"/>
              </w:rPr>
              <w:t>项</w:t>
            </w:r>
            <w:r>
              <w:rPr>
                <w:rFonts w:hint="default"/>
                <w:bCs/>
                <w:color w:val="auto"/>
                <w:sz w:val="24"/>
                <w:lang w:val="en-US" w:eastAsia="zh-CN"/>
              </w:rPr>
              <w:t>——</w:t>
            </w:r>
            <w:r>
              <w:rPr>
                <w:rFonts w:hint="eastAsia"/>
                <w:bCs/>
                <w:color w:val="auto"/>
                <w:sz w:val="24"/>
                <w:lang w:val="en-US" w:eastAsia="zh-CN"/>
              </w:rPr>
              <w:t>城镇供排水管网工程”。符合国家产业政策。</w:t>
            </w:r>
          </w:p>
          <w:p>
            <w:pPr>
              <w:adjustRightInd w:val="0"/>
              <w:snapToGrid w:val="0"/>
              <w:spacing w:line="360" w:lineRule="auto"/>
              <w:ind w:firstLine="480"/>
              <w:rPr>
                <w:rFonts w:hint="eastAsia"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项目已获得</w:t>
            </w:r>
            <w:r>
              <w:rPr>
                <w:rFonts w:hint="eastAsia" w:ascii="Times New Roman" w:hAnsi="Times New Roman" w:eastAsia="宋体" w:cs="Times New Roman"/>
                <w:bCs/>
                <w:color w:val="auto"/>
                <w:sz w:val="24"/>
                <w:lang w:val="en-US" w:eastAsia="zh-CN"/>
              </w:rPr>
              <w:t>庆阳市宁</w:t>
            </w:r>
            <w:r>
              <w:rPr>
                <w:rFonts w:hint="default" w:ascii="Times New Roman" w:hAnsi="Times New Roman" w:eastAsia="宋体" w:cs="Times New Roman"/>
                <w:bCs/>
                <w:color w:val="auto"/>
                <w:sz w:val="24"/>
                <w:lang w:val="en-US" w:eastAsia="zh-CN"/>
              </w:rPr>
              <w:t>县</w:t>
            </w:r>
            <w:r>
              <w:rPr>
                <w:rFonts w:hint="eastAsia" w:ascii="Times New Roman" w:hAnsi="Times New Roman" w:eastAsia="宋体" w:cs="Times New Roman"/>
                <w:bCs/>
                <w:color w:val="auto"/>
                <w:sz w:val="24"/>
                <w:lang w:val="en-US" w:eastAsia="zh-CN"/>
              </w:rPr>
              <w:t>宁县发展和改革局</w:t>
            </w:r>
            <w:r>
              <w:rPr>
                <w:rFonts w:hint="default" w:ascii="Times New Roman" w:hAnsi="Times New Roman" w:eastAsia="宋体" w:cs="Times New Roman"/>
                <w:bCs/>
                <w:color w:val="auto"/>
                <w:sz w:val="24"/>
                <w:lang w:val="en-US" w:eastAsia="zh-CN"/>
              </w:rPr>
              <w:t>备案证明（备案文号为：</w:t>
            </w:r>
            <w:r>
              <w:rPr>
                <w:rFonts w:hint="eastAsia" w:ascii="Times New Roman" w:hAnsi="Times New Roman" w:eastAsia="宋体" w:cs="Times New Roman"/>
                <w:bCs/>
                <w:color w:val="auto"/>
                <w:sz w:val="24"/>
                <w:lang w:val="en-US" w:eastAsia="zh-CN"/>
              </w:rPr>
              <w:t>宁发改【2022】89号</w:t>
            </w:r>
            <w:r>
              <w:rPr>
                <w:rFonts w:hint="default" w:ascii="Times New Roman" w:hAnsi="Times New Roman" w:eastAsia="宋体" w:cs="Times New Roman"/>
                <w:bCs/>
                <w:color w:val="auto"/>
                <w:sz w:val="24"/>
                <w:lang w:val="en-US" w:eastAsia="zh-CN"/>
              </w:rPr>
              <w:t>。因此，项目建设符合国家相关政策。</w:t>
            </w:r>
          </w:p>
          <w:p>
            <w:pPr>
              <w:adjustRightInd w:val="0"/>
              <w:snapToGrid w:val="0"/>
              <w:spacing w:line="360" w:lineRule="auto"/>
              <w:ind w:firstLine="480"/>
              <w:rPr>
                <w:rFonts w:hint="eastAsia"/>
                <w:bCs/>
                <w:color w:val="auto"/>
                <w:sz w:val="24"/>
                <w:lang w:val="en-US" w:eastAsia="zh-CN"/>
              </w:rPr>
            </w:pPr>
            <w:r>
              <w:rPr>
                <w:rFonts w:hint="eastAsia"/>
                <w:bCs/>
                <w:color w:val="auto"/>
                <w:sz w:val="24"/>
                <w:lang w:val="en-US" w:eastAsia="zh-CN"/>
              </w:rPr>
              <w:t>按照《建设项目环境影响评价分类管理名录》（2021版），本项目属于第五十二款交通运输业、管道运输业中第131条城市道路（不含维护；不含支路、人行天桥、人行地道），新建快速路、主干路；城市桥梁、隧道应编制环境影响报告表。</w:t>
            </w:r>
          </w:p>
          <w:p>
            <w:pPr>
              <w:spacing w:line="360" w:lineRule="auto"/>
              <w:outlineLvl w:val="2"/>
              <w:rPr>
                <w:bCs/>
                <w:color w:val="auto"/>
                <w:sz w:val="24"/>
              </w:rPr>
            </w:pPr>
            <w:r>
              <w:rPr>
                <w:b/>
                <w:color w:val="auto"/>
                <w:sz w:val="24"/>
              </w:rPr>
              <w:t>“三线一单”</w:t>
            </w:r>
            <w:r>
              <w:rPr>
                <w:rFonts w:hint="default" w:ascii="Times New Roman" w:hAnsi="Times New Roman" w:cs="Times New Roman"/>
                <w:b/>
                <w:color w:val="auto"/>
                <w:sz w:val="24"/>
                <w:lang w:val="en-US" w:eastAsia="zh-CN"/>
              </w:rPr>
              <w:t>符合性分析</w:t>
            </w:r>
          </w:p>
          <w:p>
            <w:pPr>
              <w:adjustRightInd w:val="0"/>
              <w:snapToGrid w:val="0"/>
              <w:spacing w:line="360" w:lineRule="auto"/>
              <w:ind w:firstLine="480"/>
              <w:rPr>
                <w:rFonts w:hint="default" w:ascii="Times New Roman" w:hAnsi="Times New Roman" w:cs="Times New Roman"/>
                <w:bCs/>
                <w:color w:val="auto"/>
                <w:sz w:val="24"/>
                <w:lang w:val="en-US" w:eastAsia="zh-CN"/>
              </w:rPr>
            </w:pPr>
            <w:bookmarkStart w:id="3" w:name="_Toc8057296"/>
            <w:bookmarkStart w:id="4" w:name="_Toc534706959"/>
            <w:bookmarkStart w:id="5" w:name="_Toc47713866"/>
            <w:bookmarkStart w:id="6" w:name="_Toc23812"/>
            <w:r>
              <w:rPr>
                <w:rFonts w:hint="default" w:ascii="Times New Roman" w:hAnsi="Times New Roman" w:cs="Times New Roman"/>
                <w:bCs/>
                <w:color w:val="auto"/>
                <w:sz w:val="24"/>
                <w:lang w:val="en-US" w:eastAsia="zh-CN"/>
              </w:rPr>
              <w:t>根据《庆阳市人民政府关于印发庆阳市“三线一单”生态环境分区管控实施方案的通知》（庆政发〔2021〕29号），全市共划定环境管控单元72个，分为优先保护单元、重点管控单元和一般管控单元三类，实施分类管控。</w:t>
            </w:r>
          </w:p>
          <w:p>
            <w:pPr>
              <w:adjustRightInd w:val="0"/>
              <w:snapToGrid w:val="0"/>
              <w:spacing w:line="360" w:lineRule="auto"/>
              <w:ind w:firstLine="480"/>
              <w:rPr>
                <w:rFonts w:hint="default" w:ascii="Times New Roman" w:hAnsi="Times New Roman" w:cs="Times New Roman"/>
                <w:bCs/>
                <w:color w:val="auto"/>
                <w:sz w:val="24"/>
                <w:lang w:val="en-US" w:eastAsia="zh-CN"/>
              </w:rPr>
            </w:pPr>
            <w:r>
              <w:rPr>
                <w:rFonts w:hint="default" w:ascii="Times New Roman" w:hAnsi="Times New Roman" w:cs="Times New Roman"/>
                <w:bCs/>
                <w:color w:val="auto"/>
                <w:sz w:val="24"/>
                <w:lang w:val="en-US" w:eastAsia="zh-CN"/>
              </w:rPr>
              <w:t>—— 优先保护单元。共42个，主要包括生态保护红线、自然保护地、集中式饮用水水源保护区等生态功能重要区和生态环境敏感区。该区域严格按照国家生态保护红线和省级生态空间管控区域管理规定进行管控。依法禁止或限制大规模、高强度的工业开发和城镇建设，严禁不符合国家有关规定的各类开发活动，确保生态环境功能不降低。</w:t>
            </w:r>
          </w:p>
          <w:p>
            <w:pPr>
              <w:adjustRightInd w:val="0"/>
              <w:snapToGrid w:val="0"/>
              <w:spacing w:line="360" w:lineRule="auto"/>
              <w:ind w:firstLine="480"/>
              <w:rPr>
                <w:rFonts w:hint="default" w:ascii="Times New Roman" w:hAnsi="Times New Roman" w:cs="Times New Roman"/>
                <w:bCs/>
                <w:color w:val="auto"/>
                <w:sz w:val="24"/>
                <w:lang w:val="en-US" w:eastAsia="zh-CN"/>
              </w:rPr>
            </w:pPr>
            <w:r>
              <w:rPr>
                <w:rFonts w:hint="default" w:ascii="Times New Roman" w:hAnsi="Times New Roman" w:cs="Times New Roman"/>
                <w:bCs/>
                <w:color w:val="auto"/>
                <w:sz w:val="24"/>
                <w:lang w:val="en-US" w:eastAsia="zh-CN"/>
              </w:rPr>
              <w:t>—— 重点管控单元。共22个，主要包括中心城区和城镇规划区、各级各类工业园区及工业集聚区等开发强度高、环境问题相对集中的区域。该区域是经济社会高质量发展的主要承载区，主要推进产业结构和能源结构调整，优化交通结构和用地结构，不断提高资源能源利用效率，加强污染物排放控制和环境风险防控，解决突出生态环境问题。</w:t>
            </w:r>
          </w:p>
          <w:p>
            <w:pPr>
              <w:adjustRightInd w:val="0"/>
              <w:snapToGrid w:val="0"/>
              <w:spacing w:line="360" w:lineRule="auto"/>
              <w:ind w:firstLine="480"/>
              <w:rPr>
                <w:rFonts w:hint="default" w:ascii="Times New Roman" w:hAnsi="Times New Roman" w:eastAsia="宋体" w:cs="Times New Roman"/>
                <w:color w:val="auto"/>
              </w:rPr>
            </w:pPr>
            <w:r>
              <w:rPr>
                <w:rFonts w:hint="default" w:ascii="Times New Roman" w:hAnsi="Times New Roman" w:cs="Times New Roman"/>
                <w:bCs/>
                <w:color w:val="auto"/>
                <w:sz w:val="24"/>
                <w:lang w:val="en-US" w:eastAsia="zh-CN"/>
              </w:rPr>
              <w:t>—— ―般管控单元。共8个，主要包括优先保护单元、重点管控单元以外的区域。该区域以促进生活、生态、生产功能的协调融合为主要目标，主要落实生态环境保护基本要求，加强生活污染和农业面源污染治理，推动区域生态环境质量持续改善和区域经济社会可持续发展。</w:t>
            </w:r>
          </w:p>
          <w:bookmarkEnd w:id="3"/>
          <w:bookmarkEnd w:id="4"/>
          <w:bookmarkEnd w:id="5"/>
          <w:p>
            <w:pPr>
              <w:adjustRightInd w:val="0"/>
              <w:snapToGrid w:val="0"/>
              <w:spacing w:line="360" w:lineRule="auto"/>
              <w:ind w:firstLine="480"/>
              <w:rPr>
                <w:rFonts w:hint="eastAsia" w:ascii="Times New Roman" w:hAnsi="Times New Roman" w:cs="Times New Roman"/>
                <w:bCs/>
                <w:color w:val="auto"/>
                <w:sz w:val="24"/>
                <w:lang w:val="en-US" w:eastAsia="zh-CN"/>
              </w:rPr>
            </w:pPr>
            <w:r>
              <w:rPr>
                <w:rFonts w:hint="default" w:ascii="Times New Roman" w:hAnsi="Times New Roman" w:cs="Times New Roman"/>
                <w:bCs/>
                <w:color w:val="auto"/>
                <w:sz w:val="24"/>
                <w:lang w:val="en-US" w:eastAsia="zh-CN"/>
              </w:rPr>
              <w:t>本项目位于</w:t>
            </w:r>
            <w:r>
              <w:rPr>
                <w:rFonts w:hint="eastAsia" w:ascii="Times New Roman" w:hAnsi="Times New Roman" w:cs="Times New Roman"/>
                <w:bCs/>
                <w:color w:val="auto"/>
                <w:sz w:val="24"/>
                <w:lang w:val="en-US" w:eastAsia="zh-CN"/>
              </w:rPr>
              <w:t>宁县县城</w:t>
            </w:r>
            <w:r>
              <w:rPr>
                <w:rFonts w:hint="default" w:ascii="Times New Roman" w:hAnsi="Times New Roman" w:cs="Times New Roman"/>
                <w:bCs/>
                <w:color w:val="auto"/>
                <w:sz w:val="24"/>
                <w:lang w:val="en-US" w:eastAsia="zh-CN"/>
              </w:rPr>
              <w:t>，</w:t>
            </w:r>
            <w:r>
              <w:rPr>
                <w:rFonts w:hint="eastAsia" w:ascii="Times New Roman" w:hAnsi="Times New Roman" w:cs="Times New Roman"/>
                <w:bCs/>
                <w:color w:val="auto"/>
                <w:sz w:val="24"/>
                <w:lang w:val="en-US" w:eastAsia="zh-CN"/>
              </w:rPr>
              <w:t>项目涉及宁县优先保护单元中的一般生态空间（浅绿色区域）、</w:t>
            </w:r>
            <w:r>
              <w:rPr>
                <w:rFonts w:hint="default" w:ascii="Times New Roman" w:hAnsi="Times New Roman" w:cs="Times New Roman"/>
                <w:bCs/>
                <w:color w:val="auto"/>
                <w:sz w:val="24"/>
                <w:lang w:val="en-US" w:eastAsia="zh-CN"/>
              </w:rPr>
              <w:t>重点控制单元</w:t>
            </w:r>
            <w:r>
              <w:rPr>
                <w:rFonts w:hint="eastAsia" w:ascii="Times New Roman" w:hAnsi="Times New Roman" w:cs="Times New Roman"/>
                <w:bCs/>
                <w:color w:val="auto"/>
                <w:sz w:val="24"/>
                <w:lang w:val="en-US" w:eastAsia="zh-CN"/>
              </w:rPr>
              <w:t>（红色区域）</w:t>
            </w:r>
            <w:r>
              <w:rPr>
                <w:rFonts w:hint="default" w:ascii="Times New Roman" w:hAnsi="Times New Roman" w:cs="Times New Roman"/>
                <w:bCs/>
                <w:color w:val="auto"/>
                <w:sz w:val="24"/>
                <w:lang w:val="en-US" w:eastAsia="zh-CN"/>
              </w:rPr>
              <w:t>。</w:t>
            </w:r>
            <w:r>
              <w:rPr>
                <w:rFonts w:hint="eastAsia" w:ascii="Times New Roman" w:hAnsi="Times New Roman" w:cs="Times New Roman"/>
                <w:bCs/>
                <w:color w:val="auto"/>
                <w:sz w:val="24"/>
                <w:lang w:val="en-US" w:eastAsia="zh-CN"/>
              </w:rPr>
              <w:t>“三线一单”图件见附件。</w:t>
            </w:r>
          </w:p>
          <w:p>
            <w:pPr>
              <w:adjustRightInd w:val="0"/>
              <w:snapToGrid w:val="0"/>
              <w:spacing w:line="360" w:lineRule="auto"/>
              <w:ind w:firstLine="480"/>
              <w:rPr>
                <w:rFonts w:hint="eastAsia" w:ascii="Times New Roman" w:hAnsi="Times New Roman" w:cs="Times New Roman"/>
                <w:bCs/>
                <w:color w:val="auto"/>
                <w:sz w:val="24"/>
                <w:lang w:val="en-US" w:eastAsia="zh-CN"/>
              </w:rPr>
            </w:pPr>
            <w:r>
              <w:rPr>
                <w:rFonts w:hint="eastAsia" w:ascii="Times New Roman" w:hAnsi="Times New Roman" w:cs="Times New Roman"/>
                <w:bCs/>
                <w:color w:val="auto"/>
                <w:sz w:val="24"/>
                <w:lang w:val="en-US" w:eastAsia="zh-CN"/>
              </w:rPr>
              <w:t>一般生态空间要优化空间布局、主动避让。确定无法避让的，应采取无害化方式，依法依规履行手续，强化生态环境影响和生态补偿措施。</w:t>
            </w:r>
          </w:p>
          <w:p>
            <w:pPr>
              <w:adjustRightInd w:val="0"/>
              <w:snapToGrid w:val="0"/>
              <w:spacing w:line="360" w:lineRule="auto"/>
              <w:ind w:firstLine="480"/>
              <w:rPr>
                <w:rFonts w:hint="default" w:ascii="Times New Roman" w:hAnsi="Times New Roman" w:cs="Times New Roman"/>
                <w:bCs/>
                <w:color w:val="FF0000"/>
                <w:sz w:val="24"/>
                <w:lang w:val="en-US" w:eastAsia="zh-CN"/>
              </w:rPr>
            </w:pPr>
            <w:r>
              <w:rPr>
                <w:rFonts w:hint="eastAsia" w:ascii="Times New Roman" w:hAnsi="Times New Roman" w:cs="Times New Roman"/>
                <w:bCs/>
                <w:color w:val="FF0000"/>
                <w:sz w:val="24"/>
                <w:lang w:val="en-US" w:eastAsia="zh-CN"/>
              </w:rPr>
              <w:t>根据《宁县县城道路交通专项规划（2018-2035）》（宁县城乡规划局、陕西省城乡规划设计研究院 2019年6月），本项目位置无法避让，河道设置了施工便道路面宽度</w:t>
            </w:r>
            <w:r>
              <w:rPr>
                <w:rFonts w:hint="default" w:ascii="Times New Roman" w:hAnsi="Times New Roman" w:cs="Times New Roman"/>
                <w:bCs/>
                <w:color w:val="FF0000"/>
                <w:sz w:val="24"/>
                <w:lang w:val="en-US" w:eastAsia="zh-CN"/>
              </w:rPr>
              <w:t>7m</w:t>
            </w:r>
            <w:r>
              <w:rPr>
                <w:rFonts w:hint="eastAsia" w:ascii="Times New Roman" w:hAnsi="Times New Roman" w:cs="Times New Roman"/>
                <w:bCs/>
                <w:color w:val="FF0000"/>
                <w:sz w:val="24"/>
                <w:lang w:val="en-US" w:eastAsia="zh-CN"/>
              </w:rPr>
              <w:t>，两侧设有砂袋围堰，长度25</w:t>
            </w:r>
            <w:r>
              <w:rPr>
                <w:rFonts w:hint="default" w:ascii="Times New Roman" w:hAnsi="Times New Roman" w:cs="Times New Roman"/>
                <w:bCs/>
                <w:color w:val="FF0000"/>
                <w:sz w:val="24"/>
                <w:lang w:val="en-US" w:eastAsia="zh-CN"/>
              </w:rPr>
              <w:t>0m</w:t>
            </w:r>
            <w:r>
              <w:rPr>
                <w:rFonts w:hint="eastAsia" w:ascii="Times New Roman" w:hAnsi="Times New Roman" w:cs="Times New Roman"/>
                <w:bCs/>
                <w:color w:val="FF0000"/>
                <w:sz w:val="24"/>
                <w:lang w:val="en-US" w:eastAsia="zh-CN"/>
              </w:rPr>
              <w:t>，并设置数根直径</w:t>
            </w:r>
            <w:r>
              <w:rPr>
                <w:rFonts w:hint="default" w:ascii="Times New Roman" w:hAnsi="Times New Roman" w:cs="Times New Roman"/>
                <w:bCs/>
                <w:color w:val="FF0000"/>
                <w:sz w:val="24"/>
                <w:lang w:val="en-US" w:eastAsia="zh-CN"/>
              </w:rPr>
              <w:t>1m</w:t>
            </w:r>
            <w:r>
              <w:rPr>
                <w:rFonts w:hint="eastAsia" w:ascii="Times New Roman" w:hAnsi="Times New Roman" w:cs="Times New Roman"/>
                <w:bCs/>
                <w:color w:val="FF0000"/>
                <w:sz w:val="24"/>
                <w:lang w:val="en-US" w:eastAsia="zh-CN"/>
              </w:rPr>
              <w:t>的管涵过水，两侧设置砂袋。采取废水收集设施的防渗处理；保证施工机械清洁，并严格文明、规范施工，避免油污等跑冒滴漏</w:t>
            </w:r>
            <w:r>
              <w:rPr>
                <w:rFonts w:hint="eastAsia" w:cs="Times New Roman"/>
                <w:bCs/>
                <w:color w:val="FF0000"/>
                <w:sz w:val="24"/>
                <w:lang w:val="en-US" w:eastAsia="zh-CN"/>
              </w:rPr>
              <w:t>。对水环境影响较小。</w:t>
            </w:r>
          </w:p>
          <w:p>
            <w:pPr>
              <w:adjustRightInd w:val="0"/>
              <w:snapToGrid w:val="0"/>
              <w:spacing w:line="360" w:lineRule="auto"/>
              <w:ind w:firstLine="480"/>
              <w:rPr>
                <w:rFonts w:hint="default" w:ascii="Times New Roman" w:hAnsi="Times New Roman" w:cs="Times New Roman"/>
                <w:bCs/>
                <w:color w:val="auto"/>
                <w:sz w:val="24"/>
                <w:lang w:val="en-US" w:eastAsia="zh-CN"/>
              </w:rPr>
            </w:pPr>
            <w:r>
              <w:rPr>
                <w:rFonts w:hint="default" w:ascii="Times New Roman" w:hAnsi="Times New Roman" w:cs="Times New Roman"/>
                <w:bCs/>
                <w:color w:val="auto"/>
                <w:sz w:val="24"/>
                <w:lang w:val="en-US" w:eastAsia="zh-CN"/>
              </w:rPr>
              <w:t>（1）生态保护红线</w:t>
            </w:r>
          </w:p>
          <w:p>
            <w:pPr>
              <w:adjustRightInd w:val="0"/>
              <w:snapToGrid w:val="0"/>
              <w:spacing w:line="360" w:lineRule="auto"/>
              <w:ind w:firstLine="480"/>
              <w:rPr>
                <w:rFonts w:hint="default" w:ascii="Times New Roman" w:hAnsi="Times New Roman" w:cs="Times New Roman"/>
                <w:bCs/>
                <w:color w:val="auto"/>
                <w:sz w:val="24"/>
                <w:lang w:val="en-US" w:eastAsia="zh-CN"/>
              </w:rPr>
            </w:pPr>
            <w:r>
              <w:rPr>
                <w:rFonts w:hint="default" w:ascii="Times New Roman" w:hAnsi="Times New Roman" w:cs="Times New Roman"/>
                <w:bCs/>
                <w:color w:val="auto"/>
                <w:sz w:val="24"/>
                <w:lang w:val="en-US" w:eastAsia="zh-CN"/>
              </w:rPr>
              <w:t>项目选址不在生态保护红线、自然保护地、集中式饮用水水源保护区等生态功能重要区和生态环境敏感区内，符合生态保护红线要求。</w:t>
            </w:r>
          </w:p>
          <w:p>
            <w:pPr>
              <w:adjustRightInd w:val="0"/>
              <w:snapToGrid w:val="0"/>
              <w:spacing w:line="360" w:lineRule="auto"/>
              <w:ind w:firstLine="480"/>
              <w:rPr>
                <w:rFonts w:hint="default" w:ascii="Times New Roman" w:hAnsi="Times New Roman" w:cs="Times New Roman"/>
                <w:bCs/>
                <w:color w:val="auto"/>
                <w:sz w:val="24"/>
                <w:lang w:val="en-US" w:eastAsia="zh-CN"/>
              </w:rPr>
            </w:pPr>
            <w:r>
              <w:rPr>
                <w:rFonts w:hint="default" w:ascii="Times New Roman" w:hAnsi="Times New Roman" w:cs="Times New Roman"/>
                <w:bCs/>
                <w:color w:val="auto"/>
                <w:sz w:val="24"/>
                <w:lang w:val="en-US" w:eastAsia="zh-CN"/>
              </w:rPr>
              <w:t>（2）环境质量底线符合性分析</w:t>
            </w:r>
          </w:p>
          <w:p>
            <w:pPr>
              <w:adjustRightInd w:val="0"/>
              <w:snapToGrid w:val="0"/>
              <w:spacing w:line="360" w:lineRule="auto"/>
              <w:ind w:firstLine="480"/>
              <w:rPr>
                <w:rFonts w:hint="default" w:ascii="Times New Roman" w:hAnsi="Times New Roman" w:cs="Times New Roman"/>
                <w:bCs/>
                <w:color w:val="auto"/>
                <w:sz w:val="24"/>
                <w:lang w:val="en-US" w:eastAsia="zh-CN"/>
              </w:rPr>
            </w:pPr>
            <w:r>
              <w:rPr>
                <w:rFonts w:hint="default" w:ascii="Times New Roman" w:hAnsi="Times New Roman" w:cs="Times New Roman"/>
                <w:bCs/>
                <w:color w:val="auto"/>
                <w:sz w:val="24"/>
                <w:lang w:val="en-US" w:eastAsia="zh-CN"/>
              </w:rPr>
              <w:t>环境质量底线要求大气环境质量、水环境质量等均符合国家标准，确保人民群众的安全健康。污染物排放总量控制要求全面完成减排任务，有效控制和消减污染物排放总量。</w:t>
            </w:r>
          </w:p>
          <w:p>
            <w:pPr>
              <w:adjustRightInd w:val="0"/>
              <w:snapToGrid w:val="0"/>
              <w:spacing w:line="360" w:lineRule="auto"/>
              <w:ind w:firstLine="480"/>
              <w:rPr>
                <w:rFonts w:hint="default" w:ascii="Times New Roman" w:hAnsi="Times New Roman" w:cs="Times New Roman"/>
                <w:bCs/>
                <w:color w:val="auto"/>
                <w:sz w:val="24"/>
                <w:lang w:val="en-US" w:eastAsia="zh-CN"/>
              </w:rPr>
            </w:pPr>
            <w:r>
              <w:rPr>
                <w:rFonts w:hint="default" w:ascii="Times New Roman" w:hAnsi="Times New Roman" w:cs="Times New Roman"/>
                <w:bCs/>
                <w:color w:val="auto"/>
                <w:sz w:val="24"/>
                <w:lang w:val="en-US" w:eastAsia="zh-CN"/>
              </w:rPr>
              <w:t>项目在落实本环评提岀的各项污染防治措施的情况下，对周围环境的影响较小，环境空气质量、环境噪声质量能符合环境功能区划要求，固废能得到有效处置，生态环境满足要求。因此，本项目建设不会对周围环境造成较大影响，不会降低周围的环境质量，能够满足环境功能区要求，符合环境质量底线要求。</w:t>
            </w:r>
          </w:p>
          <w:p>
            <w:pPr>
              <w:adjustRightInd w:val="0"/>
              <w:snapToGrid w:val="0"/>
              <w:spacing w:line="360" w:lineRule="auto"/>
              <w:ind w:firstLine="480"/>
              <w:rPr>
                <w:rFonts w:hint="default" w:ascii="Times New Roman" w:hAnsi="Times New Roman" w:cs="Times New Roman"/>
                <w:bCs/>
                <w:color w:val="auto"/>
                <w:sz w:val="24"/>
                <w:lang w:val="en-US" w:eastAsia="zh-CN"/>
              </w:rPr>
            </w:pPr>
            <w:r>
              <w:rPr>
                <w:rFonts w:hint="default" w:ascii="Times New Roman" w:hAnsi="Times New Roman" w:cs="Times New Roman"/>
                <w:bCs/>
                <w:color w:val="auto"/>
                <w:sz w:val="24"/>
                <w:lang w:val="en-US" w:eastAsia="zh-CN"/>
              </w:rPr>
              <w:t>（3）资源利用上线符合性</w:t>
            </w:r>
          </w:p>
          <w:p>
            <w:pPr>
              <w:adjustRightInd w:val="0"/>
              <w:snapToGrid w:val="0"/>
              <w:spacing w:line="360" w:lineRule="auto"/>
              <w:ind w:firstLine="480"/>
              <w:rPr>
                <w:rFonts w:hint="default" w:ascii="Times New Roman" w:hAnsi="Times New Roman" w:cs="Times New Roman"/>
                <w:bCs/>
                <w:color w:val="auto"/>
                <w:sz w:val="24"/>
                <w:lang w:val="en-US" w:eastAsia="zh-CN"/>
              </w:rPr>
            </w:pPr>
            <w:r>
              <w:rPr>
                <w:rFonts w:hint="default" w:ascii="Times New Roman" w:hAnsi="Times New Roman" w:cs="Times New Roman"/>
                <w:bCs/>
                <w:color w:val="auto"/>
                <w:sz w:val="24"/>
                <w:lang w:val="en-US" w:eastAsia="zh-CN"/>
              </w:rPr>
              <w:t>项目不新增占地，项目符合所在地资源利用上线要求。</w:t>
            </w:r>
          </w:p>
          <w:p>
            <w:pPr>
              <w:adjustRightInd w:val="0"/>
              <w:snapToGrid w:val="0"/>
              <w:spacing w:line="360" w:lineRule="auto"/>
              <w:ind w:firstLine="480"/>
              <w:rPr>
                <w:rFonts w:hint="default" w:ascii="Times New Roman" w:hAnsi="Times New Roman" w:cs="Times New Roman"/>
                <w:bCs/>
                <w:color w:val="auto"/>
                <w:sz w:val="24"/>
                <w:lang w:val="en-US" w:eastAsia="zh-CN"/>
              </w:rPr>
            </w:pPr>
            <w:r>
              <w:rPr>
                <w:rFonts w:hint="default" w:ascii="Times New Roman" w:hAnsi="Times New Roman" w:cs="Times New Roman"/>
                <w:bCs/>
                <w:color w:val="auto"/>
                <w:sz w:val="24"/>
                <w:lang w:val="en-US" w:eastAsia="zh-CN"/>
              </w:rPr>
              <w:t>（4）环境准入清单符合性分析</w:t>
            </w:r>
          </w:p>
          <w:p>
            <w:pPr>
              <w:adjustRightInd w:val="0"/>
              <w:snapToGrid w:val="0"/>
              <w:spacing w:line="360" w:lineRule="auto"/>
              <w:ind w:firstLine="480"/>
              <w:rPr>
                <w:rFonts w:hint="default" w:ascii="Times New Roman" w:hAnsi="Times New Roman" w:cs="Times New Roman"/>
                <w:bCs/>
                <w:color w:val="auto"/>
                <w:sz w:val="24"/>
                <w:lang w:val="en-US" w:eastAsia="zh-CN"/>
              </w:rPr>
            </w:pPr>
            <w:r>
              <w:rPr>
                <w:rFonts w:hint="default" w:ascii="Times New Roman" w:hAnsi="Times New Roman" w:cs="Times New Roman"/>
                <w:bCs/>
                <w:color w:val="auto"/>
                <w:sz w:val="24"/>
                <w:lang w:val="en-US" w:eastAsia="zh-CN"/>
              </w:rPr>
              <w:t>本项目位于</w:t>
            </w:r>
            <w:r>
              <w:rPr>
                <w:rFonts w:hint="eastAsia" w:ascii="Times New Roman" w:hAnsi="Times New Roman" w:cs="Times New Roman"/>
                <w:bCs/>
                <w:color w:val="auto"/>
                <w:sz w:val="24"/>
                <w:lang w:val="en-US" w:eastAsia="zh-CN"/>
              </w:rPr>
              <w:t>宁县县城</w:t>
            </w:r>
            <w:r>
              <w:rPr>
                <w:rFonts w:hint="default" w:ascii="Times New Roman" w:hAnsi="Times New Roman" w:cs="Times New Roman"/>
                <w:bCs/>
                <w:color w:val="auto"/>
                <w:sz w:val="24"/>
                <w:lang w:val="en-US" w:eastAsia="zh-CN"/>
              </w:rPr>
              <w:t>，与《庆阳市生态环境准入清单（试行）》（庆环委办发〔2022〕2号）中宁县管控要求符合性分析见表1-</w:t>
            </w:r>
            <w:r>
              <w:rPr>
                <w:rFonts w:hint="eastAsia" w:ascii="Times New Roman" w:hAnsi="Times New Roman" w:cs="Times New Roman"/>
                <w:bCs/>
                <w:color w:val="auto"/>
                <w:sz w:val="24"/>
                <w:lang w:val="en-US" w:eastAsia="zh-CN"/>
              </w:rPr>
              <w:t>1</w:t>
            </w:r>
            <w:r>
              <w:rPr>
                <w:rFonts w:hint="default" w:ascii="Times New Roman" w:hAnsi="Times New Roman" w:cs="Times New Roman"/>
                <w:bCs/>
                <w:color w:val="auto"/>
                <w:sz w:val="24"/>
                <w:lang w:val="en-US" w:eastAsia="zh-CN"/>
              </w:rPr>
              <w:t>。</w:t>
            </w:r>
          </w:p>
          <w:bookmarkEnd w:id="6"/>
          <w:p>
            <w:pPr>
              <w:spacing w:line="240" w:lineRule="auto"/>
              <w:jc w:val="center"/>
              <w:rPr>
                <w:rFonts w:hint="default"/>
                <w:b/>
                <w:bCs/>
                <w:color w:val="auto"/>
                <w:sz w:val="21"/>
                <w:szCs w:val="21"/>
              </w:rPr>
            </w:pPr>
            <w:r>
              <w:rPr>
                <w:rFonts w:hint="default"/>
                <w:b/>
                <w:bCs/>
                <w:color w:val="auto"/>
                <w:sz w:val="21"/>
                <w:szCs w:val="21"/>
              </w:rPr>
              <w:t>表1-</w:t>
            </w:r>
            <w:r>
              <w:rPr>
                <w:rFonts w:hint="eastAsia"/>
                <w:b/>
                <w:bCs/>
                <w:color w:val="auto"/>
                <w:sz w:val="21"/>
                <w:szCs w:val="21"/>
                <w:lang w:val="en-US" w:eastAsia="zh-CN"/>
              </w:rPr>
              <w:t>1</w:t>
            </w:r>
            <w:r>
              <w:rPr>
                <w:rFonts w:hint="default"/>
                <w:b/>
                <w:bCs/>
                <w:color w:val="auto"/>
                <w:sz w:val="21"/>
                <w:szCs w:val="21"/>
              </w:rPr>
              <w:t xml:space="preserve">   本项目与《庆阳市生态环境准入清单（试行）》符合性分析表</w:t>
            </w:r>
          </w:p>
          <w:tbl>
            <w:tblPr>
              <w:tblStyle w:val="2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4"/>
              <w:gridCol w:w="811"/>
              <w:gridCol w:w="606"/>
              <w:gridCol w:w="2486"/>
              <w:gridCol w:w="2095"/>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rPr>
                  </w:pPr>
                  <w:r>
                    <w:rPr>
                      <w:rFonts w:hint="default"/>
                      <w:color w:val="auto"/>
                      <w:sz w:val="21"/>
                      <w:szCs w:val="21"/>
                    </w:rPr>
                    <w:t>环境管控单元名称</w:t>
                  </w:r>
                </w:p>
              </w:tc>
              <w:tc>
                <w:tcPr>
                  <w:tcW w:w="5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rPr>
                  </w:pPr>
                  <w:r>
                    <w:rPr>
                      <w:rFonts w:hint="default"/>
                      <w:color w:val="auto"/>
                      <w:sz w:val="21"/>
                      <w:szCs w:val="21"/>
                    </w:rPr>
                    <w:t>环境管控单元类别</w:t>
                  </w:r>
                </w:p>
              </w:tc>
              <w:tc>
                <w:tcPr>
                  <w:tcW w:w="196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rPr>
                  </w:pPr>
                  <w:r>
                    <w:rPr>
                      <w:rFonts w:hint="default"/>
                      <w:color w:val="auto"/>
                      <w:sz w:val="21"/>
                      <w:szCs w:val="21"/>
                    </w:rPr>
                    <w:t>管控要求</w:t>
                  </w:r>
                </w:p>
              </w:tc>
              <w:tc>
                <w:tcPr>
                  <w:tcW w:w="13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rPr>
                  </w:pPr>
                  <w:r>
                    <w:rPr>
                      <w:rFonts w:hint="default"/>
                      <w:color w:val="auto"/>
                      <w:sz w:val="21"/>
                      <w:szCs w:val="21"/>
                    </w:rPr>
                    <w:t>本项目</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rPr>
                  </w:pPr>
                  <w:r>
                    <w:rPr>
                      <w:rFonts w:hint="default"/>
                      <w:color w:val="auto"/>
                      <w:sz w:val="21"/>
                      <w:szCs w:val="21"/>
                    </w:rPr>
                    <w:t>情况</w:t>
                  </w:r>
                </w:p>
              </w:tc>
              <w:tc>
                <w:tcPr>
                  <w:tcW w:w="65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rPr>
                  </w:pPr>
                  <w:r>
                    <w:rPr>
                      <w:rFonts w:hint="default"/>
                      <w:color w:val="auto"/>
                      <w:sz w:val="21"/>
                      <w:szCs w:val="21"/>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rPr>
                  </w:pPr>
                  <w:r>
                    <w:rPr>
                      <w:rFonts w:hint="default"/>
                      <w:color w:val="auto"/>
                      <w:sz w:val="21"/>
                      <w:szCs w:val="21"/>
                    </w:rPr>
                    <w:t>宁县城镇空间</w:t>
                  </w:r>
                </w:p>
              </w:tc>
              <w:tc>
                <w:tcPr>
                  <w:tcW w:w="51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rPr>
                  </w:pPr>
                  <w:r>
                    <w:rPr>
                      <w:rFonts w:hint="default"/>
                      <w:color w:val="auto"/>
                      <w:sz w:val="21"/>
                      <w:szCs w:val="21"/>
                    </w:rPr>
                    <w:t>重点</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rPr>
                  </w:pPr>
                  <w:r>
                    <w:rPr>
                      <w:rFonts w:hint="default"/>
                      <w:color w:val="auto"/>
                      <w:sz w:val="21"/>
                      <w:szCs w:val="21"/>
                    </w:rPr>
                    <w:t>管控</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rPr>
                  </w:pPr>
                  <w:r>
                    <w:rPr>
                      <w:rFonts w:hint="default"/>
                      <w:color w:val="auto"/>
                      <w:sz w:val="21"/>
                      <w:szCs w:val="21"/>
                    </w:rPr>
                    <w:t>单元</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rPr>
                  </w:pPr>
                  <w:r>
                    <w:rPr>
                      <w:rFonts w:hint="default"/>
                      <w:color w:val="auto"/>
                      <w:sz w:val="21"/>
                      <w:szCs w:val="21"/>
                    </w:rPr>
                    <w:t>1</w:t>
                  </w:r>
                </w:p>
              </w:tc>
              <w:tc>
                <w:tcPr>
                  <w:tcW w:w="3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rPr>
                  </w:pPr>
                  <w:r>
                    <w:rPr>
                      <w:rFonts w:hint="default"/>
                      <w:color w:val="auto"/>
                      <w:sz w:val="21"/>
                      <w:szCs w:val="21"/>
                    </w:rPr>
                    <w:t>空间布局约束</w:t>
                  </w:r>
                </w:p>
              </w:tc>
              <w:tc>
                <w:tcPr>
                  <w:tcW w:w="157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rPr>
                  </w:pPr>
                  <w:r>
                    <w:rPr>
                      <w:rFonts w:hint="default"/>
                      <w:color w:val="auto"/>
                      <w:sz w:val="21"/>
                      <w:szCs w:val="21"/>
                    </w:rPr>
                    <w:t>执行全省及庆阳市生态环境总体准入清单中关于重点管控单元空间布局约束要求。落实主体功能区规划、国土空间规划等要求。</w:t>
                  </w:r>
                </w:p>
              </w:tc>
              <w:tc>
                <w:tcPr>
                  <w:tcW w:w="13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rPr>
                  </w:pPr>
                  <w:r>
                    <w:rPr>
                      <w:rFonts w:hint="default"/>
                      <w:color w:val="auto"/>
                      <w:sz w:val="21"/>
                      <w:szCs w:val="21"/>
                    </w:rPr>
                    <w:t>本项目不属于禁止开发建设和限制开发建设活动，本项目不属于《甘肃省国家重点生态功能区产业准入负面清单（试行）》限制准入行业。</w:t>
                  </w:r>
                </w:p>
              </w:tc>
              <w:tc>
                <w:tcPr>
                  <w:tcW w:w="65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rPr>
                  </w:pPr>
                  <w:r>
                    <w:rPr>
                      <w:rFonts w:hint="default"/>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rPr>
                  </w:pPr>
                </w:p>
              </w:tc>
              <w:tc>
                <w:tcPr>
                  <w:tcW w:w="51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rPr>
                  </w:pPr>
                </w:p>
              </w:tc>
              <w:tc>
                <w:tcPr>
                  <w:tcW w:w="3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rPr>
                  </w:pPr>
                  <w:r>
                    <w:rPr>
                      <w:rFonts w:hint="default"/>
                      <w:color w:val="auto"/>
                      <w:sz w:val="21"/>
                      <w:szCs w:val="21"/>
                    </w:rPr>
                    <w:t>污染物排放管控</w:t>
                  </w:r>
                </w:p>
              </w:tc>
              <w:tc>
                <w:tcPr>
                  <w:tcW w:w="157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rPr>
                  </w:pPr>
                  <w:r>
                    <w:rPr>
                      <w:rFonts w:hint="default"/>
                      <w:color w:val="auto"/>
                      <w:sz w:val="21"/>
                      <w:szCs w:val="21"/>
                    </w:rPr>
                    <w:t>1.执行甘肃省和庆阳市生态环境总体准入清单中重点管控单元污染物排放管控要求。2.建成区基本淘汰每小时10蒸吨及以下燃煤锅炉及茶水炉、经营性炉灶、储粮烘干设备等燃煤设施，原则上不再新增每小时35蒸吨以下的燃煤锅炉，其他地区原则上不再新建每小时10蒸吨以下燃煤锅炉。集中供热管网覆盖范围内且满足拆并接入需求的分散燃煤锅炉应予以淘汰关闭，并入集中供热；天然气管网覆盖范围内的分散燃煤锅炉在落实气源和供气量的前提下实施清洁能源改造。3.强化旧城区和城乡结合部污水截流、收集，现有雨、污合流制排水系统应加快实施雨污分流改造，难以改造的，应采取截流、调蓄和治理等措施。提高城区污水收集、处理率，加强城市污水处理厂运营管理，确保出水稳定达标排放。4.提高生活垃圾收集和无害化处理率。</w:t>
                  </w:r>
                </w:p>
              </w:tc>
              <w:tc>
                <w:tcPr>
                  <w:tcW w:w="13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rPr>
                  </w:pPr>
                  <w:r>
                    <w:rPr>
                      <w:rFonts w:hint="default"/>
                      <w:color w:val="auto"/>
                      <w:sz w:val="21"/>
                      <w:szCs w:val="21"/>
                    </w:rPr>
                    <w:t>1.本项目满足甘肃省和庆阳市生态环境总体准入清单中重点管控单元污染物排放管控要求；</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rPr>
                  </w:pPr>
                  <w:r>
                    <w:rPr>
                      <w:rFonts w:hint="default"/>
                      <w:color w:val="auto"/>
                      <w:sz w:val="21"/>
                      <w:szCs w:val="21"/>
                    </w:rPr>
                    <w:t>2.本项目不涉及锅炉；</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rPr>
                  </w:pPr>
                  <w:r>
                    <w:rPr>
                      <w:rFonts w:hint="default"/>
                      <w:color w:val="auto"/>
                      <w:sz w:val="21"/>
                      <w:szCs w:val="21"/>
                    </w:rPr>
                    <w:t>3.本项目</w:t>
                  </w:r>
                  <w:r>
                    <w:rPr>
                      <w:rFonts w:hint="eastAsia"/>
                      <w:color w:val="auto"/>
                      <w:sz w:val="21"/>
                      <w:szCs w:val="21"/>
                      <w:lang w:eastAsia="zh-CN"/>
                    </w:rPr>
                    <w:t>无生产废水</w:t>
                  </w:r>
                  <w:r>
                    <w:rPr>
                      <w:rFonts w:hint="default"/>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rPr>
                  </w:pPr>
                  <w:r>
                    <w:rPr>
                      <w:rFonts w:hint="default"/>
                      <w:color w:val="auto"/>
                      <w:sz w:val="21"/>
                      <w:szCs w:val="21"/>
                    </w:rPr>
                    <w:t>4.本项目分类收集，定期由环卫部门清运处置。</w:t>
                  </w:r>
                </w:p>
              </w:tc>
              <w:tc>
                <w:tcPr>
                  <w:tcW w:w="65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rPr>
                  </w:pPr>
                  <w:r>
                    <w:rPr>
                      <w:rFonts w:hint="default"/>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rPr>
                  </w:pPr>
                </w:p>
              </w:tc>
              <w:tc>
                <w:tcPr>
                  <w:tcW w:w="51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rPr>
                  </w:pPr>
                </w:p>
              </w:tc>
              <w:tc>
                <w:tcPr>
                  <w:tcW w:w="3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rPr>
                  </w:pPr>
                  <w:r>
                    <w:rPr>
                      <w:rFonts w:hint="default"/>
                      <w:color w:val="auto"/>
                      <w:sz w:val="21"/>
                      <w:szCs w:val="21"/>
                    </w:rPr>
                    <w:t>资率源要利求</w:t>
                  </w:r>
                </w:p>
              </w:tc>
              <w:tc>
                <w:tcPr>
                  <w:tcW w:w="157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rPr>
                  </w:pPr>
                  <w:r>
                    <w:rPr>
                      <w:rFonts w:hint="default"/>
                      <w:color w:val="auto"/>
                      <w:sz w:val="21"/>
                      <w:szCs w:val="21"/>
                    </w:rPr>
                    <w:t>执行甘肃省和庆阳市生态环境总体准入清单中重点管控单元关于资源利用效率要求。</w:t>
                  </w:r>
                </w:p>
              </w:tc>
              <w:tc>
                <w:tcPr>
                  <w:tcW w:w="13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rPr>
                  </w:pPr>
                  <w:r>
                    <w:rPr>
                      <w:rFonts w:hint="default"/>
                      <w:color w:val="auto"/>
                      <w:sz w:val="21"/>
                      <w:szCs w:val="21"/>
                    </w:rPr>
                    <w:t>本项目在施工及运行过程中严格落实废水、废水、噪声、固体废物等各项污染防治措施，减少污染物排放。</w:t>
                  </w:r>
                </w:p>
              </w:tc>
              <w:tc>
                <w:tcPr>
                  <w:tcW w:w="65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rPr>
                  </w:pPr>
                  <w:r>
                    <w:rPr>
                      <w:rFonts w:hint="default"/>
                      <w:color w:val="auto"/>
                      <w:sz w:val="21"/>
                      <w:szCs w:val="21"/>
                    </w:rPr>
                    <w:t>符合</w:t>
                  </w:r>
                </w:p>
              </w:tc>
            </w:tr>
          </w:tbl>
          <w:p>
            <w:pPr>
              <w:adjustRightInd w:val="0"/>
              <w:snapToGrid w:val="0"/>
              <w:spacing w:line="360" w:lineRule="auto"/>
              <w:ind w:firstLine="480"/>
              <w:rPr>
                <w:rFonts w:hint="default" w:ascii="Times New Roman" w:hAnsi="Times New Roman" w:cs="Times New Roman"/>
                <w:bCs/>
                <w:color w:val="auto"/>
                <w:sz w:val="24"/>
                <w:lang w:val="en-US" w:eastAsia="zh-CN"/>
              </w:rPr>
            </w:pPr>
            <w:r>
              <w:rPr>
                <w:rFonts w:hint="default" w:ascii="Times New Roman" w:hAnsi="Times New Roman" w:cs="Times New Roman"/>
                <w:bCs/>
                <w:color w:val="auto"/>
                <w:sz w:val="24"/>
                <w:lang w:val="en-US" w:eastAsia="zh-CN"/>
              </w:rPr>
              <w:t>综上所述，本项目运营期采取有效的污染防治措施之后，废气、废水、噪声均可达标排放，固体废物得到妥善处置，符合“重点控制单元”管控要求，符合甘肃省及庆阳市“三线一单”管控要求。</w:t>
            </w:r>
          </w:p>
          <w:p>
            <w:pPr>
              <w:rPr>
                <w:color w:val="auto"/>
              </w:rPr>
            </w:pPr>
          </w:p>
          <w:p>
            <w:pPr>
              <w:rPr>
                <w:color w:val="auto"/>
              </w:rPr>
            </w:pPr>
          </w:p>
        </w:tc>
      </w:tr>
    </w:tbl>
    <w:p>
      <w:pPr>
        <w:spacing w:line="360" w:lineRule="auto"/>
        <w:outlineLvl w:val="0"/>
        <w:rPr>
          <w:color w:val="auto"/>
          <w:sz w:val="30"/>
        </w:rPr>
        <w:sectPr>
          <w:footerReference r:id="rId5" w:type="default"/>
          <w:pgSz w:w="11906" w:h="16838"/>
          <w:pgMar w:top="1701" w:right="1531" w:bottom="1701" w:left="1531" w:header="851" w:footer="1077" w:gutter="0"/>
          <w:pgNumType w:start="1"/>
          <w:cols w:space="720" w:num="1"/>
          <w:docGrid w:linePitch="312" w:charSpace="0"/>
        </w:sectPr>
      </w:pPr>
    </w:p>
    <w:p>
      <w:pPr>
        <w:pStyle w:val="21"/>
        <w:jc w:val="left"/>
        <w:outlineLvl w:val="0"/>
        <w:rPr>
          <w:rFonts w:ascii="Times New Roman" w:hAnsi="Times New Roman"/>
          <w:b/>
          <w:bCs/>
          <w:snapToGrid w:val="0"/>
          <w:color w:val="auto"/>
          <w:sz w:val="30"/>
          <w:szCs w:val="30"/>
        </w:rPr>
      </w:pPr>
      <w:r>
        <w:rPr>
          <w:rFonts w:ascii="Times New Roman" w:hAnsi="Times New Roman"/>
          <w:b/>
          <w:bCs/>
          <w:snapToGrid w:val="0"/>
          <w:color w:val="auto"/>
          <w:sz w:val="30"/>
          <w:szCs w:val="30"/>
        </w:rPr>
        <w:t>二、建设内容</w:t>
      </w:r>
    </w:p>
    <w:tbl>
      <w:tblPr>
        <w:tblStyle w:val="26"/>
        <w:tblW w:w="85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80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dxa"/>
            <w:vAlign w:val="center"/>
          </w:tcPr>
          <w:p>
            <w:pPr>
              <w:adjustRightInd w:val="0"/>
              <w:snapToGrid w:val="0"/>
              <w:jc w:val="center"/>
              <w:rPr>
                <w:color w:val="auto"/>
                <w:kern w:val="0"/>
                <w:sz w:val="24"/>
              </w:rPr>
            </w:pPr>
            <w:r>
              <w:rPr>
                <w:color w:val="auto"/>
                <w:kern w:val="0"/>
                <w:sz w:val="24"/>
              </w:rPr>
              <w:t>地理位置</w:t>
            </w:r>
          </w:p>
        </w:tc>
        <w:tc>
          <w:tcPr>
            <w:tcW w:w="8082" w:type="dxa"/>
            <w:vAlign w:val="center"/>
          </w:tcPr>
          <w:p>
            <w:pPr>
              <w:widowControl/>
              <w:spacing w:line="360" w:lineRule="auto"/>
              <w:ind w:firstLine="480" w:firstLineChars="200"/>
              <w:jc w:val="left"/>
              <w:rPr>
                <w:color w:val="auto"/>
                <w:kern w:val="0"/>
                <w:sz w:val="24"/>
              </w:rPr>
            </w:pPr>
            <w:r>
              <w:rPr>
                <w:rFonts w:hint="eastAsia" w:ascii="Times New Roman" w:hAnsi="Times New Roman" w:eastAsia="宋体" w:cs="Times New Roman"/>
                <w:color w:val="auto"/>
                <w:sz w:val="24"/>
                <w:lang w:val="en-US" w:eastAsia="zh-CN"/>
              </w:rPr>
              <w:t>本次拟建的宁县滨河大桥建设项目位于宁县县城，道路西端起点与现状滨河西路平面交叉，道路东端终点与现状滨河东路</w:t>
            </w:r>
            <w:r>
              <w:rPr>
                <w:rFonts w:hint="default" w:ascii="Times New Roman" w:hAnsi="Times New Roman" w:eastAsia="宋体" w:cs="Times New Roman"/>
                <w:color w:val="auto"/>
                <w:sz w:val="24"/>
                <w:lang w:val="en-US" w:eastAsia="zh-CN"/>
              </w:rPr>
              <w:t>T</w:t>
            </w:r>
            <w:r>
              <w:rPr>
                <w:rFonts w:hint="eastAsia" w:ascii="Times New Roman" w:hAnsi="Times New Roman" w:eastAsia="宋体" w:cs="Times New Roman"/>
                <w:color w:val="auto"/>
                <w:sz w:val="24"/>
                <w:lang w:val="en-US" w:eastAsia="zh-CN"/>
              </w:rPr>
              <w:t>型平面交叉。</w:t>
            </w:r>
            <w:r>
              <w:rPr>
                <w:rFonts w:hint="eastAsia" w:cs="Times New Roman"/>
                <w:color w:val="auto"/>
                <w:sz w:val="24"/>
                <w:lang w:val="en-US" w:eastAsia="zh-CN"/>
              </w:rPr>
              <w:t>桥梁</w:t>
            </w:r>
            <w:r>
              <w:rPr>
                <w:rFonts w:hint="eastAsia" w:ascii="Times New Roman" w:hAnsi="Times New Roman" w:eastAsia="宋体" w:cs="Times New Roman"/>
                <w:color w:val="auto"/>
                <w:sz w:val="24"/>
                <w:highlight w:val="none"/>
                <w:lang w:val="en-US" w:eastAsia="zh-CN"/>
              </w:rPr>
              <w:t>起点坐标：107°54′34.571″, 35°29′47.145″终点坐标：107°54′27.696″, 35°29′53.344″。</w:t>
            </w:r>
            <w:r>
              <w:rPr>
                <w:rFonts w:ascii="Times New Roman" w:hAnsi="Times New Roman" w:cs="Times New Roman"/>
                <w:color w:val="auto"/>
                <w:sz w:val="24"/>
              </w:rPr>
              <w:t>项目</w:t>
            </w:r>
            <w:r>
              <w:rPr>
                <w:rFonts w:hint="eastAsia" w:cs="Times New Roman"/>
                <w:color w:val="auto"/>
                <w:sz w:val="24"/>
                <w:lang w:eastAsia="zh-CN"/>
              </w:rPr>
              <w:t>四临关系见附图</w:t>
            </w:r>
            <w:r>
              <w:rPr>
                <w:rFonts w:hint="eastAsia" w:cs="Times New Roman"/>
                <w:color w:val="auto"/>
                <w:sz w:val="24"/>
                <w:lang w:val="en-US" w:eastAsia="zh-CN"/>
              </w:rPr>
              <w:t>1，</w:t>
            </w:r>
            <w:r>
              <w:rPr>
                <w:rFonts w:ascii="Times New Roman" w:hAnsi="Times New Roman" w:cs="Times New Roman"/>
                <w:color w:val="auto"/>
                <w:sz w:val="24"/>
              </w:rPr>
              <w:t>地</w:t>
            </w:r>
            <w:r>
              <w:rPr>
                <w:rFonts w:hint="eastAsia" w:ascii="Times New Roman" w:hAnsi="Times New Roman" w:eastAsia="宋体" w:cs="Times New Roman"/>
                <w:color w:val="auto"/>
                <w:sz w:val="24"/>
                <w:highlight w:val="none"/>
                <w:lang w:val="en-US" w:eastAsia="zh-CN"/>
              </w:rPr>
              <w:t>理位置详见附图2。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dxa"/>
            <w:vAlign w:val="center"/>
          </w:tcPr>
          <w:p>
            <w:pPr>
              <w:adjustRightInd w:val="0"/>
              <w:snapToGrid w:val="0"/>
              <w:jc w:val="center"/>
              <w:rPr>
                <w:color w:val="auto"/>
                <w:kern w:val="0"/>
                <w:sz w:val="24"/>
              </w:rPr>
            </w:pPr>
            <w:r>
              <w:rPr>
                <w:color w:val="auto"/>
                <w:kern w:val="0"/>
                <w:sz w:val="24"/>
              </w:rPr>
              <w:t>项目组成及规模</w:t>
            </w:r>
          </w:p>
        </w:tc>
        <w:tc>
          <w:tcPr>
            <w:tcW w:w="8082" w:type="dxa"/>
            <w:vAlign w:val="center"/>
          </w:tcPr>
          <w:p>
            <w:pPr>
              <w:widowControl/>
              <w:spacing w:line="360" w:lineRule="auto"/>
              <w:jc w:val="left"/>
              <w:rPr>
                <w:color w:val="auto"/>
                <w:sz w:val="24"/>
              </w:rPr>
            </w:pPr>
            <w:r>
              <w:rPr>
                <w:color w:val="auto"/>
                <w:sz w:val="24"/>
              </w:rPr>
              <w:t>1、工程内容及规模</w:t>
            </w:r>
          </w:p>
          <w:p>
            <w:pPr>
              <w:widowControl/>
              <w:spacing w:line="360" w:lineRule="auto"/>
              <w:ind w:firstLine="480" w:firstLineChars="200"/>
              <w:jc w:val="left"/>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项目道路全长</w:t>
            </w:r>
            <w:r>
              <w:rPr>
                <w:rFonts w:hint="default" w:ascii="Times New Roman" w:hAnsi="Times New Roman" w:eastAsia="宋体" w:cs="Times New Roman"/>
                <w:color w:val="auto"/>
                <w:sz w:val="24"/>
                <w:lang w:val="en-US" w:eastAsia="zh-CN"/>
              </w:rPr>
              <w:t>269.</w:t>
            </w:r>
            <w:r>
              <w:rPr>
                <w:rFonts w:hint="eastAsia" w:ascii="Times New Roman" w:hAnsi="Times New Roman" w:eastAsia="宋体" w:cs="Times New Roman"/>
                <w:color w:val="auto"/>
                <w:sz w:val="24"/>
                <w:lang w:val="en-US" w:eastAsia="zh-CN"/>
              </w:rPr>
              <w:t>182</w:t>
            </w:r>
            <w:r>
              <w:rPr>
                <w:rFonts w:hint="default" w:ascii="Times New Roman" w:hAnsi="Times New Roman" w:eastAsia="宋体" w:cs="Times New Roman"/>
                <w:color w:val="auto"/>
                <w:sz w:val="24"/>
                <w:lang w:val="en-US" w:eastAsia="zh-CN"/>
              </w:rPr>
              <w:t>m</w:t>
            </w:r>
            <w:r>
              <w:rPr>
                <w:rFonts w:hint="eastAsia" w:ascii="Times New Roman" w:hAnsi="Times New Roman" w:eastAsia="宋体" w:cs="Times New Roman"/>
                <w:color w:val="auto"/>
                <w:sz w:val="24"/>
                <w:lang w:val="en-US" w:eastAsia="zh-CN"/>
              </w:rPr>
              <w:t>，在道路中心桩号</w:t>
            </w:r>
            <w:r>
              <w:rPr>
                <w:rFonts w:hint="default" w:ascii="Times New Roman" w:hAnsi="Times New Roman" w:eastAsia="宋体" w:cs="Times New Roman"/>
                <w:color w:val="auto"/>
                <w:sz w:val="24"/>
                <w:lang w:val="en-US" w:eastAsia="zh-CN"/>
              </w:rPr>
              <w:t>K0+135.23</w:t>
            </w:r>
            <w:r>
              <w:rPr>
                <w:rFonts w:hint="eastAsia" w:ascii="Times New Roman" w:hAnsi="Times New Roman" w:eastAsia="宋体" w:cs="Times New Roman"/>
                <w:color w:val="auto"/>
                <w:sz w:val="24"/>
                <w:lang w:val="en-US" w:eastAsia="zh-CN"/>
              </w:rPr>
              <w:t>处设置一座</w:t>
            </w:r>
            <w:r>
              <w:rPr>
                <w:rFonts w:hint="default" w:ascii="Times New Roman" w:hAnsi="Times New Roman" w:eastAsia="宋体" w:cs="Times New Roman"/>
                <w:color w:val="auto"/>
                <w:sz w:val="24"/>
                <w:lang w:val="en-US" w:eastAsia="zh-CN"/>
              </w:rPr>
              <w:t>6</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40m</w:t>
            </w:r>
            <w:r>
              <w:rPr>
                <w:rFonts w:hint="eastAsia" w:ascii="Times New Roman" w:hAnsi="Times New Roman" w:eastAsia="宋体" w:cs="Times New Roman"/>
                <w:color w:val="auto"/>
                <w:sz w:val="24"/>
                <w:lang w:val="en-US" w:eastAsia="zh-CN"/>
              </w:rPr>
              <w:t>预应力混凝土箱形梁桥，桥梁全长</w:t>
            </w:r>
            <w:r>
              <w:rPr>
                <w:rFonts w:hint="default" w:ascii="Times New Roman" w:hAnsi="Times New Roman" w:eastAsia="宋体" w:cs="Times New Roman"/>
                <w:color w:val="auto"/>
                <w:sz w:val="24"/>
                <w:lang w:val="en-US" w:eastAsia="zh-CN"/>
              </w:rPr>
              <w:t>24</w:t>
            </w:r>
            <w:r>
              <w:rPr>
                <w:rFonts w:hint="eastAsia"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lang w:val="en-US" w:eastAsia="zh-CN"/>
              </w:rPr>
              <w:t>m</w:t>
            </w:r>
            <w:r>
              <w:rPr>
                <w:rFonts w:hint="eastAsia" w:ascii="Times New Roman" w:hAnsi="Times New Roman" w:eastAsia="宋体" w:cs="Times New Roman"/>
                <w:color w:val="auto"/>
                <w:sz w:val="24"/>
                <w:lang w:val="en-US" w:eastAsia="zh-CN"/>
              </w:rPr>
              <w:t>，采用城市主干路标准建设，桥梁红线宽度</w:t>
            </w:r>
            <w:r>
              <w:rPr>
                <w:rFonts w:hint="default" w:ascii="Times New Roman" w:hAnsi="Times New Roman" w:eastAsia="宋体" w:cs="Times New Roman"/>
                <w:color w:val="auto"/>
                <w:sz w:val="24"/>
                <w:lang w:val="en-US" w:eastAsia="zh-CN"/>
              </w:rPr>
              <w:t>26m</w:t>
            </w:r>
            <w:r>
              <w:rPr>
                <w:rFonts w:hint="eastAsia" w:ascii="Times New Roman" w:hAnsi="Times New Roman" w:eastAsia="宋体" w:cs="Times New Roman"/>
                <w:color w:val="auto"/>
                <w:sz w:val="24"/>
                <w:lang w:val="en-US" w:eastAsia="zh-CN"/>
              </w:rPr>
              <w:t>，机动车道为双向四车道，设计速度</w:t>
            </w:r>
            <w:r>
              <w:rPr>
                <w:rFonts w:hint="default" w:ascii="Times New Roman" w:hAnsi="Times New Roman" w:eastAsia="宋体" w:cs="Times New Roman"/>
                <w:color w:val="auto"/>
                <w:sz w:val="24"/>
                <w:lang w:val="en-US" w:eastAsia="zh-CN"/>
              </w:rPr>
              <w:t>40km/h</w:t>
            </w:r>
            <w:r>
              <w:rPr>
                <w:rFonts w:hint="eastAsia" w:ascii="Times New Roman" w:hAnsi="Times New Roman" w:eastAsia="宋体" w:cs="Times New Roman"/>
                <w:color w:val="auto"/>
                <w:sz w:val="24"/>
                <w:lang w:val="en-US" w:eastAsia="zh-CN"/>
              </w:rPr>
              <w:t>。对桥梁与滨河东西路交叉处进行抬高，抬高后需要对滨河东西路进行改造，其中滨河西路改造长度</w:t>
            </w:r>
            <w:r>
              <w:rPr>
                <w:rFonts w:hint="default" w:ascii="Times New Roman" w:hAnsi="Times New Roman" w:eastAsia="宋体" w:cs="Times New Roman"/>
                <w:color w:val="auto"/>
                <w:sz w:val="24"/>
                <w:lang w:val="en-US" w:eastAsia="zh-CN"/>
              </w:rPr>
              <w:t>218m</w:t>
            </w:r>
            <w:r>
              <w:rPr>
                <w:rFonts w:hint="eastAsia" w:ascii="Times New Roman" w:hAnsi="Times New Roman" w:eastAsia="宋体" w:cs="Times New Roman"/>
                <w:color w:val="auto"/>
                <w:sz w:val="24"/>
                <w:lang w:val="en-US" w:eastAsia="zh-CN"/>
              </w:rPr>
              <w:t>，滨河东路改造长度</w:t>
            </w:r>
            <w:r>
              <w:rPr>
                <w:rFonts w:hint="default" w:ascii="Times New Roman" w:hAnsi="Times New Roman" w:eastAsia="宋体" w:cs="Times New Roman"/>
                <w:color w:val="auto"/>
                <w:sz w:val="24"/>
                <w:lang w:val="en-US" w:eastAsia="zh-CN"/>
              </w:rPr>
              <w:t>190m</w:t>
            </w:r>
            <w:r>
              <w:rPr>
                <w:rFonts w:hint="eastAsia" w:ascii="Times New Roman" w:hAnsi="Times New Roman" w:eastAsia="宋体" w:cs="Times New Roman"/>
                <w:color w:val="auto"/>
                <w:sz w:val="24"/>
                <w:lang w:val="en-US" w:eastAsia="zh-CN"/>
              </w:rPr>
              <w:t>。</w:t>
            </w:r>
          </w:p>
          <w:p>
            <w:pPr>
              <w:widowControl/>
              <w:spacing w:line="360" w:lineRule="auto"/>
              <w:ind w:firstLine="480" w:firstLineChars="200"/>
              <w:jc w:val="left"/>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宁县滨河大桥跨越马莲河断面百年一遇洪水流量为</w:t>
            </w:r>
            <w:r>
              <w:rPr>
                <w:rFonts w:hint="default" w:ascii="Times New Roman" w:hAnsi="Times New Roman" w:eastAsia="宋体" w:cs="Times New Roman"/>
                <w:color w:val="auto"/>
                <w:sz w:val="24"/>
                <w:lang w:val="en-US" w:eastAsia="zh-CN"/>
              </w:rPr>
              <w:t>10800m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lang w:val="en-US" w:eastAsia="zh-CN"/>
              </w:rPr>
              <w:t>/s</w:t>
            </w:r>
            <w:r>
              <w:rPr>
                <w:rFonts w:hint="eastAsia" w:ascii="Times New Roman" w:hAnsi="Times New Roman" w:eastAsia="宋体" w:cs="Times New Roman"/>
                <w:color w:val="auto"/>
                <w:sz w:val="24"/>
                <w:lang w:val="en-US" w:eastAsia="zh-CN"/>
              </w:rPr>
              <w:t>，相应水位为</w:t>
            </w:r>
            <w:r>
              <w:rPr>
                <w:rFonts w:hint="default" w:ascii="Times New Roman" w:hAnsi="Times New Roman" w:eastAsia="宋体" w:cs="Times New Roman"/>
                <w:color w:val="auto"/>
                <w:sz w:val="24"/>
                <w:lang w:val="en-US" w:eastAsia="zh-CN"/>
              </w:rPr>
              <w:t>935.80m</w:t>
            </w:r>
            <w:r>
              <w:rPr>
                <w:rFonts w:hint="eastAsia" w:ascii="Times New Roman" w:hAnsi="Times New Roman" w:eastAsia="宋体" w:cs="Times New Roman"/>
                <w:color w:val="auto"/>
                <w:sz w:val="24"/>
                <w:lang w:val="en-US" w:eastAsia="zh-CN"/>
              </w:rPr>
              <w:t>；拟建宁县滨河大桥等级为大桥， 下弦高程</w:t>
            </w:r>
            <w:r>
              <w:rPr>
                <w:rFonts w:hint="default" w:ascii="Times New Roman" w:hAnsi="Times New Roman" w:eastAsia="宋体" w:cs="Times New Roman"/>
                <w:color w:val="auto"/>
                <w:sz w:val="24"/>
                <w:lang w:val="en-US" w:eastAsia="zh-CN"/>
              </w:rPr>
              <w:t>938.03m</w:t>
            </w:r>
            <w:r>
              <w:rPr>
                <w:rFonts w:hint="eastAsia" w:ascii="Times New Roman" w:hAnsi="Times New Roman" w:eastAsia="宋体" w:cs="Times New Roman"/>
                <w:color w:val="auto"/>
                <w:sz w:val="24"/>
                <w:lang w:val="en-US" w:eastAsia="zh-CN"/>
              </w:rPr>
              <w:t>，桥墩最浅基础埋深</w:t>
            </w:r>
            <w:r>
              <w:rPr>
                <w:rFonts w:hint="default" w:ascii="Times New Roman" w:hAnsi="Times New Roman" w:eastAsia="宋体" w:cs="Times New Roman"/>
                <w:color w:val="auto"/>
                <w:sz w:val="24"/>
                <w:lang w:val="en-US" w:eastAsia="zh-CN"/>
              </w:rPr>
              <w:t>900.46m</w:t>
            </w:r>
            <w:r>
              <w:rPr>
                <w:rFonts w:hint="eastAsia" w:ascii="Times New Roman" w:hAnsi="Times New Roman" w:eastAsia="宋体" w:cs="Times New Roman"/>
                <w:color w:val="auto"/>
                <w:sz w:val="24"/>
                <w:lang w:val="en-US" w:eastAsia="zh-CN"/>
              </w:rPr>
              <w:t>；宁县滨河大桥采用百年一遇洪水设计，设计标准符合《防洪标准》的要求。</w:t>
            </w:r>
          </w:p>
          <w:p>
            <w:pPr>
              <w:widowControl/>
              <w:spacing w:line="360" w:lineRule="auto"/>
              <w:ind w:firstLine="480" w:firstLineChars="200"/>
              <w:jc w:val="left"/>
              <w:rPr>
                <w:color w:val="auto"/>
                <w:sz w:val="24"/>
              </w:rPr>
            </w:pPr>
            <w:r>
              <w:rPr>
                <w:color w:val="auto"/>
                <w:sz w:val="24"/>
              </w:rPr>
              <w:t>项目工程组成一览表2-</w:t>
            </w:r>
            <w:r>
              <w:rPr>
                <w:rFonts w:hint="eastAsia"/>
                <w:color w:val="auto"/>
                <w:sz w:val="24"/>
                <w:lang w:val="en-US" w:eastAsia="zh-CN"/>
              </w:rPr>
              <w:t>1</w:t>
            </w:r>
            <w:r>
              <w:rPr>
                <w:color w:val="auto"/>
                <w:sz w:val="24"/>
              </w:rPr>
              <w:t>。</w:t>
            </w:r>
          </w:p>
          <w:p>
            <w:pPr>
              <w:pStyle w:val="51"/>
              <w:ind w:right="-1" w:firstLine="630" w:firstLineChars="300"/>
              <w:jc w:val="center"/>
              <w:rPr>
                <w:color w:val="auto"/>
              </w:rPr>
            </w:pPr>
            <w:r>
              <w:rPr>
                <w:color w:val="auto"/>
              </w:rPr>
              <w:t>表2-3   项目建设内容及规模一览表</w:t>
            </w:r>
          </w:p>
          <w:tbl>
            <w:tblPr>
              <w:tblStyle w:val="26"/>
              <w:tblW w:w="7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6"/>
              <w:gridCol w:w="635"/>
              <w:gridCol w:w="1691"/>
              <w:gridCol w:w="4020"/>
              <w:gridCol w:w="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606" w:type="dxa"/>
                  <w:vAlign w:val="center"/>
                </w:tcPr>
                <w:p>
                  <w:pPr>
                    <w:jc w:val="center"/>
                    <w:rPr>
                      <w:color w:val="auto"/>
                    </w:rPr>
                  </w:pPr>
                  <w:r>
                    <w:rPr>
                      <w:color w:val="auto"/>
                    </w:rPr>
                    <w:t>序号</w:t>
                  </w:r>
                </w:p>
              </w:tc>
              <w:tc>
                <w:tcPr>
                  <w:tcW w:w="635" w:type="dxa"/>
                  <w:vAlign w:val="center"/>
                </w:tcPr>
                <w:p>
                  <w:pPr>
                    <w:jc w:val="center"/>
                    <w:rPr>
                      <w:color w:val="auto"/>
                    </w:rPr>
                  </w:pPr>
                  <w:r>
                    <w:rPr>
                      <w:color w:val="auto"/>
                    </w:rPr>
                    <w:t>类别</w:t>
                  </w:r>
                </w:p>
              </w:tc>
              <w:tc>
                <w:tcPr>
                  <w:tcW w:w="1691" w:type="dxa"/>
                  <w:vAlign w:val="center"/>
                </w:tcPr>
                <w:p>
                  <w:pPr>
                    <w:jc w:val="center"/>
                    <w:rPr>
                      <w:color w:val="auto"/>
                    </w:rPr>
                  </w:pPr>
                  <w:r>
                    <w:rPr>
                      <w:color w:val="auto"/>
                    </w:rPr>
                    <w:t>工程内容</w:t>
                  </w:r>
                </w:p>
              </w:tc>
              <w:tc>
                <w:tcPr>
                  <w:tcW w:w="4020" w:type="dxa"/>
                  <w:vAlign w:val="center"/>
                </w:tcPr>
                <w:p>
                  <w:pPr>
                    <w:jc w:val="center"/>
                    <w:rPr>
                      <w:color w:val="auto"/>
                    </w:rPr>
                  </w:pPr>
                  <w:r>
                    <w:rPr>
                      <w:color w:val="auto"/>
                    </w:rPr>
                    <w:t>建设规模</w:t>
                  </w:r>
                </w:p>
              </w:tc>
              <w:tc>
                <w:tcPr>
                  <w:tcW w:w="666" w:type="dxa"/>
                  <w:vAlign w:val="center"/>
                </w:tcPr>
                <w:p>
                  <w:pPr>
                    <w:jc w:val="center"/>
                    <w:rPr>
                      <w:color w:val="auto"/>
                    </w:rPr>
                  </w:pPr>
                  <w:r>
                    <w:rPr>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vMerge w:val="restart"/>
                  <w:vAlign w:val="center"/>
                </w:tcPr>
                <w:p>
                  <w:pPr>
                    <w:autoSpaceDE w:val="0"/>
                    <w:autoSpaceDN w:val="0"/>
                    <w:jc w:val="center"/>
                    <w:textAlignment w:val="baseline"/>
                    <w:rPr>
                      <w:color w:val="auto"/>
                    </w:rPr>
                  </w:pPr>
                  <w:r>
                    <w:rPr>
                      <w:color w:val="auto"/>
                    </w:rPr>
                    <w:t>1</w:t>
                  </w:r>
                </w:p>
              </w:tc>
              <w:tc>
                <w:tcPr>
                  <w:tcW w:w="635" w:type="dxa"/>
                  <w:vMerge w:val="restart"/>
                  <w:vAlign w:val="center"/>
                </w:tcPr>
                <w:p>
                  <w:pPr>
                    <w:autoSpaceDE w:val="0"/>
                    <w:autoSpaceDN w:val="0"/>
                    <w:jc w:val="center"/>
                    <w:textAlignment w:val="baseline"/>
                    <w:rPr>
                      <w:color w:val="auto"/>
                    </w:rPr>
                  </w:pPr>
                  <w:r>
                    <w:rPr>
                      <w:color w:val="auto"/>
                    </w:rPr>
                    <w:t>主体工程</w:t>
                  </w:r>
                </w:p>
              </w:tc>
              <w:tc>
                <w:tcPr>
                  <w:tcW w:w="1691" w:type="dxa"/>
                  <w:vAlign w:val="center"/>
                </w:tcPr>
                <w:p>
                  <w:pPr>
                    <w:autoSpaceDE w:val="0"/>
                    <w:autoSpaceDN w:val="0"/>
                    <w:jc w:val="center"/>
                    <w:textAlignment w:val="baseline"/>
                    <w:rPr>
                      <w:rFonts w:hint="eastAsia" w:eastAsia="宋体"/>
                      <w:color w:val="auto"/>
                      <w:lang w:eastAsia="zh-CN"/>
                    </w:rPr>
                  </w:pPr>
                  <w:r>
                    <w:rPr>
                      <w:rFonts w:hint="eastAsia"/>
                      <w:color w:val="auto"/>
                      <w:lang w:eastAsia="zh-CN"/>
                    </w:rPr>
                    <w:t>桥梁工程</w:t>
                  </w:r>
                </w:p>
              </w:tc>
              <w:tc>
                <w:tcPr>
                  <w:tcW w:w="4020" w:type="dxa"/>
                  <w:vAlign w:val="center"/>
                </w:tcPr>
                <w:p>
                  <w:pPr>
                    <w:autoSpaceDE w:val="0"/>
                    <w:autoSpaceDN w:val="0"/>
                    <w:jc w:val="center"/>
                    <w:textAlignment w:val="baseline"/>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桥梁全长</w:t>
                  </w:r>
                  <w:r>
                    <w:rPr>
                      <w:rFonts w:hint="default" w:ascii="Times New Roman" w:hAnsi="Times New Roman" w:eastAsia="宋体" w:cs="Times New Roman"/>
                      <w:color w:val="auto"/>
                      <w:sz w:val="21"/>
                      <w:szCs w:val="21"/>
                      <w:lang w:val="en-US" w:eastAsia="zh-CN"/>
                    </w:rPr>
                    <w:t>24</w:t>
                  </w:r>
                  <w:r>
                    <w:rPr>
                      <w:rFonts w:hint="eastAsia" w:cs="Times New Roman"/>
                      <w:color w:val="auto"/>
                      <w:sz w:val="21"/>
                      <w:szCs w:val="21"/>
                      <w:lang w:val="en-US" w:eastAsia="zh-CN"/>
                    </w:rPr>
                    <w:t>8</w:t>
                  </w:r>
                  <w:r>
                    <w:rPr>
                      <w:rFonts w:hint="default"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lang w:val="en-US" w:eastAsia="zh-CN"/>
                    </w:rPr>
                    <w:t>，桥梁为</w:t>
                  </w:r>
                  <w:r>
                    <w:rPr>
                      <w:rFonts w:hint="default" w:ascii="Times New Roman" w:hAnsi="Times New Roman" w:eastAsia="宋体" w:cs="Times New Roman"/>
                      <w:color w:val="auto"/>
                      <w:sz w:val="21"/>
                      <w:szCs w:val="21"/>
                      <w:lang w:val="en-US" w:eastAsia="zh-CN"/>
                    </w:rPr>
                    <w:t>6</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40</w:t>
                  </w:r>
                  <w:r>
                    <w:rPr>
                      <w:rFonts w:hint="eastAsia" w:ascii="Times New Roman" w:hAnsi="Times New Roman" w:eastAsia="宋体" w:cs="Times New Roman"/>
                      <w:color w:val="auto"/>
                      <w:sz w:val="21"/>
                      <w:szCs w:val="21"/>
                      <w:lang w:val="en-US" w:eastAsia="zh-CN"/>
                    </w:rPr>
                    <w:t>米预应力混凝土箱形梁桥，桥面宽度：</w:t>
                  </w:r>
                  <w:r>
                    <w:rPr>
                      <w:rFonts w:hint="default" w:ascii="Times New Roman" w:hAnsi="Times New Roman" w:eastAsia="宋体" w:cs="Times New Roman"/>
                      <w:color w:val="auto"/>
                      <w:sz w:val="21"/>
                      <w:szCs w:val="21"/>
                      <w:lang w:val="en-US" w:eastAsia="zh-CN"/>
                    </w:rPr>
                    <w:t xml:space="preserve">3 </w:t>
                  </w:r>
                  <w:r>
                    <w:rPr>
                      <w:rFonts w:hint="eastAsia" w:ascii="Times New Roman" w:hAnsi="Times New Roman" w:eastAsia="宋体" w:cs="Times New Roman"/>
                      <w:color w:val="auto"/>
                      <w:sz w:val="21"/>
                      <w:szCs w:val="21"/>
                      <w:lang w:val="en-US" w:eastAsia="zh-CN"/>
                    </w:rPr>
                    <w:t>米（人行道）</w:t>
                  </w:r>
                  <w:r>
                    <w:rPr>
                      <w:rFonts w:hint="default" w:ascii="Times New Roman" w:hAnsi="Times New Roman" w:eastAsia="宋体" w:cs="Times New Roman"/>
                      <w:color w:val="auto"/>
                      <w:sz w:val="21"/>
                      <w:szCs w:val="21"/>
                      <w:lang w:val="en-US" w:eastAsia="zh-CN"/>
                    </w:rPr>
                    <w:t>+20</w:t>
                  </w:r>
                  <w:r>
                    <w:rPr>
                      <w:rFonts w:hint="eastAsia" w:ascii="Times New Roman" w:hAnsi="Times New Roman" w:eastAsia="宋体" w:cs="Times New Roman"/>
                      <w:color w:val="auto"/>
                      <w:sz w:val="21"/>
                      <w:szCs w:val="21"/>
                      <w:lang w:val="en-US" w:eastAsia="zh-CN"/>
                    </w:rPr>
                    <w:t>米（车行道）</w:t>
                  </w:r>
                  <w:r>
                    <w:rPr>
                      <w:rFonts w:hint="default" w:ascii="Times New Roman" w:hAnsi="Times New Roman" w:eastAsia="宋体" w:cs="Times New Roman"/>
                      <w:color w:val="auto"/>
                      <w:sz w:val="21"/>
                      <w:szCs w:val="21"/>
                      <w:lang w:val="en-US" w:eastAsia="zh-CN"/>
                    </w:rPr>
                    <w:t>+3</w:t>
                  </w:r>
                  <w:r>
                    <w:rPr>
                      <w:rFonts w:hint="eastAsia" w:ascii="Times New Roman" w:hAnsi="Times New Roman" w:eastAsia="宋体" w:cs="Times New Roman"/>
                      <w:color w:val="auto"/>
                      <w:sz w:val="21"/>
                      <w:szCs w:val="21"/>
                      <w:lang w:val="en-US" w:eastAsia="zh-CN"/>
                    </w:rPr>
                    <w:t>米（人行道）</w:t>
                  </w:r>
                  <w:r>
                    <w:rPr>
                      <w:rFonts w:hint="default" w:ascii="Times New Roman" w:hAnsi="Times New Roman" w:eastAsia="宋体" w:cs="Times New Roman"/>
                      <w:color w:val="auto"/>
                      <w:sz w:val="21"/>
                      <w:szCs w:val="21"/>
                      <w:lang w:val="en-US" w:eastAsia="zh-CN"/>
                    </w:rPr>
                    <w:t>=26</w:t>
                  </w:r>
                  <w:r>
                    <w:rPr>
                      <w:rFonts w:hint="eastAsia" w:ascii="Times New Roman" w:hAnsi="Times New Roman" w:eastAsia="宋体" w:cs="Times New Roman"/>
                      <w:color w:val="auto"/>
                      <w:sz w:val="21"/>
                      <w:szCs w:val="21"/>
                      <w:lang w:val="en-US" w:eastAsia="zh-CN"/>
                    </w:rPr>
                    <w:t xml:space="preserve">米。 </w:t>
                  </w:r>
                </w:p>
                <w:p>
                  <w:pPr>
                    <w:autoSpaceDE w:val="0"/>
                    <w:autoSpaceDN w:val="0"/>
                    <w:jc w:val="center"/>
                    <w:textAlignment w:val="baseline"/>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桥梁上部结构采用预应力混凝土小箱梁，梁高</w:t>
                  </w:r>
                  <w:r>
                    <w:rPr>
                      <w:rFonts w:hint="default" w:ascii="Times New Roman" w:hAnsi="Times New Roman" w:eastAsia="宋体" w:cs="Times New Roman"/>
                      <w:color w:val="auto"/>
                      <w:lang w:val="en-US" w:eastAsia="zh-CN"/>
                    </w:rPr>
                    <w:t>2.0</w:t>
                  </w:r>
                  <w:r>
                    <w:rPr>
                      <w:rFonts w:hint="eastAsia" w:ascii="Times New Roman" w:hAnsi="Times New Roman" w:eastAsia="宋体" w:cs="Times New Roman"/>
                      <w:color w:val="auto"/>
                      <w:lang w:val="en-US" w:eastAsia="zh-CN"/>
                    </w:rPr>
                    <w:t>米，每跨横向布置</w:t>
                  </w:r>
                  <w:r>
                    <w:rPr>
                      <w:rFonts w:hint="default" w:ascii="Times New Roman" w:hAnsi="Times New Roman" w:eastAsia="宋体" w:cs="Times New Roman"/>
                      <w:color w:val="auto"/>
                      <w:lang w:val="en-US" w:eastAsia="zh-CN"/>
                    </w:rPr>
                    <w:t>9</w:t>
                  </w:r>
                  <w:r>
                    <w:rPr>
                      <w:rFonts w:hint="eastAsia" w:ascii="Times New Roman" w:hAnsi="Times New Roman" w:eastAsia="宋体" w:cs="Times New Roman"/>
                      <w:color w:val="auto"/>
                      <w:lang w:val="en-US" w:eastAsia="zh-CN"/>
                    </w:rPr>
                    <w:t>片梁，其中中梁</w:t>
                  </w:r>
                  <w:r>
                    <w:rPr>
                      <w:rFonts w:hint="default" w:ascii="Times New Roman" w:hAnsi="Times New Roman" w:eastAsia="宋体" w:cs="Times New Roman"/>
                      <w:color w:val="auto"/>
                      <w:lang w:val="en-US" w:eastAsia="zh-CN"/>
                    </w:rPr>
                    <w:t>7</w:t>
                  </w:r>
                  <w:r>
                    <w:rPr>
                      <w:rFonts w:hint="eastAsia" w:ascii="Times New Roman" w:hAnsi="Times New Roman" w:eastAsia="宋体" w:cs="Times New Roman"/>
                      <w:color w:val="auto"/>
                      <w:lang w:val="en-US" w:eastAsia="zh-CN"/>
                    </w:rPr>
                    <w:t>片，边梁</w:t>
                  </w:r>
                  <w:r>
                    <w:rPr>
                      <w:rFonts w:hint="default" w:ascii="Times New Roman" w:hAnsi="Times New Roman" w:eastAsia="宋体" w:cs="Times New Roman"/>
                      <w:color w:val="auto"/>
                      <w:lang w:val="en-US" w:eastAsia="zh-CN"/>
                    </w:rPr>
                    <w:t>2</w:t>
                  </w:r>
                  <w:r>
                    <w:rPr>
                      <w:rFonts w:hint="eastAsia" w:ascii="Times New Roman" w:hAnsi="Times New Roman" w:eastAsia="宋体" w:cs="Times New Roman"/>
                      <w:color w:val="auto"/>
                      <w:lang w:val="en-US" w:eastAsia="zh-CN"/>
                    </w:rPr>
                    <w:t>片。</w:t>
                  </w:r>
                </w:p>
                <w:p>
                  <w:pPr>
                    <w:autoSpaceDE w:val="0"/>
                    <w:autoSpaceDN w:val="0"/>
                    <w:jc w:val="center"/>
                    <w:textAlignment w:val="baseline"/>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下部构造采用桩柱式墩，钻孔桩基础，每个桥墩设</w:t>
                  </w:r>
                  <w:r>
                    <w:rPr>
                      <w:rFonts w:hint="default" w:ascii="Times New Roman" w:hAnsi="Times New Roman" w:eastAsia="宋体" w:cs="Times New Roman"/>
                      <w:color w:val="auto"/>
                      <w:lang w:val="en-US" w:eastAsia="zh-CN"/>
                    </w:rPr>
                    <w:t>4</w:t>
                  </w:r>
                  <w:r>
                    <w:rPr>
                      <w:rFonts w:hint="eastAsia" w:ascii="Times New Roman" w:hAnsi="Times New Roman" w:eastAsia="宋体" w:cs="Times New Roman"/>
                      <w:color w:val="auto"/>
                      <w:lang w:val="en-US" w:eastAsia="zh-CN"/>
                    </w:rPr>
                    <w:t>个墩柱，墩柱直径</w:t>
                  </w:r>
                  <w:r>
                    <w:rPr>
                      <w:rFonts w:hint="default" w:ascii="Times New Roman" w:hAnsi="Times New Roman" w:eastAsia="宋体" w:cs="Times New Roman"/>
                      <w:color w:val="auto"/>
                      <w:lang w:val="en-US" w:eastAsia="zh-CN"/>
                    </w:rPr>
                    <w:t>1.6m</w:t>
                  </w:r>
                  <w:r>
                    <w:rPr>
                      <w:rFonts w:hint="eastAsia" w:ascii="Times New Roman" w:hAnsi="Times New Roman" w:eastAsia="宋体" w:cs="Times New Roman"/>
                      <w:color w:val="auto"/>
                      <w:lang w:val="en-US" w:eastAsia="zh-CN"/>
                    </w:rPr>
                    <w:t>，</w:t>
                  </w:r>
                </w:p>
                <w:p>
                  <w:pPr>
                    <w:autoSpaceDE w:val="0"/>
                    <w:autoSpaceDN w:val="0"/>
                    <w:jc w:val="center"/>
                    <w:textAlignment w:val="baseline"/>
                    <w:rPr>
                      <w:color w:val="auto"/>
                    </w:rPr>
                  </w:pPr>
                  <w:r>
                    <w:rPr>
                      <w:rFonts w:hint="eastAsia" w:ascii="Times New Roman" w:hAnsi="Times New Roman" w:eastAsia="宋体" w:cs="Times New Roman"/>
                      <w:color w:val="auto"/>
                      <w:lang w:val="en-US" w:eastAsia="zh-CN"/>
                    </w:rPr>
                    <w:t>桩基直径</w:t>
                  </w:r>
                  <w:r>
                    <w:rPr>
                      <w:rFonts w:hint="default" w:ascii="Times New Roman" w:hAnsi="Times New Roman" w:eastAsia="宋体" w:cs="Times New Roman"/>
                      <w:color w:val="auto"/>
                      <w:lang w:val="en-US" w:eastAsia="zh-CN"/>
                    </w:rPr>
                    <w:t>1.8m</w:t>
                  </w:r>
                  <w:r>
                    <w:rPr>
                      <w:rFonts w:hint="eastAsia" w:ascii="Times New Roman" w:hAnsi="Times New Roman" w:eastAsia="宋体" w:cs="Times New Roman"/>
                      <w:color w:val="auto"/>
                      <w:lang w:val="en-US" w:eastAsia="zh-CN"/>
                    </w:rPr>
                    <w:t>，桩长</w:t>
                  </w:r>
                  <w:r>
                    <w:rPr>
                      <w:rFonts w:hint="default" w:ascii="Times New Roman" w:hAnsi="Times New Roman" w:eastAsia="宋体" w:cs="Times New Roman"/>
                      <w:color w:val="auto"/>
                      <w:lang w:val="en-US" w:eastAsia="zh-CN"/>
                    </w:rPr>
                    <w:t>20m</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0#</w:t>
                  </w:r>
                  <w:r>
                    <w:rPr>
                      <w:rFonts w:hint="eastAsia" w:ascii="Times New Roman" w:hAnsi="Times New Roman" w:eastAsia="宋体" w:cs="Times New Roman"/>
                      <w:color w:val="auto"/>
                      <w:lang w:val="en-US" w:eastAsia="zh-CN"/>
                    </w:rPr>
                    <w:t>桥台采用重力式桥台，承台桩基础，纵向设置</w:t>
                  </w:r>
                  <w:r>
                    <w:rPr>
                      <w:rFonts w:hint="default" w:ascii="Times New Roman" w:hAnsi="Times New Roman" w:eastAsia="宋体" w:cs="Times New Roman"/>
                      <w:color w:val="auto"/>
                      <w:lang w:val="en-US" w:eastAsia="zh-CN"/>
                    </w:rPr>
                    <w:t>3</w:t>
                  </w:r>
                  <w:r>
                    <w:rPr>
                      <w:rFonts w:hint="eastAsia" w:ascii="Times New Roman" w:hAnsi="Times New Roman" w:eastAsia="宋体" w:cs="Times New Roman"/>
                      <w:color w:val="auto"/>
                      <w:lang w:val="en-US" w:eastAsia="zh-CN"/>
                    </w:rPr>
                    <w:t>排桩，横向设置</w:t>
                  </w:r>
                  <w:r>
                    <w:rPr>
                      <w:rFonts w:hint="default" w:ascii="Times New Roman" w:hAnsi="Times New Roman" w:eastAsia="宋体" w:cs="Times New Roman"/>
                      <w:color w:val="auto"/>
                      <w:lang w:val="en-US" w:eastAsia="zh-CN"/>
                    </w:rPr>
                    <w:t>6</w:t>
                  </w:r>
                  <w:r>
                    <w:rPr>
                      <w:rFonts w:hint="eastAsia" w:ascii="Times New Roman" w:hAnsi="Times New Roman" w:eastAsia="宋体" w:cs="Times New Roman"/>
                      <w:color w:val="auto"/>
                      <w:lang w:val="en-US" w:eastAsia="zh-CN"/>
                    </w:rPr>
                    <w:t>排桩，桩径</w:t>
                  </w:r>
                  <w:r>
                    <w:rPr>
                      <w:rFonts w:hint="default" w:ascii="Times New Roman" w:hAnsi="Times New Roman" w:eastAsia="宋体" w:cs="Times New Roman"/>
                      <w:color w:val="auto"/>
                      <w:lang w:val="en-US" w:eastAsia="zh-CN"/>
                    </w:rPr>
                    <w:t>1.2m</w:t>
                  </w:r>
                  <w:r>
                    <w:rPr>
                      <w:rFonts w:hint="eastAsia" w:ascii="Times New Roman" w:hAnsi="Times New Roman" w:eastAsia="宋体" w:cs="Times New Roman"/>
                      <w:color w:val="auto"/>
                      <w:lang w:val="en-US" w:eastAsia="zh-CN"/>
                    </w:rPr>
                    <w:t>，桩长</w:t>
                  </w:r>
                  <w:r>
                    <w:rPr>
                      <w:rFonts w:hint="default" w:ascii="Times New Roman" w:hAnsi="Times New Roman" w:eastAsia="宋体" w:cs="Times New Roman"/>
                      <w:color w:val="auto"/>
                      <w:lang w:val="en-US" w:eastAsia="zh-CN"/>
                    </w:rPr>
                    <w:t>15m</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6#</w:t>
                  </w:r>
                  <w:r>
                    <w:rPr>
                      <w:rFonts w:hint="eastAsia" w:ascii="Times New Roman" w:hAnsi="Times New Roman" w:eastAsia="宋体" w:cs="Times New Roman"/>
                      <w:color w:val="auto"/>
                      <w:lang w:val="en-US" w:eastAsia="zh-CN"/>
                    </w:rPr>
                    <w:t>桥台采用桩接盖梁式桥台，桩基直径</w:t>
                  </w:r>
                  <w:r>
                    <w:rPr>
                      <w:rFonts w:hint="default" w:ascii="Times New Roman" w:hAnsi="Times New Roman" w:eastAsia="宋体" w:cs="Times New Roman"/>
                      <w:color w:val="auto"/>
                      <w:lang w:val="en-US" w:eastAsia="zh-CN"/>
                    </w:rPr>
                    <w:t>1.6m</w:t>
                  </w:r>
                  <w:r>
                    <w:rPr>
                      <w:rFonts w:hint="eastAsia" w:ascii="Times New Roman" w:hAnsi="Times New Roman" w:eastAsia="宋体" w:cs="Times New Roman"/>
                      <w:color w:val="auto"/>
                      <w:lang w:val="en-US" w:eastAsia="zh-CN"/>
                    </w:rPr>
                    <w:t>，桩长</w:t>
                  </w:r>
                  <w:r>
                    <w:rPr>
                      <w:rFonts w:hint="default" w:ascii="Times New Roman" w:hAnsi="Times New Roman" w:eastAsia="宋体" w:cs="Times New Roman"/>
                      <w:color w:val="auto"/>
                      <w:lang w:val="en-US" w:eastAsia="zh-CN"/>
                    </w:rPr>
                    <w:t>25m</w:t>
                  </w:r>
                </w:p>
              </w:tc>
              <w:tc>
                <w:tcPr>
                  <w:tcW w:w="666" w:type="dxa"/>
                  <w:vAlign w:val="center"/>
                </w:tcPr>
                <w:p>
                  <w:pPr>
                    <w:autoSpaceDE w:val="0"/>
                    <w:autoSpaceDN w:val="0"/>
                    <w:jc w:val="center"/>
                    <w:textAlignment w:val="baseline"/>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vMerge w:val="continue"/>
                  <w:vAlign w:val="center"/>
                </w:tcPr>
                <w:p>
                  <w:pPr>
                    <w:autoSpaceDE w:val="0"/>
                    <w:autoSpaceDN w:val="0"/>
                    <w:jc w:val="center"/>
                    <w:textAlignment w:val="baseline"/>
                    <w:rPr>
                      <w:color w:val="auto"/>
                    </w:rPr>
                  </w:pPr>
                </w:p>
              </w:tc>
              <w:tc>
                <w:tcPr>
                  <w:tcW w:w="635" w:type="dxa"/>
                  <w:vMerge w:val="continue"/>
                  <w:vAlign w:val="center"/>
                </w:tcPr>
                <w:p>
                  <w:pPr>
                    <w:autoSpaceDE w:val="0"/>
                    <w:autoSpaceDN w:val="0"/>
                    <w:jc w:val="center"/>
                    <w:textAlignment w:val="baseline"/>
                    <w:rPr>
                      <w:color w:val="auto"/>
                    </w:rPr>
                  </w:pPr>
                </w:p>
              </w:tc>
              <w:tc>
                <w:tcPr>
                  <w:tcW w:w="1691" w:type="dxa"/>
                  <w:vAlign w:val="center"/>
                </w:tcPr>
                <w:p>
                  <w:pPr>
                    <w:autoSpaceDE w:val="0"/>
                    <w:autoSpaceDN w:val="0"/>
                    <w:jc w:val="center"/>
                    <w:textAlignment w:val="baseline"/>
                    <w:rPr>
                      <w:rFonts w:hint="eastAsia" w:eastAsia="宋体"/>
                      <w:color w:val="auto"/>
                      <w:lang w:eastAsia="zh-CN"/>
                    </w:rPr>
                  </w:pPr>
                  <w:r>
                    <w:rPr>
                      <w:rFonts w:hint="eastAsia"/>
                      <w:color w:val="auto"/>
                      <w:lang w:eastAsia="zh-CN"/>
                    </w:rPr>
                    <w:t>道路工程</w:t>
                  </w:r>
                </w:p>
              </w:tc>
              <w:tc>
                <w:tcPr>
                  <w:tcW w:w="4020" w:type="dxa"/>
                  <w:vAlign w:val="center"/>
                </w:tcPr>
                <w:p>
                  <w:pPr>
                    <w:autoSpaceDE w:val="0"/>
                    <w:autoSpaceDN w:val="0"/>
                    <w:jc w:val="center"/>
                    <w:textAlignment w:val="baseline"/>
                    <w:rPr>
                      <w:color w:val="auto"/>
                    </w:rPr>
                  </w:pPr>
                  <w:r>
                    <w:rPr>
                      <w:rFonts w:hint="eastAsia" w:ascii="Times New Roman" w:hAnsi="Times New Roman" w:eastAsia="宋体" w:cs="Times New Roman"/>
                      <w:color w:val="auto"/>
                      <w:lang w:val="en-US" w:eastAsia="zh-CN"/>
                    </w:rPr>
                    <w:t>道路西端起点与现状滨河西路平面交叉，道路东端终点与现状滨河东路</w:t>
                  </w:r>
                  <w:r>
                    <w:rPr>
                      <w:rFonts w:hint="default" w:ascii="Times New Roman" w:hAnsi="Times New Roman" w:eastAsia="宋体" w:cs="Times New Roman"/>
                      <w:color w:val="auto"/>
                      <w:lang w:val="en-US" w:eastAsia="zh-CN"/>
                    </w:rPr>
                    <w:t>T</w:t>
                  </w:r>
                  <w:r>
                    <w:rPr>
                      <w:rFonts w:hint="eastAsia" w:ascii="Times New Roman" w:hAnsi="Times New Roman" w:eastAsia="宋体" w:cs="Times New Roman"/>
                      <w:color w:val="auto"/>
                      <w:lang w:val="en-US" w:eastAsia="zh-CN"/>
                    </w:rPr>
                    <w:t>型平面交叉，道路全长</w:t>
                  </w:r>
                  <w:r>
                    <w:rPr>
                      <w:rFonts w:hint="default" w:ascii="Times New Roman" w:hAnsi="Times New Roman" w:eastAsia="宋体" w:cs="Times New Roman"/>
                      <w:color w:val="auto"/>
                      <w:lang w:val="en-US" w:eastAsia="zh-CN"/>
                    </w:rPr>
                    <w:t>269.</w:t>
                  </w:r>
                  <w:r>
                    <w:rPr>
                      <w:rFonts w:hint="eastAsia" w:cs="Times New Roman"/>
                      <w:color w:val="auto"/>
                      <w:lang w:val="en-US" w:eastAsia="zh-CN"/>
                    </w:rPr>
                    <w:t>182</w:t>
                  </w:r>
                  <w:r>
                    <w:rPr>
                      <w:rFonts w:hint="default" w:ascii="Times New Roman" w:hAnsi="Times New Roman" w:eastAsia="宋体" w:cs="Times New Roman"/>
                      <w:color w:val="auto"/>
                      <w:lang w:val="en-US" w:eastAsia="zh-CN"/>
                    </w:rPr>
                    <w:t>m</w:t>
                  </w:r>
                  <w:r>
                    <w:rPr>
                      <w:rFonts w:hint="eastAsia" w:ascii="Times New Roman" w:hAnsi="Times New Roman" w:eastAsia="宋体" w:cs="Times New Roman"/>
                      <w:color w:val="auto"/>
                      <w:lang w:val="en-US" w:eastAsia="zh-CN"/>
                    </w:rPr>
                    <w:t>，改造道路均按照现状道路宽度进行改造，现状滨河西路宽度为</w:t>
                  </w:r>
                  <w:r>
                    <w:rPr>
                      <w:rFonts w:hint="default" w:ascii="Times New Roman" w:hAnsi="Times New Roman" w:eastAsia="宋体" w:cs="Times New Roman"/>
                      <w:color w:val="auto"/>
                      <w:lang w:val="en-US" w:eastAsia="zh-CN"/>
                    </w:rPr>
                    <w:t>18m</w:t>
                  </w:r>
                  <w:r>
                    <w:rPr>
                      <w:rFonts w:hint="eastAsia" w:ascii="Times New Roman" w:hAnsi="Times New Roman" w:eastAsia="宋体" w:cs="Times New Roman"/>
                      <w:color w:val="auto"/>
                      <w:lang w:val="en-US" w:eastAsia="zh-CN"/>
                    </w:rPr>
                    <w:t>，断面形式为</w:t>
                  </w:r>
                  <w:r>
                    <w:rPr>
                      <w:rFonts w:hint="default" w:ascii="Times New Roman" w:hAnsi="Times New Roman" w:eastAsia="宋体" w:cs="Times New Roman"/>
                      <w:color w:val="auto"/>
                      <w:lang w:val="en-US" w:eastAsia="zh-CN"/>
                    </w:rPr>
                    <w:t>15m</w:t>
                  </w:r>
                  <w:r>
                    <w:rPr>
                      <w:rFonts w:hint="eastAsia" w:ascii="Times New Roman" w:hAnsi="Times New Roman" w:eastAsia="宋体" w:cs="Times New Roman"/>
                      <w:color w:val="auto"/>
                      <w:lang w:val="en-US" w:eastAsia="zh-CN"/>
                    </w:rPr>
                    <w:t>（车行道）</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东</w:t>
                  </w:r>
                  <w:r>
                    <w:rPr>
                      <w:rFonts w:hint="default" w:ascii="Times New Roman" w:hAnsi="Times New Roman" w:eastAsia="宋体" w:cs="Times New Roman"/>
                      <w:color w:val="auto"/>
                      <w:lang w:val="en-US" w:eastAsia="zh-CN"/>
                    </w:rPr>
                    <w:t>3m</w:t>
                  </w:r>
                  <w:r>
                    <w:rPr>
                      <w:rFonts w:hint="eastAsia" w:ascii="Times New Roman" w:hAnsi="Times New Roman" w:eastAsia="宋体" w:cs="Times New Roman"/>
                      <w:color w:val="auto"/>
                      <w:lang w:val="en-US" w:eastAsia="zh-CN"/>
                    </w:rPr>
                    <w:t>（人行道）</w:t>
                  </w:r>
                  <w:r>
                    <w:rPr>
                      <w:rFonts w:hint="default" w:ascii="Times New Roman" w:hAnsi="Times New Roman" w:eastAsia="宋体" w:cs="Times New Roman"/>
                      <w:color w:val="auto"/>
                      <w:lang w:val="en-US" w:eastAsia="zh-CN"/>
                    </w:rPr>
                    <w:t>=18m</w:t>
                  </w:r>
                  <w:r>
                    <w:rPr>
                      <w:rFonts w:hint="eastAsia" w:ascii="Times New Roman" w:hAnsi="Times New Roman" w:eastAsia="宋体" w:cs="Times New Roman"/>
                      <w:color w:val="auto"/>
                      <w:lang w:val="en-US" w:eastAsia="zh-CN"/>
                    </w:rPr>
                    <w:t>，现状滨河东路宽度为</w:t>
                  </w:r>
                  <w:r>
                    <w:rPr>
                      <w:rFonts w:hint="default" w:ascii="Times New Roman" w:hAnsi="Times New Roman" w:eastAsia="宋体" w:cs="Times New Roman"/>
                      <w:color w:val="auto"/>
                      <w:lang w:val="en-US" w:eastAsia="zh-CN"/>
                    </w:rPr>
                    <w:t>21m</w:t>
                  </w:r>
                  <w:r>
                    <w:rPr>
                      <w:rFonts w:hint="eastAsia" w:ascii="Times New Roman" w:hAnsi="Times New Roman" w:eastAsia="宋体" w:cs="Times New Roman"/>
                      <w:color w:val="auto"/>
                      <w:lang w:val="en-US" w:eastAsia="zh-CN"/>
                    </w:rPr>
                    <w:t>，断面形式为</w:t>
                  </w:r>
                  <w:r>
                    <w:rPr>
                      <w:rFonts w:hint="default" w:ascii="Times New Roman" w:hAnsi="Times New Roman" w:eastAsia="宋体" w:cs="Times New Roman"/>
                      <w:color w:val="auto"/>
                      <w:lang w:val="en-US" w:eastAsia="zh-CN"/>
                    </w:rPr>
                    <w:t>16m</w:t>
                  </w:r>
                  <w:r>
                    <w:rPr>
                      <w:rFonts w:hint="eastAsia" w:ascii="Times New Roman" w:hAnsi="Times New Roman" w:eastAsia="宋体" w:cs="Times New Roman"/>
                      <w:color w:val="auto"/>
                      <w:lang w:val="en-US" w:eastAsia="zh-CN"/>
                    </w:rPr>
                    <w:t>（车行道）</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东</w:t>
                  </w:r>
                  <w:r>
                    <w:rPr>
                      <w:rFonts w:hint="default" w:ascii="Times New Roman" w:hAnsi="Times New Roman" w:eastAsia="宋体" w:cs="Times New Roman"/>
                      <w:color w:val="auto"/>
                      <w:lang w:val="en-US" w:eastAsia="zh-CN"/>
                    </w:rPr>
                    <w:t>5m</w:t>
                  </w:r>
                  <w:r>
                    <w:rPr>
                      <w:rFonts w:hint="eastAsia" w:ascii="Times New Roman" w:hAnsi="Times New Roman" w:eastAsia="宋体" w:cs="Times New Roman"/>
                      <w:color w:val="auto"/>
                      <w:lang w:val="en-US" w:eastAsia="zh-CN"/>
                    </w:rPr>
                    <w:t>（人行道）</w:t>
                  </w:r>
                  <w:r>
                    <w:rPr>
                      <w:rFonts w:hint="default" w:ascii="Times New Roman" w:hAnsi="Times New Roman" w:eastAsia="宋体" w:cs="Times New Roman"/>
                      <w:color w:val="auto"/>
                      <w:lang w:val="en-US" w:eastAsia="zh-CN"/>
                    </w:rPr>
                    <w:t>=21m</w:t>
                  </w:r>
                  <w:r>
                    <w:rPr>
                      <w:rFonts w:hint="eastAsia" w:ascii="Times New Roman" w:hAnsi="Times New Roman" w:eastAsia="宋体" w:cs="Times New Roman"/>
                      <w:color w:val="auto"/>
                      <w:lang w:val="en-US" w:eastAsia="zh-CN"/>
                    </w:rPr>
                    <w:t>。</w:t>
                  </w:r>
                </w:p>
              </w:tc>
              <w:tc>
                <w:tcPr>
                  <w:tcW w:w="666" w:type="dxa"/>
                  <w:vAlign w:val="center"/>
                </w:tcPr>
                <w:p>
                  <w:pPr>
                    <w:autoSpaceDE w:val="0"/>
                    <w:autoSpaceDN w:val="0"/>
                    <w:jc w:val="center"/>
                    <w:textAlignment w:val="baseline"/>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vMerge w:val="restart"/>
                  <w:vAlign w:val="center"/>
                </w:tcPr>
                <w:p>
                  <w:pPr>
                    <w:autoSpaceDE w:val="0"/>
                    <w:autoSpaceDN w:val="0"/>
                    <w:jc w:val="center"/>
                    <w:textAlignment w:val="baseline"/>
                    <w:rPr>
                      <w:color w:val="auto"/>
                    </w:rPr>
                  </w:pPr>
                  <w:r>
                    <w:rPr>
                      <w:color w:val="auto"/>
                    </w:rPr>
                    <w:t>2</w:t>
                  </w:r>
                </w:p>
              </w:tc>
              <w:tc>
                <w:tcPr>
                  <w:tcW w:w="635" w:type="dxa"/>
                  <w:vMerge w:val="restart"/>
                  <w:vAlign w:val="center"/>
                </w:tcPr>
                <w:p>
                  <w:pPr>
                    <w:autoSpaceDE w:val="0"/>
                    <w:autoSpaceDN w:val="0"/>
                    <w:jc w:val="center"/>
                    <w:textAlignment w:val="baseline"/>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公用工程</w:t>
                  </w:r>
                </w:p>
              </w:tc>
              <w:tc>
                <w:tcPr>
                  <w:tcW w:w="1691" w:type="dxa"/>
                  <w:vAlign w:val="center"/>
                </w:tcPr>
                <w:p>
                  <w:pPr>
                    <w:autoSpaceDE w:val="0"/>
                    <w:autoSpaceDN w:val="0"/>
                    <w:jc w:val="center"/>
                    <w:textAlignment w:val="baseline"/>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排水</w:t>
                  </w:r>
                </w:p>
              </w:tc>
              <w:tc>
                <w:tcPr>
                  <w:tcW w:w="4020" w:type="dxa"/>
                  <w:vAlign w:val="center"/>
                </w:tcPr>
                <w:p>
                  <w:pPr>
                    <w:autoSpaceDE w:val="0"/>
                    <w:autoSpaceDN w:val="0"/>
                    <w:jc w:val="center"/>
                    <w:textAlignment w:val="baseline"/>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桥面两侧设置泄水孔，间距5米，泄水管采用铸铁管，泄水孔从边跨湿接缝处直排至河道</w:t>
                  </w:r>
                </w:p>
              </w:tc>
              <w:tc>
                <w:tcPr>
                  <w:tcW w:w="666" w:type="dxa"/>
                  <w:vAlign w:val="center"/>
                </w:tcPr>
                <w:p>
                  <w:pPr>
                    <w:autoSpaceDE w:val="0"/>
                    <w:autoSpaceDN w:val="0"/>
                    <w:jc w:val="center"/>
                    <w:textAlignment w:val="baseline"/>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vMerge w:val="continue"/>
                  <w:vAlign w:val="center"/>
                </w:tcPr>
                <w:p>
                  <w:pPr>
                    <w:autoSpaceDE w:val="0"/>
                    <w:autoSpaceDN w:val="0"/>
                    <w:jc w:val="center"/>
                    <w:textAlignment w:val="baseline"/>
                    <w:rPr>
                      <w:color w:val="auto"/>
                    </w:rPr>
                  </w:pPr>
                </w:p>
              </w:tc>
              <w:tc>
                <w:tcPr>
                  <w:tcW w:w="635" w:type="dxa"/>
                  <w:vMerge w:val="continue"/>
                  <w:vAlign w:val="center"/>
                </w:tcPr>
                <w:p>
                  <w:pPr>
                    <w:autoSpaceDE w:val="0"/>
                    <w:autoSpaceDN w:val="0"/>
                    <w:jc w:val="center"/>
                    <w:textAlignment w:val="baseline"/>
                    <w:rPr>
                      <w:color w:val="auto"/>
                    </w:rPr>
                  </w:pPr>
                </w:p>
              </w:tc>
              <w:tc>
                <w:tcPr>
                  <w:tcW w:w="1691" w:type="dxa"/>
                  <w:vAlign w:val="center"/>
                </w:tcPr>
                <w:p>
                  <w:pPr>
                    <w:autoSpaceDE w:val="0"/>
                    <w:autoSpaceDN w:val="0"/>
                    <w:jc w:val="center"/>
                    <w:textAlignment w:val="baseline"/>
                    <w:rPr>
                      <w:rFonts w:hint="eastAsia" w:eastAsia="宋体"/>
                      <w:color w:val="auto"/>
                      <w:lang w:eastAsia="zh-CN"/>
                    </w:rPr>
                  </w:pPr>
                  <w:r>
                    <w:rPr>
                      <w:rFonts w:hint="eastAsia"/>
                      <w:color w:val="auto"/>
                      <w:lang w:eastAsia="zh-CN"/>
                    </w:rPr>
                    <w:t>绿化工程</w:t>
                  </w:r>
                </w:p>
              </w:tc>
              <w:tc>
                <w:tcPr>
                  <w:tcW w:w="4020" w:type="dxa"/>
                  <w:vAlign w:val="center"/>
                </w:tcPr>
                <w:p>
                  <w:pPr>
                    <w:autoSpaceDE w:val="0"/>
                    <w:autoSpaceDN w:val="0"/>
                    <w:jc w:val="center"/>
                    <w:textAlignment w:val="baseline"/>
                    <w:rPr>
                      <w:rFonts w:hint="default" w:eastAsia="宋体"/>
                      <w:color w:val="auto"/>
                      <w:lang w:val="en-US" w:eastAsia="zh-CN"/>
                    </w:rPr>
                  </w:pPr>
                  <w:r>
                    <w:rPr>
                      <w:rFonts w:hint="eastAsia"/>
                      <w:color w:val="auto"/>
                      <w:lang w:eastAsia="zh-CN"/>
                    </w:rPr>
                    <w:t>沿改造道路道路两侧进行绿化，绿化面积</w:t>
                  </w:r>
                  <w:r>
                    <w:rPr>
                      <w:rFonts w:hint="eastAsia"/>
                      <w:color w:val="auto"/>
                      <w:lang w:val="en-US" w:eastAsia="zh-CN"/>
                    </w:rPr>
                    <w:t>2246m</w:t>
                  </w:r>
                  <w:r>
                    <w:rPr>
                      <w:rFonts w:hint="eastAsia"/>
                      <w:color w:val="auto"/>
                      <w:vertAlign w:val="superscript"/>
                      <w:lang w:val="en-US" w:eastAsia="zh-CN"/>
                    </w:rPr>
                    <w:t>2</w:t>
                  </w:r>
                  <w:r>
                    <w:rPr>
                      <w:rFonts w:hint="eastAsia"/>
                      <w:color w:val="auto"/>
                      <w:lang w:val="en-US" w:eastAsia="zh-CN"/>
                    </w:rPr>
                    <w:t>，</w:t>
                  </w:r>
                </w:p>
              </w:tc>
              <w:tc>
                <w:tcPr>
                  <w:tcW w:w="666" w:type="dxa"/>
                  <w:vAlign w:val="center"/>
                </w:tcPr>
                <w:p>
                  <w:pPr>
                    <w:autoSpaceDE w:val="0"/>
                    <w:autoSpaceDN w:val="0"/>
                    <w:jc w:val="center"/>
                    <w:textAlignment w:val="baseline"/>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vMerge w:val="continue"/>
                  <w:vAlign w:val="center"/>
                </w:tcPr>
                <w:p>
                  <w:pPr>
                    <w:autoSpaceDE w:val="0"/>
                    <w:autoSpaceDN w:val="0"/>
                    <w:jc w:val="center"/>
                    <w:textAlignment w:val="baseline"/>
                    <w:rPr>
                      <w:color w:val="auto"/>
                    </w:rPr>
                  </w:pPr>
                </w:p>
              </w:tc>
              <w:tc>
                <w:tcPr>
                  <w:tcW w:w="635" w:type="dxa"/>
                  <w:vMerge w:val="continue"/>
                  <w:vAlign w:val="center"/>
                </w:tcPr>
                <w:p>
                  <w:pPr>
                    <w:autoSpaceDE w:val="0"/>
                    <w:autoSpaceDN w:val="0"/>
                    <w:jc w:val="center"/>
                    <w:textAlignment w:val="baseline"/>
                    <w:rPr>
                      <w:color w:val="auto"/>
                    </w:rPr>
                  </w:pPr>
                </w:p>
              </w:tc>
              <w:tc>
                <w:tcPr>
                  <w:tcW w:w="1691" w:type="dxa"/>
                  <w:vAlign w:val="center"/>
                </w:tcPr>
                <w:p>
                  <w:pPr>
                    <w:autoSpaceDE w:val="0"/>
                    <w:autoSpaceDN w:val="0"/>
                    <w:jc w:val="center"/>
                    <w:textAlignment w:val="baseline"/>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照明工程</w:t>
                  </w:r>
                </w:p>
              </w:tc>
              <w:tc>
                <w:tcPr>
                  <w:tcW w:w="4020" w:type="dxa"/>
                  <w:vAlign w:val="center"/>
                </w:tcPr>
                <w:p>
                  <w:pPr>
                    <w:autoSpaceDE w:val="0"/>
                    <w:autoSpaceDN w:val="0"/>
                    <w:jc w:val="center"/>
                    <w:textAlignment w:val="baseline"/>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滨河大桥标准横断面路灯布置方案：采用单杆单臂路灯，灯杆高度为</w:t>
                  </w:r>
                  <w:r>
                    <w:rPr>
                      <w:rFonts w:hint="default" w:ascii="Times New Roman" w:hAnsi="Times New Roman" w:eastAsia="宋体" w:cs="Times New Roman"/>
                      <w:color w:val="auto"/>
                      <w:lang w:val="en-US" w:eastAsia="zh-CN"/>
                    </w:rPr>
                    <w:t>10</w:t>
                  </w:r>
                  <w:r>
                    <w:rPr>
                      <w:rFonts w:hint="eastAsia" w:ascii="Times New Roman" w:hAnsi="Times New Roman" w:eastAsia="宋体" w:cs="Times New Roman"/>
                      <w:color w:val="auto"/>
                      <w:lang w:val="en-US" w:eastAsia="zh-CN"/>
                    </w:rPr>
                    <w:t xml:space="preserve">米，双侧 </w:t>
                  </w:r>
                </w:p>
                <w:p>
                  <w:pPr>
                    <w:autoSpaceDE w:val="0"/>
                    <w:autoSpaceDN w:val="0"/>
                    <w:jc w:val="center"/>
                    <w:textAlignment w:val="baseline"/>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对称布置在人行道内，灯具仰角为</w:t>
                  </w:r>
                  <w:r>
                    <w:rPr>
                      <w:rFonts w:hint="default" w:ascii="Times New Roman" w:hAnsi="Times New Roman" w:eastAsia="宋体" w:cs="Times New Roman"/>
                      <w:color w:val="auto"/>
                      <w:lang w:val="en-US" w:eastAsia="zh-CN"/>
                    </w:rPr>
                    <w:t>10</w:t>
                  </w:r>
                  <w:r>
                    <w:rPr>
                      <w:rFonts w:hint="eastAsia" w:ascii="Times New Roman" w:hAnsi="Times New Roman" w:eastAsia="宋体" w:cs="Times New Roman"/>
                      <w:color w:val="auto"/>
                      <w:lang w:val="en-US" w:eastAsia="zh-CN"/>
                    </w:rPr>
                    <w:t>°，灯臂长度为</w:t>
                  </w:r>
                  <w:r>
                    <w:rPr>
                      <w:rFonts w:hint="default" w:ascii="Times New Roman" w:hAnsi="Times New Roman" w:eastAsia="宋体" w:cs="Times New Roman"/>
                      <w:color w:val="auto"/>
                      <w:lang w:val="en-US" w:eastAsia="zh-CN"/>
                    </w:rPr>
                    <w:t>2.0</w:t>
                  </w:r>
                  <w:r>
                    <w:rPr>
                      <w:rFonts w:hint="eastAsia" w:ascii="Times New Roman" w:hAnsi="Times New Roman" w:eastAsia="宋体" w:cs="Times New Roman"/>
                      <w:color w:val="auto"/>
                      <w:lang w:val="en-US" w:eastAsia="zh-CN"/>
                    </w:rPr>
                    <w:t>米，安装间距</w:t>
                  </w:r>
                  <w:r>
                    <w:rPr>
                      <w:rFonts w:hint="default" w:ascii="Times New Roman" w:hAnsi="Times New Roman" w:eastAsia="宋体" w:cs="Times New Roman"/>
                      <w:color w:val="auto"/>
                      <w:lang w:val="en-US" w:eastAsia="zh-CN"/>
                    </w:rPr>
                    <w:t>35</w:t>
                  </w:r>
                  <w:r>
                    <w:rPr>
                      <w:rFonts w:hint="eastAsia" w:ascii="Times New Roman" w:hAnsi="Times New Roman" w:eastAsia="宋体" w:cs="Times New Roman"/>
                      <w:color w:val="auto"/>
                      <w:lang w:val="en-US" w:eastAsia="zh-CN"/>
                    </w:rPr>
                    <w:t xml:space="preserve">米左右（局部根据现场情况适当调整），光源采用 </w:t>
                  </w:r>
                  <w:r>
                    <w:rPr>
                      <w:rFonts w:hint="default" w:ascii="Times New Roman" w:hAnsi="Times New Roman" w:eastAsia="宋体" w:cs="Times New Roman"/>
                      <w:color w:val="auto"/>
                      <w:lang w:val="en-US" w:eastAsia="zh-CN"/>
                    </w:rPr>
                    <w:t>200W</w:t>
                  </w:r>
                  <w:r>
                    <w:rPr>
                      <w:rFonts w:hint="eastAsia" w:ascii="Times New Roman" w:hAnsi="Times New Roman" w:eastAsia="宋体" w:cs="Times New Roman"/>
                      <w:color w:val="auto"/>
                      <w:lang w:val="en-US" w:eastAsia="zh-CN"/>
                    </w:rPr>
                    <w:t xml:space="preserve">的 </w:t>
                  </w:r>
                  <w:r>
                    <w:rPr>
                      <w:rFonts w:hint="default" w:ascii="Times New Roman" w:hAnsi="Times New Roman" w:eastAsia="宋体" w:cs="Times New Roman"/>
                      <w:color w:val="auto"/>
                      <w:lang w:val="en-US" w:eastAsia="zh-CN"/>
                    </w:rPr>
                    <w:t xml:space="preserve">LED </w:t>
                  </w:r>
                  <w:r>
                    <w:rPr>
                      <w:rFonts w:hint="eastAsia" w:ascii="Times New Roman" w:hAnsi="Times New Roman" w:eastAsia="宋体" w:cs="Times New Roman"/>
                      <w:color w:val="auto"/>
                      <w:lang w:val="en-US" w:eastAsia="zh-CN"/>
                    </w:rPr>
                    <w:t>路灯，具体灯杆型式由业主根据需要自行确定</w:t>
                  </w:r>
                  <w:r>
                    <w:rPr>
                      <w:rFonts w:ascii="Times New Roman" w:hAnsi="Times New Roman" w:eastAsia="宋体" w:cs="Times New Roman"/>
                      <w:color w:val="auto"/>
                    </w:rPr>
                    <w:t>。</w:t>
                  </w:r>
                </w:p>
              </w:tc>
              <w:tc>
                <w:tcPr>
                  <w:tcW w:w="666" w:type="dxa"/>
                  <w:vAlign w:val="center"/>
                </w:tcPr>
                <w:p>
                  <w:pPr>
                    <w:autoSpaceDE w:val="0"/>
                    <w:autoSpaceDN w:val="0"/>
                    <w:jc w:val="center"/>
                    <w:textAlignment w:val="baseline"/>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vMerge w:val="restart"/>
                  <w:vAlign w:val="center"/>
                </w:tcPr>
                <w:p>
                  <w:pPr>
                    <w:autoSpaceDE w:val="0"/>
                    <w:autoSpaceDN w:val="0"/>
                    <w:jc w:val="center"/>
                    <w:textAlignment w:val="baseline"/>
                    <w:rPr>
                      <w:color w:val="auto"/>
                    </w:rPr>
                  </w:pPr>
                  <w:r>
                    <w:rPr>
                      <w:color w:val="auto"/>
                    </w:rPr>
                    <w:t>3</w:t>
                  </w:r>
                </w:p>
              </w:tc>
              <w:tc>
                <w:tcPr>
                  <w:tcW w:w="635" w:type="dxa"/>
                  <w:vMerge w:val="restart"/>
                  <w:vAlign w:val="center"/>
                </w:tcPr>
                <w:p>
                  <w:pPr>
                    <w:autoSpaceDE w:val="0"/>
                    <w:autoSpaceDN w:val="0"/>
                    <w:jc w:val="center"/>
                    <w:textAlignment w:val="baseline"/>
                    <w:rPr>
                      <w:color w:val="auto"/>
                      <w:highlight w:val="none"/>
                    </w:rPr>
                  </w:pPr>
                  <w:r>
                    <w:rPr>
                      <w:color w:val="auto"/>
                      <w:highlight w:val="none"/>
                    </w:rPr>
                    <w:t>临时工程</w:t>
                  </w:r>
                </w:p>
              </w:tc>
              <w:tc>
                <w:tcPr>
                  <w:tcW w:w="1691" w:type="dxa"/>
                  <w:vAlign w:val="center"/>
                </w:tcPr>
                <w:p>
                  <w:pPr>
                    <w:autoSpaceDE w:val="0"/>
                    <w:autoSpaceDN w:val="0"/>
                    <w:jc w:val="center"/>
                    <w:textAlignment w:val="baseline"/>
                    <w:rPr>
                      <w:color w:val="auto"/>
                      <w:highlight w:val="none"/>
                    </w:rPr>
                  </w:pPr>
                  <w:r>
                    <w:rPr>
                      <w:color w:val="auto"/>
                      <w:highlight w:val="none"/>
                    </w:rPr>
                    <w:t>施工营地</w:t>
                  </w:r>
                </w:p>
              </w:tc>
              <w:tc>
                <w:tcPr>
                  <w:tcW w:w="4020" w:type="dxa"/>
                  <w:vAlign w:val="center"/>
                </w:tcPr>
                <w:p>
                  <w:pPr>
                    <w:autoSpaceDE w:val="0"/>
                    <w:autoSpaceDN w:val="0"/>
                    <w:jc w:val="center"/>
                    <w:textAlignment w:val="baseline"/>
                    <w:rPr>
                      <w:color w:val="auto"/>
                      <w:highlight w:val="none"/>
                    </w:rPr>
                  </w:pPr>
                  <w:r>
                    <w:rPr>
                      <w:color w:val="auto"/>
                      <w:highlight w:val="none"/>
                    </w:rPr>
                    <w:t>本项目不设施工营地</w:t>
                  </w:r>
                </w:p>
              </w:tc>
              <w:tc>
                <w:tcPr>
                  <w:tcW w:w="666" w:type="dxa"/>
                  <w:vAlign w:val="center"/>
                </w:tcPr>
                <w:p>
                  <w:pPr>
                    <w:autoSpaceDE w:val="0"/>
                    <w:autoSpaceDN w:val="0"/>
                    <w:jc w:val="center"/>
                    <w:textAlignment w:val="baseline"/>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vMerge w:val="continue"/>
                  <w:vAlign w:val="center"/>
                </w:tcPr>
                <w:p>
                  <w:pPr>
                    <w:autoSpaceDE w:val="0"/>
                    <w:autoSpaceDN w:val="0"/>
                    <w:jc w:val="center"/>
                    <w:textAlignment w:val="baseline"/>
                    <w:rPr>
                      <w:color w:val="auto"/>
                    </w:rPr>
                  </w:pPr>
                </w:p>
              </w:tc>
              <w:tc>
                <w:tcPr>
                  <w:tcW w:w="635" w:type="dxa"/>
                  <w:vMerge w:val="continue"/>
                  <w:vAlign w:val="center"/>
                </w:tcPr>
                <w:p>
                  <w:pPr>
                    <w:autoSpaceDE w:val="0"/>
                    <w:autoSpaceDN w:val="0"/>
                    <w:jc w:val="center"/>
                    <w:textAlignment w:val="baseline"/>
                    <w:rPr>
                      <w:color w:val="auto"/>
                      <w:highlight w:val="none"/>
                    </w:rPr>
                  </w:pPr>
                </w:p>
              </w:tc>
              <w:tc>
                <w:tcPr>
                  <w:tcW w:w="1691" w:type="dxa"/>
                  <w:vAlign w:val="center"/>
                </w:tcPr>
                <w:p>
                  <w:pPr>
                    <w:autoSpaceDE w:val="0"/>
                    <w:autoSpaceDN w:val="0"/>
                    <w:jc w:val="center"/>
                    <w:textAlignment w:val="baseline"/>
                    <w:rPr>
                      <w:rFonts w:hint="eastAsia" w:ascii="Times New Roman" w:hAnsi="Times New Roman" w:eastAsia="宋体" w:cs="Times New Roman"/>
                      <w:color w:val="FF0000"/>
                      <w:lang w:eastAsia="zh-CN"/>
                    </w:rPr>
                  </w:pPr>
                  <w:r>
                    <w:rPr>
                      <w:rFonts w:hint="eastAsia" w:ascii="Times New Roman" w:hAnsi="Times New Roman" w:eastAsia="宋体" w:cs="Times New Roman"/>
                      <w:color w:val="FF0000"/>
                      <w:lang w:eastAsia="zh-CN"/>
                    </w:rPr>
                    <w:t>施工便道</w:t>
                  </w:r>
                </w:p>
              </w:tc>
              <w:tc>
                <w:tcPr>
                  <w:tcW w:w="4020" w:type="dxa"/>
                  <w:vAlign w:val="center"/>
                </w:tcPr>
                <w:p>
                  <w:pPr>
                    <w:autoSpaceDE w:val="0"/>
                    <w:autoSpaceDN w:val="0"/>
                    <w:jc w:val="center"/>
                    <w:textAlignment w:val="baseline"/>
                    <w:rPr>
                      <w:rFonts w:hint="eastAsia" w:ascii="Times New Roman" w:hAnsi="Times New Roman" w:eastAsia="宋体" w:cs="Times New Roman"/>
                      <w:color w:val="FF0000"/>
                      <w:lang w:eastAsia="zh-CN"/>
                    </w:rPr>
                  </w:pPr>
                  <w:r>
                    <w:rPr>
                      <w:rFonts w:hint="eastAsia" w:ascii="Times New Roman" w:hAnsi="Times New Roman" w:eastAsia="宋体" w:cs="Times New Roman"/>
                      <w:color w:val="FF0000"/>
                      <w:lang w:eastAsia="zh-CN"/>
                    </w:rPr>
                    <w:t>采用诱导分流、单车道封闭、半幅封闭等交通组织方式。</w:t>
                  </w:r>
                </w:p>
                <w:p>
                  <w:pPr>
                    <w:autoSpaceDE w:val="0"/>
                    <w:autoSpaceDN w:val="0"/>
                    <w:jc w:val="center"/>
                    <w:textAlignment w:val="baseline"/>
                    <w:rPr>
                      <w:rFonts w:hint="eastAsia" w:ascii="Times New Roman" w:hAnsi="Times New Roman" w:eastAsia="宋体" w:cs="Times New Roman"/>
                      <w:color w:val="FF0000"/>
                      <w:lang w:eastAsia="zh-CN"/>
                    </w:rPr>
                  </w:pPr>
                  <w:r>
                    <w:rPr>
                      <w:rFonts w:hint="eastAsia" w:ascii="Times New Roman" w:hAnsi="Times New Roman" w:eastAsia="宋体" w:cs="Times New Roman"/>
                      <w:color w:val="FF0000"/>
                      <w:lang w:val="en-US" w:eastAsia="zh-CN"/>
                    </w:rPr>
                    <w:t>河道设置了施工便道路面宽度</w:t>
                  </w:r>
                  <w:r>
                    <w:rPr>
                      <w:rFonts w:hint="default" w:ascii="Times New Roman" w:hAnsi="Times New Roman" w:eastAsia="宋体" w:cs="Times New Roman"/>
                      <w:color w:val="FF0000"/>
                      <w:lang w:val="en-US" w:eastAsia="zh-CN"/>
                    </w:rPr>
                    <w:t>7m</w:t>
                  </w:r>
                  <w:r>
                    <w:rPr>
                      <w:rFonts w:hint="eastAsia" w:ascii="Times New Roman" w:hAnsi="Times New Roman" w:eastAsia="宋体" w:cs="Times New Roman"/>
                      <w:color w:val="FF0000"/>
                      <w:lang w:val="en-US" w:eastAsia="zh-CN"/>
                    </w:rPr>
                    <w:t>，两侧设有砂袋围堰，长度25</w:t>
                  </w:r>
                  <w:r>
                    <w:rPr>
                      <w:rFonts w:hint="default" w:ascii="Times New Roman" w:hAnsi="Times New Roman" w:eastAsia="宋体" w:cs="Times New Roman"/>
                      <w:color w:val="FF0000"/>
                      <w:lang w:val="en-US" w:eastAsia="zh-CN"/>
                    </w:rPr>
                    <w:t>0m</w:t>
                  </w:r>
                  <w:r>
                    <w:rPr>
                      <w:rFonts w:hint="eastAsia" w:ascii="Times New Roman" w:hAnsi="Times New Roman" w:eastAsia="宋体" w:cs="Times New Roman"/>
                      <w:color w:val="FF0000"/>
                      <w:lang w:val="en-US" w:eastAsia="zh-CN"/>
                    </w:rPr>
                    <w:t>，并设置数根直径</w:t>
                  </w:r>
                  <w:r>
                    <w:rPr>
                      <w:rFonts w:hint="default" w:ascii="Times New Roman" w:hAnsi="Times New Roman" w:eastAsia="宋体" w:cs="Times New Roman"/>
                      <w:color w:val="FF0000"/>
                      <w:lang w:val="en-US" w:eastAsia="zh-CN"/>
                    </w:rPr>
                    <w:t>1m</w:t>
                  </w:r>
                  <w:r>
                    <w:rPr>
                      <w:rFonts w:hint="eastAsia" w:ascii="Times New Roman" w:hAnsi="Times New Roman" w:eastAsia="宋体" w:cs="Times New Roman"/>
                      <w:color w:val="FF0000"/>
                      <w:lang w:val="en-US" w:eastAsia="zh-CN"/>
                    </w:rPr>
                    <w:t>的管涵过水，两侧设置砂袋。</w:t>
                  </w:r>
                </w:p>
              </w:tc>
              <w:tc>
                <w:tcPr>
                  <w:tcW w:w="666" w:type="dxa"/>
                  <w:vAlign w:val="center"/>
                </w:tcPr>
                <w:p>
                  <w:pPr>
                    <w:autoSpaceDE w:val="0"/>
                    <w:autoSpaceDN w:val="0"/>
                    <w:jc w:val="center"/>
                    <w:textAlignment w:val="baseline"/>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vMerge w:val="continue"/>
                  <w:vAlign w:val="center"/>
                </w:tcPr>
                <w:p>
                  <w:pPr>
                    <w:autoSpaceDE w:val="0"/>
                    <w:autoSpaceDN w:val="0"/>
                    <w:jc w:val="center"/>
                    <w:textAlignment w:val="baseline"/>
                    <w:rPr>
                      <w:color w:val="auto"/>
                    </w:rPr>
                  </w:pPr>
                </w:p>
              </w:tc>
              <w:tc>
                <w:tcPr>
                  <w:tcW w:w="635" w:type="dxa"/>
                  <w:vMerge w:val="continue"/>
                  <w:vAlign w:val="center"/>
                </w:tcPr>
                <w:p>
                  <w:pPr>
                    <w:autoSpaceDE w:val="0"/>
                    <w:autoSpaceDN w:val="0"/>
                    <w:jc w:val="center"/>
                    <w:textAlignment w:val="baseline"/>
                    <w:rPr>
                      <w:color w:val="auto"/>
                      <w:highlight w:val="none"/>
                    </w:rPr>
                  </w:pPr>
                </w:p>
              </w:tc>
              <w:tc>
                <w:tcPr>
                  <w:tcW w:w="1691" w:type="dxa"/>
                  <w:vAlign w:val="center"/>
                </w:tcPr>
                <w:p>
                  <w:pPr>
                    <w:autoSpaceDE w:val="0"/>
                    <w:autoSpaceDN w:val="0"/>
                    <w:jc w:val="center"/>
                    <w:textAlignment w:val="baseline"/>
                    <w:rPr>
                      <w:color w:val="auto"/>
                      <w:highlight w:val="none"/>
                    </w:rPr>
                  </w:pPr>
                  <w:r>
                    <w:rPr>
                      <w:color w:val="auto"/>
                      <w:highlight w:val="none"/>
                    </w:rPr>
                    <w:t>临时料场</w:t>
                  </w:r>
                </w:p>
              </w:tc>
              <w:tc>
                <w:tcPr>
                  <w:tcW w:w="4020" w:type="dxa"/>
                  <w:vAlign w:val="center"/>
                </w:tcPr>
                <w:p>
                  <w:pPr>
                    <w:autoSpaceDE w:val="0"/>
                    <w:autoSpaceDN w:val="0"/>
                    <w:jc w:val="center"/>
                    <w:textAlignment w:val="baseline"/>
                    <w:rPr>
                      <w:color w:val="auto"/>
                      <w:highlight w:val="none"/>
                    </w:rPr>
                  </w:pPr>
                  <w:r>
                    <w:rPr>
                      <w:color w:val="auto"/>
                      <w:highlight w:val="none"/>
                    </w:rPr>
                    <w:t>本项目土石方纵向调运，由建设单位统一调配，设置一处临时料场，位于</w:t>
                  </w:r>
                  <w:r>
                    <w:rPr>
                      <w:rFonts w:hint="eastAsia"/>
                      <w:color w:val="auto"/>
                      <w:highlight w:val="none"/>
                      <w:lang w:eastAsia="zh-CN"/>
                    </w:rPr>
                    <w:t>桥梁北侧</w:t>
                  </w:r>
                  <w:r>
                    <w:rPr>
                      <w:color w:val="auto"/>
                      <w:highlight w:val="none"/>
                    </w:rPr>
                    <w:t>空地。</w:t>
                  </w:r>
                </w:p>
              </w:tc>
              <w:tc>
                <w:tcPr>
                  <w:tcW w:w="666" w:type="dxa"/>
                  <w:vAlign w:val="center"/>
                </w:tcPr>
                <w:p>
                  <w:pPr>
                    <w:autoSpaceDE w:val="0"/>
                    <w:autoSpaceDN w:val="0"/>
                    <w:jc w:val="center"/>
                    <w:textAlignment w:val="baseline"/>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6" w:type="dxa"/>
                  <w:vMerge w:val="restart"/>
                  <w:vAlign w:val="center"/>
                </w:tcPr>
                <w:p>
                  <w:pPr>
                    <w:autoSpaceDE w:val="0"/>
                    <w:autoSpaceDN w:val="0"/>
                    <w:jc w:val="center"/>
                    <w:textAlignment w:val="baseline"/>
                    <w:rPr>
                      <w:rFonts w:ascii="Times New Roman" w:hAnsi="Times New Roman" w:cs="Times New Roman"/>
                      <w:color w:val="auto"/>
                      <w:highlight w:val="none"/>
                    </w:rPr>
                  </w:pPr>
                  <w:r>
                    <w:rPr>
                      <w:rFonts w:ascii="Times New Roman" w:hAnsi="Times New Roman" w:cs="Times New Roman"/>
                      <w:color w:val="auto"/>
                      <w:highlight w:val="none"/>
                    </w:rPr>
                    <w:t>5</w:t>
                  </w:r>
                </w:p>
              </w:tc>
              <w:tc>
                <w:tcPr>
                  <w:tcW w:w="635" w:type="dxa"/>
                  <w:vMerge w:val="restart"/>
                  <w:vAlign w:val="center"/>
                </w:tcPr>
                <w:p>
                  <w:pPr>
                    <w:autoSpaceDE w:val="0"/>
                    <w:autoSpaceDN w:val="0"/>
                    <w:jc w:val="center"/>
                    <w:textAlignment w:val="baseline"/>
                    <w:rPr>
                      <w:rFonts w:ascii="Times New Roman" w:hAnsi="Times New Roman" w:cs="Times New Roman"/>
                      <w:color w:val="auto"/>
                      <w:highlight w:val="none"/>
                    </w:rPr>
                  </w:pPr>
                  <w:r>
                    <w:rPr>
                      <w:rFonts w:ascii="Times New Roman" w:hAnsi="Times New Roman" w:cs="Times New Roman"/>
                      <w:color w:val="auto"/>
                      <w:highlight w:val="none"/>
                    </w:rPr>
                    <w:t>环保工程</w:t>
                  </w:r>
                </w:p>
              </w:tc>
              <w:tc>
                <w:tcPr>
                  <w:tcW w:w="1691" w:type="dxa"/>
                  <w:vAlign w:val="center"/>
                </w:tcPr>
                <w:p>
                  <w:pPr>
                    <w:autoSpaceDE w:val="0"/>
                    <w:autoSpaceDN w:val="0"/>
                    <w:jc w:val="center"/>
                    <w:textAlignment w:val="baseline"/>
                    <w:rPr>
                      <w:rFonts w:ascii="Times New Roman" w:hAnsi="Times New Roman" w:cs="Times New Roman"/>
                      <w:color w:val="auto"/>
                      <w:highlight w:val="none"/>
                    </w:rPr>
                  </w:pPr>
                  <w:r>
                    <w:rPr>
                      <w:rFonts w:ascii="Times New Roman" w:hAnsi="Times New Roman" w:cs="Times New Roman"/>
                      <w:color w:val="auto"/>
                      <w:highlight w:val="none"/>
                    </w:rPr>
                    <w:t>废气治理措施</w:t>
                  </w:r>
                </w:p>
              </w:tc>
              <w:tc>
                <w:tcPr>
                  <w:tcW w:w="4020" w:type="dxa"/>
                  <w:vAlign w:val="center"/>
                </w:tcPr>
                <w:p>
                  <w:pPr>
                    <w:autoSpaceDE w:val="0"/>
                    <w:autoSpaceDN w:val="0"/>
                    <w:jc w:val="center"/>
                    <w:textAlignment w:val="baseline"/>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清扫、洒水抑尘等</w:t>
                  </w:r>
                </w:p>
              </w:tc>
              <w:tc>
                <w:tcPr>
                  <w:tcW w:w="666" w:type="dxa"/>
                  <w:vAlign w:val="center"/>
                </w:tcPr>
                <w:p>
                  <w:pPr>
                    <w:autoSpaceDE w:val="0"/>
                    <w:autoSpaceDN w:val="0"/>
                    <w:jc w:val="center"/>
                    <w:textAlignment w:val="baseline"/>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606" w:type="dxa"/>
                  <w:vMerge w:val="continue"/>
                  <w:vAlign w:val="center"/>
                </w:tcPr>
                <w:p>
                  <w:pPr>
                    <w:autoSpaceDE w:val="0"/>
                    <w:autoSpaceDN w:val="0"/>
                    <w:jc w:val="center"/>
                    <w:textAlignment w:val="baseline"/>
                    <w:rPr>
                      <w:rFonts w:ascii="Times New Roman" w:hAnsi="Times New Roman" w:cs="Times New Roman"/>
                      <w:color w:val="auto"/>
                      <w:highlight w:val="none"/>
                    </w:rPr>
                  </w:pPr>
                </w:p>
              </w:tc>
              <w:tc>
                <w:tcPr>
                  <w:tcW w:w="635" w:type="dxa"/>
                  <w:vMerge w:val="continue"/>
                  <w:vAlign w:val="center"/>
                </w:tcPr>
                <w:p>
                  <w:pPr>
                    <w:autoSpaceDE w:val="0"/>
                    <w:autoSpaceDN w:val="0"/>
                    <w:jc w:val="center"/>
                    <w:textAlignment w:val="baseline"/>
                    <w:rPr>
                      <w:rFonts w:ascii="Times New Roman" w:hAnsi="Times New Roman" w:cs="Times New Roman"/>
                      <w:color w:val="auto"/>
                      <w:highlight w:val="none"/>
                    </w:rPr>
                  </w:pPr>
                </w:p>
              </w:tc>
              <w:tc>
                <w:tcPr>
                  <w:tcW w:w="1691" w:type="dxa"/>
                  <w:vAlign w:val="center"/>
                </w:tcPr>
                <w:p>
                  <w:pPr>
                    <w:autoSpaceDE w:val="0"/>
                    <w:autoSpaceDN w:val="0"/>
                    <w:jc w:val="center"/>
                    <w:textAlignment w:val="baseline"/>
                    <w:rPr>
                      <w:rFonts w:ascii="Times New Roman" w:hAnsi="Times New Roman" w:cs="Times New Roman"/>
                      <w:color w:val="auto"/>
                      <w:highlight w:val="none"/>
                    </w:rPr>
                  </w:pPr>
                  <w:r>
                    <w:rPr>
                      <w:rFonts w:ascii="Times New Roman" w:hAnsi="Times New Roman" w:cs="Times New Roman"/>
                      <w:color w:val="auto"/>
                      <w:highlight w:val="none"/>
                    </w:rPr>
                    <w:t>废水治理措施</w:t>
                  </w:r>
                </w:p>
              </w:tc>
              <w:tc>
                <w:tcPr>
                  <w:tcW w:w="4020" w:type="dxa"/>
                  <w:vAlign w:val="center"/>
                </w:tcPr>
                <w:p>
                  <w:pPr>
                    <w:autoSpaceDE w:val="0"/>
                    <w:autoSpaceDN w:val="0"/>
                    <w:jc w:val="center"/>
                    <w:textAlignment w:val="baseline"/>
                    <w:rPr>
                      <w:rFonts w:ascii="Times New Roman" w:hAnsi="Times New Roman" w:cs="Times New Roman"/>
                      <w:color w:val="auto"/>
                      <w:highlight w:val="none"/>
                    </w:rPr>
                  </w:pPr>
                  <w:r>
                    <w:rPr>
                      <w:rFonts w:hint="eastAsia" w:ascii="Times New Roman" w:hAnsi="Times New Roman" w:cs="Times New Roman"/>
                      <w:color w:val="auto"/>
                      <w:highlight w:val="none"/>
                      <w:lang w:val="en-US" w:eastAsia="zh-CN"/>
                    </w:rPr>
                    <w:t>桥面两侧设置泄水孔，泄水孔从边跨湿接缝处直排至河道</w:t>
                  </w:r>
                </w:p>
              </w:tc>
              <w:tc>
                <w:tcPr>
                  <w:tcW w:w="666" w:type="dxa"/>
                  <w:vAlign w:val="center"/>
                </w:tcPr>
                <w:p>
                  <w:pPr>
                    <w:widowControl/>
                    <w:jc w:val="center"/>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vMerge w:val="continue"/>
                  <w:vAlign w:val="center"/>
                </w:tcPr>
                <w:p>
                  <w:pPr>
                    <w:autoSpaceDE w:val="0"/>
                    <w:autoSpaceDN w:val="0"/>
                    <w:jc w:val="center"/>
                    <w:textAlignment w:val="baseline"/>
                    <w:rPr>
                      <w:rFonts w:ascii="Times New Roman" w:hAnsi="Times New Roman" w:cs="Times New Roman"/>
                      <w:color w:val="auto"/>
                      <w:highlight w:val="none"/>
                    </w:rPr>
                  </w:pPr>
                </w:p>
              </w:tc>
              <w:tc>
                <w:tcPr>
                  <w:tcW w:w="635" w:type="dxa"/>
                  <w:vMerge w:val="continue"/>
                  <w:vAlign w:val="center"/>
                </w:tcPr>
                <w:p>
                  <w:pPr>
                    <w:autoSpaceDE w:val="0"/>
                    <w:autoSpaceDN w:val="0"/>
                    <w:jc w:val="center"/>
                    <w:textAlignment w:val="baseline"/>
                    <w:rPr>
                      <w:rFonts w:ascii="Times New Roman" w:hAnsi="Times New Roman" w:cs="Times New Roman"/>
                      <w:color w:val="auto"/>
                      <w:highlight w:val="none"/>
                    </w:rPr>
                  </w:pPr>
                </w:p>
              </w:tc>
              <w:tc>
                <w:tcPr>
                  <w:tcW w:w="1691" w:type="dxa"/>
                  <w:vAlign w:val="center"/>
                </w:tcPr>
                <w:p>
                  <w:pPr>
                    <w:autoSpaceDE w:val="0"/>
                    <w:autoSpaceDN w:val="0"/>
                    <w:jc w:val="center"/>
                    <w:textAlignment w:val="baseline"/>
                    <w:rPr>
                      <w:rFonts w:ascii="Times New Roman" w:hAnsi="Times New Roman" w:cs="Times New Roman"/>
                      <w:color w:val="auto"/>
                      <w:highlight w:val="none"/>
                    </w:rPr>
                  </w:pPr>
                  <w:r>
                    <w:rPr>
                      <w:rFonts w:ascii="Times New Roman" w:hAnsi="Times New Roman" w:cs="Times New Roman"/>
                      <w:color w:val="auto"/>
                      <w:highlight w:val="none"/>
                    </w:rPr>
                    <w:t>噪声治理措施</w:t>
                  </w:r>
                </w:p>
              </w:tc>
              <w:tc>
                <w:tcPr>
                  <w:tcW w:w="4020" w:type="dxa"/>
                  <w:vAlign w:val="center"/>
                </w:tcPr>
                <w:p>
                  <w:pPr>
                    <w:autoSpaceDE w:val="0"/>
                    <w:autoSpaceDN w:val="0"/>
                    <w:jc w:val="center"/>
                    <w:textAlignment w:val="baseline"/>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绿化，加强对车辆鸣笛管控等</w:t>
                  </w:r>
                </w:p>
              </w:tc>
              <w:tc>
                <w:tcPr>
                  <w:tcW w:w="666" w:type="dxa"/>
                  <w:vAlign w:val="center"/>
                </w:tcPr>
                <w:p>
                  <w:pPr>
                    <w:widowControl/>
                    <w:jc w:val="center"/>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vMerge w:val="continue"/>
                  <w:vAlign w:val="center"/>
                </w:tcPr>
                <w:p>
                  <w:pPr>
                    <w:autoSpaceDE w:val="0"/>
                    <w:autoSpaceDN w:val="0"/>
                    <w:jc w:val="center"/>
                    <w:textAlignment w:val="baseline"/>
                    <w:rPr>
                      <w:rFonts w:ascii="Times New Roman" w:hAnsi="Times New Roman" w:cs="Times New Roman"/>
                      <w:color w:val="auto"/>
                      <w:highlight w:val="none"/>
                    </w:rPr>
                  </w:pPr>
                </w:p>
              </w:tc>
              <w:tc>
                <w:tcPr>
                  <w:tcW w:w="635" w:type="dxa"/>
                  <w:vMerge w:val="continue"/>
                  <w:vAlign w:val="center"/>
                </w:tcPr>
                <w:p>
                  <w:pPr>
                    <w:autoSpaceDE w:val="0"/>
                    <w:autoSpaceDN w:val="0"/>
                    <w:jc w:val="center"/>
                    <w:textAlignment w:val="baseline"/>
                    <w:rPr>
                      <w:rFonts w:ascii="Times New Roman" w:hAnsi="Times New Roman" w:cs="Times New Roman"/>
                      <w:color w:val="auto"/>
                      <w:highlight w:val="none"/>
                    </w:rPr>
                  </w:pPr>
                </w:p>
              </w:tc>
              <w:tc>
                <w:tcPr>
                  <w:tcW w:w="1691" w:type="dxa"/>
                  <w:vAlign w:val="center"/>
                </w:tcPr>
                <w:p>
                  <w:pPr>
                    <w:autoSpaceDE w:val="0"/>
                    <w:autoSpaceDN w:val="0"/>
                    <w:jc w:val="center"/>
                    <w:textAlignment w:val="baseline"/>
                    <w:rPr>
                      <w:rFonts w:ascii="Times New Roman" w:hAnsi="Times New Roman" w:cs="Times New Roman"/>
                      <w:color w:val="auto"/>
                      <w:highlight w:val="none"/>
                    </w:rPr>
                  </w:pPr>
                  <w:r>
                    <w:rPr>
                      <w:rFonts w:ascii="Times New Roman" w:hAnsi="Times New Roman" w:cs="Times New Roman"/>
                      <w:color w:val="auto"/>
                      <w:highlight w:val="none"/>
                    </w:rPr>
                    <w:t>固废处置措施</w:t>
                  </w:r>
                </w:p>
              </w:tc>
              <w:tc>
                <w:tcPr>
                  <w:tcW w:w="4020" w:type="dxa"/>
                  <w:vAlign w:val="center"/>
                </w:tcPr>
                <w:p>
                  <w:pPr>
                    <w:autoSpaceDE w:val="0"/>
                    <w:autoSpaceDN w:val="0"/>
                    <w:jc w:val="center"/>
                    <w:textAlignment w:val="baseline"/>
                    <w:rPr>
                      <w:rFonts w:ascii="Times New Roman" w:hAnsi="Times New Roman" w:cs="Times New Roman"/>
                      <w:color w:val="auto"/>
                      <w:highlight w:val="none"/>
                    </w:rPr>
                  </w:pPr>
                  <w:r>
                    <w:rPr>
                      <w:rFonts w:hint="eastAsia" w:ascii="Times New Roman" w:hAnsi="Times New Roman" w:cs="Times New Roman"/>
                      <w:color w:val="auto"/>
                      <w:highlight w:val="none"/>
                      <w:lang w:val="en-US" w:eastAsia="zh-CN"/>
                    </w:rPr>
                    <w:t>桥梁道路撒落物定期清扫，交由环卫部门集中清运</w:t>
                  </w:r>
                </w:p>
              </w:tc>
              <w:tc>
                <w:tcPr>
                  <w:tcW w:w="666" w:type="dxa"/>
                  <w:vAlign w:val="center"/>
                </w:tcPr>
                <w:p>
                  <w:pPr>
                    <w:widowControl/>
                    <w:jc w:val="center"/>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vMerge w:val="continue"/>
                  <w:vAlign w:val="center"/>
                </w:tcPr>
                <w:p>
                  <w:pPr>
                    <w:autoSpaceDE w:val="0"/>
                    <w:autoSpaceDN w:val="0"/>
                    <w:jc w:val="center"/>
                    <w:textAlignment w:val="baseline"/>
                    <w:rPr>
                      <w:rFonts w:ascii="Times New Roman" w:hAnsi="Times New Roman" w:cs="Times New Roman"/>
                      <w:color w:val="auto"/>
                      <w:highlight w:val="none"/>
                    </w:rPr>
                  </w:pPr>
                </w:p>
              </w:tc>
              <w:tc>
                <w:tcPr>
                  <w:tcW w:w="635" w:type="dxa"/>
                  <w:vMerge w:val="continue"/>
                  <w:vAlign w:val="center"/>
                </w:tcPr>
                <w:p>
                  <w:pPr>
                    <w:autoSpaceDE w:val="0"/>
                    <w:autoSpaceDN w:val="0"/>
                    <w:jc w:val="center"/>
                    <w:textAlignment w:val="baseline"/>
                    <w:rPr>
                      <w:rFonts w:ascii="Times New Roman" w:hAnsi="Times New Roman" w:cs="Times New Roman"/>
                      <w:color w:val="auto"/>
                      <w:highlight w:val="none"/>
                    </w:rPr>
                  </w:pPr>
                </w:p>
              </w:tc>
              <w:tc>
                <w:tcPr>
                  <w:tcW w:w="1691" w:type="dxa"/>
                  <w:vAlign w:val="center"/>
                </w:tcPr>
                <w:p>
                  <w:pPr>
                    <w:autoSpaceDE w:val="0"/>
                    <w:autoSpaceDN w:val="0"/>
                    <w:jc w:val="center"/>
                    <w:textAlignment w:val="baseline"/>
                    <w:rPr>
                      <w:rFonts w:ascii="Times New Roman" w:hAnsi="Times New Roman" w:cs="Times New Roman"/>
                      <w:color w:val="auto"/>
                      <w:highlight w:val="none"/>
                    </w:rPr>
                  </w:pPr>
                  <w:r>
                    <w:rPr>
                      <w:rFonts w:ascii="Times New Roman" w:hAnsi="Times New Roman" w:cs="Times New Roman"/>
                      <w:color w:val="auto"/>
                      <w:highlight w:val="none"/>
                    </w:rPr>
                    <w:t>生态治理措施</w:t>
                  </w:r>
                </w:p>
              </w:tc>
              <w:tc>
                <w:tcPr>
                  <w:tcW w:w="4020" w:type="dxa"/>
                  <w:vAlign w:val="center"/>
                </w:tcPr>
                <w:p>
                  <w:pPr>
                    <w:autoSpaceDE w:val="0"/>
                    <w:autoSpaceDN w:val="0"/>
                    <w:jc w:val="center"/>
                    <w:textAlignment w:val="baseline"/>
                    <w:rPr>
                      <w:rFonts w:ascii="Times New Roman" w:hAnsi="Times New Roman" w:cs="Times New Roman"/>
                      <w:color w:val="auto"/>
                      <w:highlight w:val="none"/>
                    </w:rPr>
                  </w:pPr>
                  <w:r>
                    <w:rPr>
                      <w:rFonts w:ascii="Times New Roman" w:hAnsi="Times New Roman" w:cs="Times New Roman"/>
                      <w:color w:val="auto"/>
                      <w:highlight w:val="none"/>
                    </w:rPr>
                    <w:t>挖方及时清运、回填、夯实、覆盖，弃渣集中收集运至</w:t>
                  </w:r>
                  <w:r>
                    <w:rPr>
                      <w:rFonts w:hint="eastAsia" w:ascii="Times New Roman" w:hAnsi="Times New Roman" w:cs="Times New Roman"/>
                      <w:color w:val="auto"/>
                      <w:highlight w:val="none"/>
                      <w:lang w:eastAsia="zh-CN"/>
                    </w:rPr>
                    <w:t>宁</w:t>
                  </w:r>
                  <w:r>
                    <w:rPr>
                      <w:rFonts w:ascii="Times New Roman" w:hAnsi="Times New Roman" w:cs="Times New Roman"/>
                      <w:color w:val="auto"/>
                      <w:highlight w:val="none"/>
                    </w:rPr>
                    <w:t>县建筑圾填埋场处置。对建筑材料进行遮盖，防止随风飘散和遇雨流失。</w:t>
                  </w:r>
                </w:p>
              </w:tc>
              <w:tc>
                <w:tcPr>
                  <w:tcW w:w="666" w:type="dxa"/>
                  <w:vAlign w:val="center"/>
                </w:tcPr>
                <w:p>
                  <w:pPr>
                    <w:widowControl/>
                    <w:jc w:val="center"/>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vMerge w:val="continue"/>
                  <w:vAlign w:val="center"/>
                </w:tcPr>
                <w:p>
                  <w:pPr>
                    <w:autoSpaceDE w:val="0"/>
                    <w:autoSpaceDN w:val="0"/>
                    <w:jc w:val="center"/>
                    <w:textAlignment w:val="baseline"/>
                    <w:rPr>
                      <w:rFonts w:ascii="Times New Roman" w:hAnsi="Times New Roman" w:cs="Times New Roman"/>
                      <w:color w:val="auto"/>
                      <w:highlight w:val="none"/>
                    </w:rPr>
                  </w:pPr>
                </w:p>
              </w:tc>
              <w:tc>
                <w:tcPr>
                  <w:tcW w:w="635" w:type="dxa"/>
                  <w:vAlign w:val="center"/>
                </w:tcPr>
                <w:p>
                  <w:pPr>
                    <w:autoSpaceDE w:val="0"/>
                    <w:autoSpaceDN w:val="0"/>
                    <w:jc w:val="center"/>
                    <w:textAlignment w:val="baseline"/>
                    <w:rPr>
                      <w:rFonts w:hint="eastAsia" w:ascii="Times New Roman" w:hAnsi="Times New Roman" w:cs="Times New Roman"/>
                      <w:color w:val="FF0000"/>
                      <w:highlight w:val="none"/>
                      <w:lang w:eastAsia="zh-CN"/>
                    </w:rPr>
                  </w:pPr>
                  <w:r>
                    <w:rPr>
                      <w:rFonts w:hint="eastAsia" w:ascii="Times New Roman" w:hAnsi="Times New Roman" w:cs="Times New Roman"/>
                      <w:color w:val="FF0000"/>
                      <w:highlight w:val="none"/>
                      <w:lang w:eastAsia="zh-CN"/>
                    </w:rPr>
                    <w:t>风险</w:t>
                  </w:r>
                </w:p>
              </w:tc>
              <w:tc>
                <w:tcPr>
                  <w:tcW w:w="5711" w:type="dxa"/>
                  <w:gridSpan w:val="2"/>
                  <w:vAlign w:val="center"/>
                </w:tcPr>
                <w:p>
                  <w:pPr>
                    <w:autoSpaceDE w:val="0"/>
                    <w:autoSpaceDN w:val="0"/>
                    <w:jc w:val="center"/>
                    <w:textAlignment w:val="baseline"/>
                    <w:rPr>
                      <w:rFonts w:ascii="Times New Roman" w:hAnsi="Times New Roman" w:cs="Times New Roman"/>
                      <w:color w:val="FF0000"/>
                      <w:highlight w:val="none"/>
                    </w:rPr>
                  </w:pPr>
                  <w:r>
                    <w:rPr>
                      <w:rFonts w:hint="eastAsia" w:ascii="Times New Roman" w:hAnsi="Times New Roman" w:cs="Times New Roman"/>
                      <w:color w:val="FF0000"/>
                      <w:highlight w:val="none"/>
                      <w:lang w:val="en-US" w:eastAsia="zh-CN"/>
                    </w:rPr>
                    <w:t>加强对路段设置的路面和排水系统进行维护、配套事故应急抢救设备和器材等</w:t>
                  </w:r>
                </w:p>
              </w:tc>
              <w:tc>
                <w:tcPr>
                  <w:tcW w:w="666" w:type="dxa"/>
                  <w:vAlign w:val="center"/>
                </w:tcPr>
                <w:p>
                  <w:pPr>
                    <w:widowControl/>
                    <w:jc w:val="center"/>
                    <w:rPr>
                      <w:color w:val="auto"/>
                    </w:rPr>
                  </w:pPr>
                  <w:r>
                    <w:rPr>
                      <w:color w:val="auto"/>
                    </w:rPr>
                    <w:t>/</w:t>
                  </w:r>
                </w:p>
              </w:tc>
            </w:tr>
          </w:tbl>
          <w:p>
            <w:pPr>
              <w:spacing w:line="360" w:lineRule="auto"/>
              <w:rPr>
                <w:rFonts w:hint="eastAsia" w:eastAsia="宋体"/>
                <w:color w:val="auto"/>
                <w:sz w:val="24"/>
                <w:lang w:eastAsia="zh-CN"/>
              </w:rPr>
            </w:pPr>
            <w:r>
              <w:rPr>
                <w:color w:val="auto"/>
                <w:sz w:val="24"/>
              </w:rPr>
              <w:t>2、</w:t>
            </w:r>
            <w:r>
              <w:rPr>
                <w:rFonts w:hint="eastAsia"/>
                <w:color w:val="auto"/>
                <w:sz w:val="24"/>
                <w:lang w:eastAsia="zh-CN"/>
              </w:rPr>
              <w:t>主要工程参数</w:t>
            </w:r>
          </w:p>
          <w:p>
            <w:pPr>
              <w:spacing w:line="360" w:lineRule="auto"/>
              <w:ind w:firstLine="480" w:firstLineChars="200"/>
              <w:rPr>
                <w:rFonts w:hint="eastAsia" w:eastAsia="宋体"/>
                <w:color w:val="auto"/>
                <w:sz w:val="24"/>
                <w:lang w:eastAsia="zh-CN"/>
              </w:rPr>
            </w:pPr>
            <w:r>
              <w:rPr>
                <w:color w:val="auto"/>
                <w:sz w:val="24"/>
              </w:rPr>
              <w:t>2.1</w:t>
            </w:r>
            <w:r>
              <w:rPr>
                <w:rFonts w:hint="eastAsia"/>
                <w:color w:val="auto"/>
                <w:sz w:val="24"/>
                <w:lang w:eastAsia="zh-CN"/>
              </w:rPr>
              <w:t>主要技术指标</w:t>
            </w:r>
          </w:p>
          <w:p>
            <w:pPr>
              <w:spacing w:line="360" w:lineRule="auto"/>
              <w:ind w:firstLine="480" w:firstLineChars="200"/>
              <w:rPr>
                <w:rFonts w:hint="eastAsia" w:eastAsia="宋体"/>
                <w:color w:val="auto"/>
                <w:sz w:val="24"/>
                <w:lang w:eastAsia="zh-CN"/>
              </w:rPr>
            </w:pPr>
            <w:r>
              <w:rPr>
                <w:rFonts w:hint="eastAsia"/>
                <w:color w:val="auto"/>
                <w:sz w:val="24"/>
                <w:lang w:eastAsia="zh-CN"/>
              </w:rPr>
              <w:t>项目主要技术指标见下表</w:t>
            </w:r>
          </w:p>
          <w:p>
            <w:pPr>
              <w:pStyle w:val="51"/>
              <w:ind w:right="-1" w:firstLine="630" w:firstLineChars="300"/>
              <w:jc w:val="center"/>
              <w:rPr>
                <w:color w:val="FF0000"/>
              </w:rPr>
            </w:pPr>
            <w:r>
              <w:rPr>
                <w:color w:val="FF0000"/>
              </w:rPr>
              <w:t>表2-</w:t>
            </w:r>
            <w:r>
              <w:rPr>
                <w:rFonts w:hint="eastAsia"/>
                <w:color w:val="FF0000"/>
                <w:lang w:val="en-US" w:eastAsia="zh-CN"/>
              </w:rPr>
              <w:t>4</w:t>
            </w:r>
            <w:r>
              <w:rPr>
                <w:color w:val="FF0000"/>
              </w:rPr>
              <w:t xml:space="preserve">  </w:t>
            </w:r>
            <w:r>
              <w:rPr>
                <w:rFonts w:hint="eastAsia"/>
                <w:color w:val="FF0000"/>
                <w:lang w:eastAsia="zh-CN"/>
              </w:rPr>
              <w:t>主要技术指标</w:t>
            </w:r>
            <w:r>
              <w:rPr>
                <w:color w:val="FF0000"/>
              </w:rPr>
              <w:t>一览表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2696"/>
              <w:gridCol w:w="4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Pr>
                <w:p>
                  <w:pPr>
                    <w:autoSpaceDE w:val="0"/>
                    <w:autoSpaceDN w:val="0"/>
                    <w:jc w:val="center"/>
                    <w:textAlignment w:val="baseline"/>
                    <w:rPr>
                      <w:rFonts w:hint="eastAsia" w:ascii="Times New Roman" w:hAnsi="Times New Roman" w:eastAsia="宋体" w:cs="Times New Roman"/>
                      <w:color w:val="FF0000"/>
                      <w:lang w:eastAsia="zh-CN"/>
                    </w:rPr>
                  </w:pPr>
                  <w:r>
                    <w:rPr>
                      <w:rFonts w:hint="eastAsia" w:ascii="Times New Roman" w:hAnsi="Times New Roman" w:eastAsia="宋体" w:cs="Times New Roman"/>
                      <w:color w:val="FF0000"/>
                      <w:lang w:eastAsia="zh-CN"/>
                    </w:rPr>
                    <w:t>序号</w:t>
                  </w:r>
                </w:p>
              </w:tc>
              <w:tc>
                <w:tcPr>
                  <w:tcW w:w="2700" w:type="dxa"/>
                </w:tcPr>
                <w:p>
                  <w:pPr>
                    <w:autoSpaceDE w:val="0"/>
                    <w:autoSpaceDN w:val="0"/>
                    <w:jc w:val="center"/>
                    <w:textAlignment w:val="baseline"/>
                    <w:rPr>
                      <w:rFonts w:hint="eastAsia" w:ascii="Times New Roman" w:hAnsi="Times New Roman" w:eastAsia="宋体" w:cs="Times New Roman"/>
                      <w:color w:val="FF0000"/>
                      <w:lang w:eastAsia="zh-CN"/>
                    </w:rPr>
                  </w:pPr>
                  <w:r>
                    <w:rPr>
                      <w:rFonts w:hint="eastAsia" w:ascii="Times New Roman" w:hAnsi="Times New Roman" w:eastAsia="宋体" w:cs="Times New Roman"/>
                      <w:color w:val="FF0000"/>
                      <w:lang w:eastAsia="zh-CN"/>
                    </w:rPr>
                    <w:t>指标名称</w:t>
                  </w:r>
                </w:p>
              </w:tc>
              <w:tc>
                <w:tcPr>
                  <w:tcW w:w="4343" w:type="dxa"/>
                </w:tcPr>
                <w:p>
                  <w:pPr>
                    <w:autoSpaceDE w:val="0"/>
                    <w:autoSpaceDN w:val="0"/>
                    <w:jc w:val="center"/>
                    <w:textAlignment w:val="baseline"/>
                    <w:rPr>
                      <w:rFonts w:hint="eastAsia" w:ascii="Times New Roman" w:hAnsi="Times New Roman" w:eastAsia="宋体" w:cs="Times New Roman"/>
                      <w:color w:val="FF0000"/>
                      <w:lang w:eastAsia="zh-CN"/>
                    </w:rPr>
                  </w:pPr>
                  <w:r>
                    <w:rPr>
                      <w:rFonts w:hint="eastAsia" w:ascii="Times New Roman" w:hAnsi="Times New Roman" w:eastAsia="宋体" w:cs="Times New Roman"/>
                      <w:color w:val="FF0000"/>
                      <w:lang w:eastAsia="zh-CN"/>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Pr>
                <w:p>
                  <w:pPr>
                    <w:autoSpaceDE w:val="0"/>
                    <w:autoSpaceDN w:val="0"/>
                    <w:jc w:val="center"/>
                    <w:textAlignment w:val="baseline"/>
                    <w:rPr>
                      <w:rFonts w:hint="eastAsia"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1</w:t>
                  </w:r>
                </w:p>
              </w:tc>
              <w:tc>
                <w:tcPr>
                  <w:tcW w:w="2700" w:type="dxa"/>
                </w:tcPr>
                <w:p>
                  <w:pPr>
                    <w:autoSpaceDE w:val="0"/>
                    <w:autoSpaceDN w:val="0"/>
                    <w:jc w:val="center"/>
                    <w:textAlignment w:val="baseline"/>
                    <w:rPr>
                      <w:rFonts w:ascii="Times New Roman" w:hAnsi="Times New Roman" w:eastAsia="宋体" w:cs="Times New Roman"/>
                      <w:color w:val="FF0000"/>
                    </w:rPr>
                  </w:pPr>
                  <w:r>
                    <w:rPr>
                      <w:rFonts w:hint="eastAsia" w:ascii="Times New Roman" w:hAnsi="Times New Roman" w:eastAsia="宋体" w:cs="Times New Roman"/>
                      <w:color w:val="FF0000"/>
                      <w:lang w:val="en-US" w:eastAsia="zh-CN"/>
                    </w:rPr>
                    <w:t>桥梁设计荷载</w:t>
                  </w:r>
                </w:p>
              </w:tc>
              <w:tc>
                <w:tcPr>
                  <w:tcW w:w="4343" w:type="dxa"/>
                </w:tcPr>
                <w:p>
                  <w:pPr>
                    <w:autoSpaceDE w:val="0"/>
                    <w:autoSpaceDN w:val="0"/>
                    <w:jc w:val="center"/>
                    <w:textAlignment w:val="baseline"/>
                    <w:rPr>
                      <w:rFonts w:ascii="Times New Roman" w:hAnsi="Times New Roman" w:eastAsia="宋体" w:cs="Times New Roman"/>
                      <w:color w:val="FF0000"/>
                    </w:rPr>
                  </w:pPr>
                  <w:r>
                    <w:rPr>
                      <w:rFonts w:hint="eastAsia" w:ascii="Times New Roman" w:hAnsi="Times New Roman" w:eastAsia="宋体" w:cs="Times New Roman"/>
                      <w:color w:val="FF0000"/>
                      <w:lang w:val="en-US" w:eastAsia="zh-CN"/>
                    </w:rPr>
                    <w:t>城—</w:t>
                  </w:r>
                  <w:r>
                    <w:rPr>
                      <w:rFonts w:hint="default" w:ascii="Times New Roman" w:hAnsi="Times New Roman" w:eastAsia="宋体" w:cs="Times New Roman"/>
                      <w:color w:val="FF0000"/>
                      <w:lang w:val="en-US" w:eastAsia="zh-CN"/>
                    </w:rPr>
                    <w:t xml:space="preserve">A </w:t>
                  </w:r>
                  <w:r>
                    <w:rPr>
                      <w:rFonts w:hint="eastAsia" w:ascii="Times New Roman" w:hAnsi="Times New Roman" w:eastAsia="宋体" w:cs="Times New Roman"/>
                      <w:color w:val="FF0000"/>
                      <w:lang w:val="en-US" w:eastAsia="zh-CN"/>
                    </w:rPr>
                    <w:t>级，人群荷载：</w:t>
                  </w:r>
                  <w:r>
                    <w:rPr>
                      <w:rFonts w:hint="default" w:ascii="Times New Roman" w:hAnsi="Times New Roman" w:eastAsia="宋体" w:cs="Times New Roman"/>
                      <w:color w:val="FF0000"/>
                      <w:lang w:val="en-US" w:eastAsia="zh-CN"/>
                    </w:rPr>
                    <w:t>3.5kN/m</w:t>
                  </w:r>
                  <w:r>
                    <w:rPr>
                      <w:rFonts w:hint="default" w:ascii="Times New Roman" w:hAnsi="Times New Roman" w:eastAsia="宋体" w:cs="Times New Roman"/>
                      <w:color w:val="FF0000"/>
                      <w:vertAlign w:val="superscript"/>
                      <w:lang w:val="en-US" w:eastAsia="zh-CN"/>
                    </w:rPr>
                    <w:t>2</w:t>
                  </w:r>
                  <w:r>
                    <w:rPr>
                      <w:rFonts w:hint="eastAsia" w:ascii="Times New Roman" w:hAnsi="Times New Roman" w:eastAsia="宋体" w:cs="Times New Roman"/>
                      <w:color w:val="FF000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Pr>
                <w:p>
                  <w:pPr>
                    <w:autoSpaceDE w:val="0"/>
                    <w:autoSpaceDN w:val="0"/>
                    <w:jc w:val="center"/>
                    <w:textAlignment w:val="baseline"/>
                    <w:rPr>
                      <w:rFonts w:hint="eastAsia"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2</w:t>
                  </w:r>
                </w:p>
              </w:tc>
              <w:tc>
                <w:tcPr>
                  <w:tcW w:w="2700" w:type="dxa"/>
                </w:tcPr>
                <w:p>
                  <w:pPr>
                    <w:autoSpaceDE w:val="0"/>
                    <w:autoSpaceDN w:val="0"/>
                    <w:jc w:val="center"/>
                    <w:textAlignment w:val="baseline"/>
                    <w:rPr>
                      <w:rFonts w:ascii="Times New Roman" w:hAnsi="Times New Roman" w:eastAsia="宋体" w:cs="Times New Roman"/>
                      <w:color w:val="FF0000"/>
                    </w:rPr>
                  </w:pPr>
                  <w:r>
                    <w:rPr>
                      <w:rFonts w:hint="eastAsia" w:ascii="Times New Roman" w:hAnsi="Times New Roman" w:eastAsia="宋体" w:cs="Times New Roman"/>
                      <w:color w:val="FF0000"/>
                      <w:lang w:val="en-US" w:eastAsia="zh-CN"/>
                    </w:rPr>
                    <w:t>道路建筑限界最小净空</w:t>
                  </w:r>
                </w:p>
              </w:tc>
              <w:tc>
                <w:tcPr>
                  <w:tcW w:w="4343" w:type="dxa"/>
                </w:tcPr>
                <w:p>
                  <w:pPr>
                    <w:autoSpaceDE w:val="0"/>
                    <w:autoSpaceDN w:val="0"/>
                    <w:jc w:val="center"/>
                    <w:textAlignment w:val="baseline"/>
                    <w:rPr>
                      <w:rFonts w:ascii="Times New Roman" w:hAnsi="Times New Roman" w:eastAsia="宋体" w:cs="Times New Roman"/>
                      <w:color w:val="FF0000"/>
                    </w:rPr>
                  </w:pPr>
                  <w:r>
                    <w:rPr>
                      <w:rFonts w:hint="eastAsia" w:ascii="Times New Roman" w:hAnsi="Times New Roman" w:eastAsia="宋体" w:cs="Times New Roman"/>
                      <w:color w:val="FF0000"/>
                      <w:lang w:val="en-US" w:eastAsia="zh-CN"/>
                    </w:rPr>
                    <w:t>机动车道：</w:t>
                  </w:r>
                  <w:r>
                    <w:rPr>
                      <w:rFonts w:hint="default" w:ascii="Times New Roman" w:hAnsi="Times New Roman" w:eastAsia="宋体" w:cs="Times New Roman"/>
                      <w:color w:val="FF0000"/>
                      <w:lang w:val="en-US" w:eastAsia="zh-CN"/>
                    </w:rPr>
                    <w:t xml:space="preserve">≥4.5m </w:t>
                  </w:r>
                </w:p>
                <w:p>
                  <w:pPr>
                    <w:autoSpaceDE w:val="0"/>
                    <w:autoSpaceDN w:val="0"/>
                    <w:jc w:val="center"/>
                    <w:textAlignment w:val="baseline"/>
                    <w:rPr>
                      <w:rFonts w:ascii="Times New Roman" w:hAnsi="Times New Roman" w:eastAsia="宋体" w:cs="Times New Roman"/>
                      <w:color w:val="FF0000"/>
                    </w:rPr>
                  </w:pPr>
                  <w:r>
                    <w:rPr>
                      <w:rFonts w:hint="eastAsia" w:ascii="Times New Roman" w:hAnsi="Times New Roman" w:eastAsia="宋体" w:cs="Times New Roman"/>
                      <w:color w:val="FF0000"/>
                      <w:lang w:val="en-US" w:eastAsia="zh-CN"/>
                    </w:rPr>
                    <w:t>非机动车道：</w:t>
                  </w:r>
                  <w:r>
                    <w:rPr>
                      <w:rFonts w:hint="default" w:ascii="Times New Roman" w:hAnsi="Times New Roman" w:eastAsia="宋体" w:cs="Times New Roman"/>
                      <w:color w:val="FF0000"/>
                      <w:lang w:val="en-US" w:eastAsia="zh-CN"/>
                    </w:rPr>
                    <w:t xml:space="preserve">≥2.5m </w:t>
                  </w:r>
                </w:p>
                <w:p>
                  <w:pPr>
                    <w:autoSpaceDE w:val="0"/>
                    <w:autoSpaceDN w:val="0"/>
                    <w:jc w:val="center"/>
                    <w:textAlignment w:val="baseline"/>
                    <w:rPr>
                      <w:rFonts w:ascii="Times New Roman" w:hAnsi="Times New Roman" w:eastAsia="宋体" w:cs="Times New Roman"/>
                      <w:color w:val="FF0000"/>
                    </w:rPr>
                  </w:pPr>
                  <w:r>
                    <w:rPr>
                      <w:rFonts w:hint="eastAsia" w:ascii="Times New Roman" w:hAnsi="Times New Roman" w:eastAsia="宋体" w:cs="Times New Roman"/>
                      <w:color w:val="FF0000"/>
                      <w:lang w:val="en-US" w:eastAsia="zh-CN"/>
                    </w:rPr>
                    <w:t>人行道：</w:t>
                  </w:r>
                  <w:r>
                    <w:rPr>
                      <w:rFonts w:hint="default" w:ascii="Times New Roman" w:hAnsi="Times New Roman" w:eastAsia="宋体" w:cs="Times New Roman"/>
                      <w:color w:val="FF0000"/>
                      <w:lang w:val="en-US" w:eastAsia="zh-CN"/>
                    </w:rPr>
                    <w:t>≥2.5m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Pr>
                <w:p>
                  <w:pPr>
                    <w:autoSpaceDE w:val="0"/>
                    <w:autoSpaceDN w:val="0"/>
                    <w:jc w:val="center"/>
                    <w:textAlignment w:val="baseline"/>
                    <w:rPr>
                      <w:rFonts w:hint="eastAsia"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3</w:t>
                  </w:r>
                </w:p>
              </w:tc>
              <w:tc>
                <w:tcPr>
                  <w:tcW w:w="2700" w:type="dxa"/>
                </w:tcPr>
                <w:p>
                  <w:pPr>
                    <w:autoSpaceDE w:val="0"/>
                    <w:autoSpaceDN w:val="0"/>
                    <w:jc w:val="center"/>
                    <w:textAlignment w:val="baseline"/>
                    <w:rPr>
                      <w:rFonts w:ascii="Times New Roman" w:hAnsi="Times New Roman" w:eastAsia="宋体" w:cs="Times New Roman"/>
                      <w:color w:val="FF0000"/>
                    </w:rPr>
                  </w:pPr>
                  <w:r>
                    <w:rPr>
                      <w:rFonts w:hint="eastAsia" w:ascii="Times New Roman" w:hAnsi="Times New Roman" w:eastAsia="宋体" w:cs="Times New Roman"/>
                      <w:color w:val="FF0000"/>
                      <w:lang w:val="en-US" w:eastAsia="zh-CN"/>
                    </w:rPr>
                    <w:t>桥梁分类</w:t>
                  </w:r>
                </w:p>
              </w:tc>
              <w:tc>
                <w:tcPr>
                  <w:tcW w:w="4343" w:type="dxa"/>
                </w:tcPr>
                <w:p>
                  <w:pPr>
                    <w:autoSpaceDE w:val="0"/>
                    <w:autoSpaceDN w:val="0"/>
                    <w:jc w:val="center"/>
                    <w:textAlignment w:val="baseline"/>
                    <w:rPr>
                      <w:rFonts w:ascii="Times New Roman" w:hAnsi="Times New Roman" w:eastAsia="宋体" w:cs="Times New Roman"/>
                      <w:color w:val="FF0000"/>
                    </w:rPr>
                  </w:pPr>
                  <w:r>
                    <w:rPr>
                      <w:rFonts w:hint="eastAsia" w:ascii="Times New Roman" w:hAnsi="Times New Roman" w:eastAsia="宋体" w:cs="Times New Roman"/>
                      <w:color w:val="FF0000"/>
                      <w:lang w:val="en-US" w:eastAsia="zh-CN"/>
                    </w:rPr>
                    <w:t>大桥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Pr>
                <w:p>
                  <w:pPr>
                    <w:autoSpaceDE w:val="0"/>
                    <w:autoSpaceDN w:val="0"/>
                    <w:jc w:val="center"/>
                    <w:textAlignment w:val="baseline"/>
                    <w:rPr>
                      <w:rFonts w:hint="eastAsia"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4</w:t>
                  </w:r>
                </w:p>
              </w:tc>
              <w:tc>
                <w:tcPr>
                  <w:tcW w:w="2700" w:type="dxa"/>
                </w:tcPr>
                <w:p>
                  <w:pPr>
                    <w:autoSpaceDE w:val="0"/>
                    <w:autoSpaceDN w:val="0"/>
                    <w:jc w:val="center"/>
                    <w:textAlignment w:val="baseline"/>
                    <w:rPr>
                      <w:rFonts w:ascii="Times New Roman" w:hAnsi="Times New Roman" w:eastAsia="宋体" w:cs="Times New Roman"/>
                      <w:color w:val="FF0000"/>
                    </w:rPr>
                  </w:pPr>
                  <w:r>
                    <w:rPr>
                      <w:rFonts w:hint="eastAsia" w:ascii="Times New Roman" w:hAnsi="Times New Roman" w:eastAsia="宋体" w:cs="Times New Roman"/>
                      <w:color w:val="FF0000"/>
                      <w:lang w:val="en-US" w:eastAsia="zh-CN"/>
                    </w:rPr>
                    <w:t>桥梁设计安全等级</w:t>
                  </w:r>
                </w:p>
              </w:tc>
              <w:tc>
                <w:tcPr>
                  <w:tcW w:w="4343" w:type="dxa"/>
                </w:tcPr>
                <w:p>
                  <w:pPr>
                    <w:autoSpaceDE w:val="0"/>
                    <w:autoSpaceDN w:val="0"/>
                    <w:jc w:val="center"/>
                    <w:textAlignment w:val="baseline"/>
                    <w:rPr>
                      <w:rFonts w:ascii="Times New Roman" w:hAnsi="Times New Roman" w:eastAsia="宋体" w:cs="Times New Roman"/>
                      <w:color w:val="FF0000"/>
                    </w:rPr>
                  </w:pPr>
                  <w:r>
                    <w:rPr>
                      <w:rFonts w:hint="eastAsia" w:ascii="Times New Roman" w:hAnsi="Times New Roman" w:eastAsia="宋体" w:cs="Times New Roman"/>
                      <w:color w:val="FF0000"/>
                      <w:lang w:val="en-US" w:eastAsia="zh-CN"/>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Pr>
                <w:p>
                  <w:pPr>
                    <w:autoSpaceDE w:val="0"/>
                    <w:autoSpaceDN w:val="0"/>
                    <w:jc w:val="center"/>
                    <w:textAlignment w:val="baseline"/>
                    <w:rPr>
                      <w:rFonts w:hint="eastAsia"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5</w:t>
                  </w:r>
                </w:p>
              </w:tc>
              <w:tc>
                <w:tcPr>
                  <w:tcW w:w="2700" w:type="dxa"/>
                </w:tcPr>
                <w:p>
                  <w:pPr>
                    <w:autoSpaceDE w:val="0"/>
                    <w:autoSpaceDN w:val="0"/>
                    <w:jc w:val="center"/>
                    <w:textAlignment w:val="baseline"/>
                    <w:rPr>
                      <w:rFonts w:ascii="Times New Roman" w:hAnsi="Times New Roman" w:eastAsia="宋体" w:cs="Times New Roman"/>
                      <w:color w:val="FF0000"/>
                    </w:rPr>
                  </w:pPr>
                  <w:r>
                    <w:rPr>
                      <w:rFonts w:hint="eastAsia" w:ascii="Times New Roman" w:hAnsi="Times New Roman" w:eastAsia="宋体" w:cs="Times New Roman"/>
                      <w:color w:val="FF0000"/>
                      <w:lang w:val="en-US" w:eastAsia="zh-CN"/>
                    </w:rPr>
                    <w:t>桥梁安全性重要系数</w:t>
                  </w:r>
                </w:p>
              </w:tc>
              <w:tc>
                <w:tcPr>
                  <w:tcW w:w="4343" w:type="dxa"/>
                </w:tcPr>
                <w:p>
                  <w:pPr>
                    <w:autoSpaceDE w:val="0"/>
                    <w:autoSpaceDN w:val="0"/>
                    <w:jc w:val="center"/>
                    <w:textAlignment w:val="baseline"/>
                    <w:rPr>
                      <w:rFonts w:hint="default"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Pr>
                <w:p>
                  <w:pPr>
                    <w:autoSpaceDE w:val="0"/>
                    <w:autoSpaceDN w:val="0"/>
                    <w:jc w:val="center"/>
                    <w:textAlignment w:val="baseline"/>
                    <w:rPr>
                      <w:rFonts w:hint="eastAsia"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6</w:t>
                  </w:r>
                </w:p>
              </w:tc>
              <w:tc>
                <w:tcPr>
                  <w:tcW w:w="2700" w:type="dxa"/>
                </w:tcPr>
                <w:p>
                  <w:pPr>
                    <w:autoSpaceDE w:val="0"/>
                    <w:autoSpaceDN w:val="0"/>
                    <w:jc w:val="center"/>
                    <w:textAlignment w:val="baseline"/>
                    <w:rPr>
                      <w:rFonts w:ascii="Times New Roman" w:hAnsi="Times New Roman" w:eastAsia="宋体" w:cs="Times New Roman"/>
                      <w:color w:val="FF0000"/>
                    </w:rPr>
                  </w:pPr>
                  <w:r>
                    <w:rPr>
                      <w:rFonts w:hint="eastAsia" w:ascii="Times New Roman" w:hAnsi="Times New Roman" w:eastAsia="宋体" w:cs="Times New Roman"/>
                      <w:color w:val="FF0000"/>
                      <w:lang w:val="en-US" w:eastAsia="zh-CN"/>
                    </w:rPr>
                    <w:t>环境类别</w:t>
                  </w:r>
                </w:p>
              </w:tc>
              <w:tc>
                <w:tcPr>
                  <w:tcW w:w="4343" w:type="dxa"/>
                </w:tcPr>
                <w:p>
                  <w:pPr>
                    <w:autoSpaceDE w:val="0"/>
                    <w:autoSpaceDN w:val="0"/>
                    <w:jc w:val="center"/>
                    <w:textAlignment w:val="baseline"/>
                    <w:rPr>
                      <w:rFonts w:ascii="Times New Roman" w:hAnsi="Times New Roman" w:eastAsia="宋体" w:cs="Times New Roman"/>
                      <w:color w:val="FF0000"/>
                    </w:rPr>
                  </w:pPr>
                  <w:r>
                    <w:rPr>
                      <w:rFonts w:hint="eastAsia" w:ascii="Times New Roman" w:hAnsi="Times New Roman" w:eastAsia="宋体" w:cs="Times New Roman"/>
                      <w:color w:val="FF0000"/>
                      <w:lang w:val="en-US" w:eastAsia="zh-CN"/>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Pr>
                <w:p>
                  <w:pPr>
                    <w:autoSpaceDE w:val="0"/>
                    <w:autoSpaceDN w:val="0"/>
                    <w:jc w:val="center"/>
                    <w:textAlignment w:val="baseline"/>
                    <w:rPr>
                      <w:rFonts w:hint="eastAsia"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7</w:t>
                  </w:r>
                </w:p>
              </w:tc>
              <w:tc>
                <w:tcPr>
                  <w:tcW w:w="2700" w:type="dxa"/>
                </w:tcPr>
                <w:p>
                  <w:pPr>
                    <w:autoSpaceDE w:val="0"/>
                    <w:autoSpaceDN w:val="0"/>
                    <w:jc w:val="center"/>
                    <w:textAlignment w:val="baseline"/>
                    <w:rPr>
                      <w:rFonts w:ascii="Times New Roman" w:hAnsi="Times New Roman" w:eastAsia="宋体" w:cs="Times New Roman"/>
                      <w:color w:val="FF0000"/>
                    </w:rPr>
                  </w:pPr>
                  <w:r>
                    <w:rPr>
                      <w:rFonts w:hint="eastAsia" w:ascii="Times New Roman" w:hAnsi="Times New Roman" w:eastAsia="宋体" w:cs="Times New Roman"/>
                      <w:color w:val="FF0000"/>
                      <w:lang w:val="en-US" w:eastAsia="zh-CN"/>
                    </w:rPr>
                    <w:t>设计洪水频率</w:t>
                  </w:r>
                </w:p>
              </w:tc>
              <w:tc>
                <w:tcPr>
                  <w:tcW w:w="4343" w:type="dxa"/>
                </w:tcPr>
                <w:p>
                  <w:pPr>
                    <w:autoSpaceDE w:val="0"/>
                    <w:autoSpaceDN w:val="0"/>
                    <w:jc w:val="center"/>
                    <w:textAlignment w:val="baseline"/>
                    <w:rPr>
                      <w:rFonts w:ascii="Times New Roman" w:hAnsi="Times New Roman" w:eastAsia="宋体" w:cs="Times New Roman"/>
                      <w:color w:val="FF0000"/>
                    </w:rPr>
                  </w:pPr>
                  <w:r>
                    <w:rPr>
                      <w:rFonts w:hint="default" w:ascii="Times New Roman" w:hAnsi="Times New Roman" w:eastAsia="宋体" w:cs="Times New Roman"/>
                      <w:color w:val="FF0000"/>
                      <w:lang w:val="en-US" w:eastAsia="zh-CN"/>
                    </w:rPr>
                    <w:t>1/100</w:t>
                  </w:r>
                  <w:r>
                    <w:rPr>
                      <w:rFonts w:hint="eastAsia" w:ascii="Times New Roman" w:hAnsi="Times New Roman" w:eastAsia="宋体" w:cs="Times New Roman"/>
                      <w:color w:val="FF0000"/>
                      <w:lang w:val="en-US" w:eastAsia="zh-CN"/>
                    </w:rPr>
                    <w:t>，</w:t>
                  </w:r>
                  <w:r>
                    <w:rPr>
                      <w:rFonts w:hint="default" w:ascii="Times New Roman" w:hAnsi="Times New Roman" w:eastAsia="宋体" w:cs="Times New Roman"/>
                      <w:color w:val="FF0000"/>
                      <w:lang w:val="en-US" w:eastAsia="zh-CN"/>
                    </w:rPr>
                    <w:t>Q1%=10382m</w:t>
                  </w:r>
                  <w:r>
                    <w:rPr>
                      <w:rFonts w:hint="eastAsia" w:ascii="Times New Roman" w:hAnsi="Times New Roman" w:eastAsia="宋体" w:cs="Times New Roman"/>
                      <w:color w:val="FF0000"/>
                      <w:vertAlign w:val="superscript"/>
                      <w:lang w:val="en-US" w:eastAsia="zh-CN"/>
                    </w:rPr>
                    <w:t>3</w:t>
                  </w:r>
                  <w:r>
                    <w:rPr>
                      <w:rFonts w:hint="default" w:ascii="Times New Roman" w:hAnsi="Times New Roman" w:eastAsia="宋体" w:cs="Times New Roman"/>
                      <w:color w:val="FF0000"/>
                      <w:lang w:val="en-US"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Pr>
                <w:p>
                  <w:pPr>
                    <w:autoSpaceDE w:val="0"/>
                    <w:autoSpaceDN w:val="0"/>
                    <w:jc w:val="center"/>
                    <w:textAlignment w:val="baseline"/>
                    <w:rPr>
                      <w:rFonts w:hint="eastAsia"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8</w:t>
                  </w:r>
                </w:p>
              </w:tc>
              <w:tc>
                <w:tcPr>
                  <w:tcW w:w="2700" w:type="dxa"/>
                </w:tcPr>
                <w:p>
                  <w:pPr>
                    <w:autoSpaceDE w:val="0"/>
                    <w:autoSpaceDN w:val="0"/>
                    <w:jc w:val="center"/>
                    <w:textAlignment w:val="baseline"/>
                    <w:rPr>
                      <w:rFonts w:ascii="Times New Roman" w:hAnsi="Times New Roman" w:eastAsia="宋体" w:cs="Times New Roman"/>
                      <w:color w:val="FF0000"/>
                    </w:rPr>
                  </w:pPr>
                  <w:r>
                    <w:rPr>
                      <w:rFonts w:hint="eastAsia" w:ascii="Times New Roman" w:hAnsi="Times New Roman" w:eastAsia="宋体" w:cs="Times New Roman"/>
                      <w:color w:val="FF0000"/>
                      <w:lang w:val="en-US" w:eastAsia="zh-CN"/>
                    </w:rPr>
                    <w:t>桥梁设计基准期</w:t>
                  </w:r>
                </w:p>
              </w:tc>
              <w:tc>
                <w:tcPr>
                  <w:tcW w:w="4343" w:type="dxa"/>
                </w:tcPr>
                <w:p>
                  <w:pPr>
                    <w:autoSpaceDE w:val="0"/>
                    <w:autoSpaceDN w:val="0"/>
                    <w:jc w:val="center"/>
                    <w:textAlignment w:val="baseline"/>
                    <w:rPr>
                      <w:rFonts w:ascii="Times New Roman" w:hAnsi="Times New Roman" w:eastAsia="宋体" w:cs="Times New Roman"/>
                      <w:color w:val="FF0000"/>
                    </w:rPr>
                  </w:pPr>
                  <w:r>
                    <w:rPr>
                      <w:rFonts w:hint="default" w:ascii="Times New Roman" w:hAnsi="Times New Roman" w:eastAsia="宋体" w:cs="Times New Roman"/>
                      <w:color w:val="FF0000"/>
                      <w:lang w:val="en-US" w:eastAsia="zh-CN"/>
                    </w:rPr>
                    <w:t xml:space="preserve">100 </w:t>
                  </w:r>
                  <w:r>
                    <w:rPr>
                      <w:rFonts w:hint="eastAsia" w:ascii="Times New Roman" w:hAnsi="Times New Roman" w:eastAsia="宋体" w:cs="Times New Roman"/>
                      <w:color w:val="FF0000"/>
                      <w:lang w:val="en-US" w:eastAsia="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Pr>
                <w:p>
                  <w:pPr>
                    <w:autoSpaceDE w:val="0"/>
                    <w:autoSpaceDN w:val="0"/>
                    <w:jc w:val="center"/>
                    <w:textAlignment w:val="baseline"/>
                    <w:rPr>
                      <w:rFonts w:hint="eastAsia"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9</w:t>
                  </w:r>
                </w:p>
              </w:tc>
              <w:tc>
                <w:tcPr>
                  <w:tcW w:w="2700" w:type="dxa"/>
                </w:tcPr>
                <w:p>
                  <w:pPr>
                    <w:autoSpaceDE w:val="0"/>
                    <w:autoSpaceDN w:val="0"/>
                    <w:jc w:val="center"/>
                    <w:textAlignment w:val="baseline"/>
                    <w:rPr>
                      <w:rFonts w:ascii="Times New Roman" w:hAnsi="Times New Roman" w:eastAsia="宋体" w:cs="Times New Roman"/>
                      <w:color w:val="FF0000"/>
                    </w:rPr>
                  </w:pPr>
                  <w:r>
                    <w:rPr>
                      <w:rFonts w:hint="eastAsia" w:ascii="Times New Roman" w:hAnsi="Times New Roman" w:eastAsia="宋体" w:cs="Times New Roman"/>
                      <w:color w:val="FF0000"/>
                      <w:lang w:val="en-US" w:eastAsia="zh-CN"/>
                    </w:rPr>
                    <w:t>桥梁设计使用年限</w:t>
                  </w:r>
                </w:p>
              </w:tc>
              <w:tc>
                <w:tcPr>
                  <w:tcW w:w="4343" w:type="dxa"/>
                </w:tcPr>
                <w:p>
                  <w:pPr>
                    <w:autoSpaceDE w:val="0"/>
                    <w:autoSpaceDN w:val="0"/>
                    <w:jc w:val="center"/>
                    <w:textAlignment w:val="baseline"/>
                    <w:rPr>
                      <w:rFonts w:ascii="Times New Roman" w:hAnsi="Times New Roman" w:eastAsia="宋体" w:cs="Times New Roman"/>
                      <w:color w:val="FF0000"/>
                    </w:rPr>
                  </w:pPr>
                  <w:r>
                    <w:rPr>
                      <w:rFonts w:hint="eastAsia" w:ascii="Times New Roman" w:hAnsi="Times New Roman" w:eastAsia="宋体" w:cs="Times New Roman"/>
                      <w:color w:val="FF0000"/>
                      <w:lang w:val="en-US" w:eastAsia="zh-CN"/>
                    </w:rPr>
                    <w:t>主体结构</w:t>
                  </w:r>
                  <w:r>
                    <w:rPr>
                      <w:rFonts w:hint="default" w:ascii="Times New Roman" w:hAnsi="Times New Roman" w:eastAsia="宋体" w:cs="Times New Roman"/>
                      <w:color w:val="FF0000"/>
                      <w:lang w:val="en-US" w:eastAsia="zh-CN"/>
                    </w:rPr>
                    <w:t>100</w:t>
                  </w:r>
                  <w:r>
                    <w:rPr>
                      <w:rFonts w:hint="eastAsia" w:ascii="Times New Roman" w:hAnsi="Times New Roman" w:eastAsia="宋体" w:cs="Times New Roman"/>
                      <w:color w:val="FF0000"/>
                      <w:lang w:val="en-US" w:eastAsia="zh-CN"/>
                    </w:rPr>
                    <w:t>年，橡胶支座</w:t>
                  </w:r>
                  <w:r>
                    <w:rPr>
                      <w:rFonts w:hint="default" w:ascii="Times New Roman" w:hAnsi="Times New Roman" w:eastAsia="宋体" w:cs="Times New Roman"/>
                      <w:color w:val="FF0000"/>
                      <w:lang w:val="en-US" w:eastAsia="zh-CN"/>
                    </w:rPr>
                    <w:t>25</w:t>
                  </w:r>
                  <w:r>
                    <w:rPr>
                      <w:rFonts w:hint="eastAsia" w:ascii="Times New Roman" w:hAnsi="Times New Roman" w:eastAsia="宋体" w:cs="Times New Roman"/>
                      <w:color w:val="FF0000"/>
                      <w:lang w:val="en-US" w:eastAsia="zh-CN"/>
                    </w:rPr>
                    <w:t>年，伸缩缝</w:t>
                  </w:r>
                  <w:r>
                    <w:rPr>
                      <w:rFonts w:hint="default" w:ascii="Times New Roman" w:hAnsi="Times New Roman" w:eastAsia="宋体" w:cs="Times New Roman"/>
                      <w:color w:val="FF0000"/>
                      <w:lang w:val="en-US" w:eastAsia="zh-CN"/>
                    </w:rPr>
                    <w:t>15</w:t>
                  </w:r>
                  <w:r>
                    <w:rPr>
                      <w:rFonts w:hint="eastAsia" w:ascii="Times New Roman" w:hAnsi="Times New Roman" w:eastAsia="宋体" w:cs="Times New Roman"/>
                      <w:color w:val="FF0000"/>
                      <w:lang w:val="en-US" w:eastAsia="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Pr>
                <w:p>
                  <w:pPr>
                    <w:autoSpaceDE w:val="0"/>
                    <w:autoSpaceDN w:val="0"/>
                    <w:jc w:val="center"/>
                    <w:textAlignment w:val="baseline"/>
                    <w:rPr>
                      <w:rFonts w:hint="default"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10</w:t>
                  </w:r>
                </w:p>
              </w:tc>
              <w:tc>
                <w:tcPr>
                  <w:tcW w:w="2700" w:type="dxa"/>
                </w:tcPr>
                <w:p>
                  <w:pPr>
                    <w:autoSpaceDE w:val="0"/>
                    <w:autoSpaceDN w:val="0"/>
                    <w:jc w:val="center"/>
                    <w:textAlignment w:val="baseline"/>
                    <w:rPr>
                      <w:rFonts w:ascii="Times New Roman" w:hAnsi="Times New Roman" w:eastAsia="宋体" w:cs="Times New Roman"/>
                      <w:color w:val="FF0000"/>
                    </w:rPr>
                  </w:pPr>
                  <w:r>
                    <w:rPr>
                      <w:rFonts w:hint="eastAsia" w:ascii="Times New Roman" w:hAnsi="Times New Roman" w:eastAsia="宋体" w:cs="Times New Roman"/>
                      <w:color w:val="FF0000"/>
                      <w:lang w:val="en-US" w:eastAsia="zh-CN"/>
                    </w:rPr>
                    <w:t>桥梁纵坡</w:t>
                  </w:r>
                </w:p>
              </w:tc>
              <w:tc>
                <w:tcPr>
                  <w:tcW w:w="4343" w:type="dxa"/>
                </w:tcPr>
                <w:p>
                  <w:pPr>
                    <w:autoSpaceDE w:val="0"/>
                    <w:autoSpaceDN w:val="0"/>
                    <w:jc w:val="center"/>
                    <w:textAlignment w:val="baseline"/>
                    <w:rPr>
                      <w:rFonts w:ascii="Times New Roman" w:hAnsi="Times New Roman" w:eastAsia="宋体" w:cs="Times New Roman"/>
                      <w:color w:val="FF0000"/>
                    </w:rPr>
                  </w:pPr>
                  <w:r>
                    <w:rPr>
                      <w:rFonts w:hint="default" w:ascii="Times New Roman" w:hAnsi="Times New Roman" w:eastAsia="宋体" w:cs="Times New Roman"/>
                      <w:color w:val="FF0000"/>
                      <w:lang w:val="en-US" w:eastAsia="zh-CN"/>
                    </w:rPr>
                    <w:t>1.0%</w:t>
                  </w:r>
                  <w:r>
                    <w:rPr>
                      <w:rFonts w:hint="eastAsia" w:ascii="Times New Roman" w:hAnsi="Times New Roman" w:eastAsia="宋体" w:cs="Times New Roman"/>
                      <w:color w:val="FF000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Align w:val="center"/>
                </w:tcPr>
                <w:p>
                  <w:pPr>
                    <w:autoSpaceDE w:val="0"/>
                    <w:autoSpaceDN w:val="0"/>
                    <w:jc w:val="center"/>
                    <w:textAlignment w:val="baseline"/>
                    <w:rPr>
                      <w:rFonts w:hint="default"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11</w:t>
                  </w:r>
                </w:p>
              </w:tc>
              <w:tc>
                <w:tcPr>
                  <w:tcW w:w="2700" w:type="dxa"/>
                  <w:vAlign w:val="center"/>
                </w:tcPr>
                <w:p>
                  <w:pPr>
                    <w:autoSpaceDE w:val="0"/>
                    <w:autoSpaceDN w:val="0"/>
                    <w:jc w:val="center"/>
                    <w:textAlignment w:val="baseline"/>
                    <w:rPr>
                      <w:rFonts w:ascii="Times New Roman" w:hAnsi="Times New Roman" w:eastAsia="宋体" w:cs="Times New Roman"/>
                      <w:color w:val="FF0000"/>
                    </w:rPr>
                  </w:pPr>
                  <w:r>
                    <w:rPr>
                      <w:rFonts w:hint="eastAsia" w:ascii="Times New Roman" w:hAnsi="Times New Roman" w:eastAsia="宋体" w:cs="Times New Roman"/>
                      <w:color w:val="FF0000"/>
                      <w:lang w:val="en-US" w:eastAsia="zh-CN"/>
                    </w:rPr>
                    <w:t>抗震设计</w:t>
                  </w:r>
                </w:p>
              </w:tc>
              <w:tc>
                <w:tcPr>
                  <w:tcW w:w="4343" w:type="dxa"/>
                </w:tcPr>
                <w:p>
                  <w:pPr>
                    <w:autoSpaceDE w:val="0"/>
                    <w:autoSpaceDN w:val="0"/>
                    <w:jc w:val="center"/>
                    <w:textAlignment w:val="baseline"/>
                    <w:rPr>
                      <w:rFonts w:ascii="Times New Roman" w:hAnsi="Times New Roman" w:eastAsia="宋体" w:cs="Times New Roman"/>
                      <w:color w:val="FF0000"/>
                    </w:rPr>
                  </w:pPr>
                  <w:r>
                    <w:rPr>
                      <w:rFonts w:hint="eastAsia" w:ascii="Times New Roman" w:hAnsi="Times New Roman" w:eastAsia="宋体" w:cs="Times New Roman"/>
                      <w:color w:val="FF0000"/>
                      <w:lang w:val="en-US" w:eastAsia="zh-CN"/>
                    </w:rPr>
                    <w:t>地震设防烈度</w:t>
                  </w:r>
                  <w:r>
                    <w:rPr>
                      <w:rFonts w:hint="default" w:ascii="Times New Roman" w:hAnsi="Times New Roman" w:eastAsia="宋体" w:cs="Times New Roman"/>
                      <w:color w:val="FF0000"/>
                      <w:lang w:val="en-US" w:eastAsia="zh-CN"/>
                    </w:rPr>
                    <w:t>6</w:t>
                  </w:r>
                  <w:r>
                    <w:rPr>
                      <w:rFonts w:hint="eastAsia" w:ascii="Times New Roman" w:hAnsi="Times New Roman" w:eastAsia="宋体" w:cs="Times New Roman"/>
                      <w:color w:val="FF0000"/>
                      <w:lang w:val="en-US" w:eastAsia="zh-CN"/>
                    </w:rPr>
                    <w:t xml:space="preserve">度，地震动峰值加速度为 </w:t>
                  </w:r>
                  <w:r>
                    <w:rPr>
                      <w:rFonts w:hint="default" w:ascii="Times New Roman" w:hAnsi="Times New Roman" w:eastAsia="宋体" w:cs="Times New Roman"/>
                      <w:color w:val="FF0000"/>
                      <w:lang w:val="en-US" w:eastAsia="zh-CN"/>
                    </w:rPr>
                    <w:t>0.05g</w:t>
                  </w:r>
                  <w:r>
                    <w:rPr>
                      <w:rFonts w:hint="eastAsia" w:ascii="Times New Roman" w:hAnsi="Times New Roman" w:eastAsia="宋体" w:cs="Times New Roman"/>
                      <w:color w:val="FF0000"/>
                      <w:lang w:val="en-US" w:eastAsia="zh-CN"/>
                    </w:rPr>
                    <w:t>。桥梁抗震设防分类按照《城市桥梁抗震设计规范》为丙类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Pr>
                <w:p>
                  <w:pPr>
                    <w:autoSpaceDE w:val="0"/>
                    <w:autoSpaceDN w:val="0"/>
                    <w:jc w:val="center"/>
                    <w:textAlignment w:val="baseline"/>
                    <w:rPr>
                      <w:rFonts w:hint="default"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12</w:t>
                  </w:r>
                </w:p>
              </w:tc>
              <w:tc>
                <w:tcPr>
                  <w:tcW w:w="2700" w:type="dxa"/>
                </w:tcPr>
                <w:p>
                  <w:pPr>
                    <w:autoSpaceDE w:val="0"/>
                    <w:autoSpaceDN w:val="0"/>
                    <w:jc w:val="center"/>
                    <w:textAlignment w:val="baseline"/>
                    <w:rPr>
                      <w:rFonts w:ascii="Times New Roman" w:hAnsi="Times New Roman" w:eastAsia="宋体" w:cs="Times New Roman"/>
                      <w:color w:val="FF0000"/>
                    </w:rPr>
                  </w:pPr>
                  <w:r>
                    <w:rPr>
                      <w:rFonts w:hint="eastAsia" w:ascii="Times New Roman" w:hAnsi="Times New Roman" w:eastAsia="宋体" w:cs="Times New Roman"/>
                      <w:color w:val="FF0000"/>
                      <w:lang w:val="en-US" w:eastAsia="zh-CN"/>
                    </w:rPr>
                    <w:t>道路等级</w:t>
                  </w:r>
                </w:p>
              </w:tc>
              <w:tc>
                <w:tcPr>
                  <w:tcW w:w="4343" w:type="dxa"/>
                </w:tcPr>
                <w:p>
                  <w:pPr>
                    <w:autoSpaceDE w:val="0"/>
                    <w:autoSpaceDN w:val="0"/>
                    <w:jc w:val="center"/>
                    <w:textAlignment w:val="baseline"/>
                    <w:rPr>
                      <w:rFonts w:ascii="Times New Roman" w:hAnsi="Times New Roman" w:eastAsia="宋体" w:cs="Times New Roman"/>
                      <w:color w:val="FF0000"/>
                    </w:rPr>
                  </w:pPr>
                  <w:r>
                    <w:rPr>
                      <w:rFonts w:hint="eastAsia" w:ascii="Times New Roman" w:hAnsi="Times New Roman" w:eastAsia="宋体" w:cs="Times New Roman"/>
                      <w:color w:val="FF0000"/>
                      <w:lang w:val="en-US" w:eastAsia="zh-CN"/>
                    </w:rPr>
                    <w:t>城市主干路，双向四车道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Pr>
                <w:p>
                  <w:pPr>
                    <w:autoSpaceDE w:val="0"/>
                    <w:autoSpaceDN w:val="0"/>
                    <w:jc w:val="center"/>
                    <w:textAlignment w:val="baseline"/>
                    <w:rPr>
                      <w:rFonts w:hint="default"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13</w:t>
                  </w:r>
                </w:p>
              </w:tc>
              <w:tc>
                <w:tcPr>
                  <w:tcW w:w="2700" w:type="dxa"/>
                </w:tcPr>
                <w:p>
                  <w:pPr>
                    <w:autoSpaceDE w:val="0"/>
                    <w:autoSpaceDN w:val="0"/>
                    <w:jc w:val="center"/>
                    <w:textAlignment w:val="baseline"/>
                    <w:rPr>
                      <w:rFonts w:ascii="Times New Roman" w:hAnsi="Times New Roman" w:eastAsia="宋体" w:cs="Times New Roman"/>
                      <w:color w:val="FF0000"/>
                    </w:rPr>
                  </w:pPr>
                  <w:r>
                    <w:rPr>
                      <w:rFonts w:hint="eastAsia" w:ascii="Times New Roman" w:hAnsi="Times New Roman" w:eastAsia="宋体" w:cs="Times New Roman"/>
                      <w:color w:val="FF0000"/>
                      <w:lang w:val="en-US" w:eastAsia="zh-CN"/>
                    </w:rPr>
                    <w:t>设计速度</w:t>
                  </w:r>
                </w:p>
              </w:tc>
              <w:tc>
                <w:tcPr>
                  <w:tcW w:w="4343" w:type="dxa"/>
                </w:tcPr>
                <w:p>
                  <w:pPr>
                    <w:autoSpaceDE w:val="0"/>
                    <w:autoSpaceDN w:val="0"/>
                    <w:jc w:val="center"/>
                    <w:textAlignment w:val="baseline"/>
                    <w:rPr>
                      <w:rFonts w:ascii="Times New Roman" w:hAnsi="Times New Roman" w:eastAsia="宋体" w:cs="Times New Roman"/>
                      <w:color w:val="FF0000"/>
                    </w:rPr>
                  </w:pPr>
                  <w:r>
                    <w:rPr>
                      <w:rFonts w:hint="default" w:ascii="Times New Roman" w:hAnsi="Times New Roman" w:eastAsia="宋体" w:cs="Times New Roman"/>
                      <w:color w:val="FF0000"/>
                      <w:lang w:val="en-US" w:eastAsia="zh-CN"/>
                    </w:rPr>
                    <w:t>40km/h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Align w:val="center"/>
                </w:tcPr>
                <w:p>
                  <w:pPr>
                    <w:autoSpaceDE w:val="0"/>
                    <w:autoSpaceDN w:val="0"/>
                    <w:jc w:val="center"/>
                    <w:textAlignment w:val="baseline"/>
                    <w:rPr>
                      <w:rFonts w:hint="default"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14</w:t>
                  </w:r>
                </w:p>
              </w:tc>
              <w:tc>
                <w:tcPr>
                  <w:tcW w:w="2700" w:type="dxa"/>
                  <w:vAlign w:val="center"/>
                </w:tcPr>
                <w:p>
                  <w:pPr>
                    <w:autoSpaceDE w:val="0"/>
                    <w:autoSpaceDN w:val="0"/>
                    <w:jc w:val="center"/>
                    <w:textAlignment w:val="baseline"/>
                    <w:rPr>
                      <w:rFonts w:ascii="Times New Roman" w:hAnsi="Times New Roman" w:eastAsia="宋体" w:cs="Times New Roman"/>
                      <w:color w:val="FF0000"/>
                    </w:rPr>
                  </w:pPr>
                  <w:r>
                    <w:rPr>
                      <w:rFonts w:hint="eastAsia" w:ascii="Times New Roman" w:hAnsi="Times New Roman" w:eastAsia="宋体" w:cs="Times New Roman"/>
                      <w:color w:val="FF0000"/>
                      <w:lang w:val="en-US" w:eastAsia="zh-CN"/>
                    </w:rPr>
                    <w:t>道路交通量达到饱和状态时设计年限</w:t>
                  </w:r>
                </w:p>
              </w:tc>
              <w:tc>
                <w:tcPr>
                  <w:tcW w:w="4343" w:type="dxa"/>
                  <w:vAlign w:val="center"/>
                </w:tcPr>
                <w:p>
                  <w:pPr>
                    <w:autoSpaceDE w:val="0"/>
                    <w:autoSpaceDN w:val="0"/>
                    <w:jc w:val="center"/>
                    <w:textAlignment w:val="baseline"/>
                    <w:rPr>
                      <w:rFonts w:ascii="Times New Roman" w:hAnsi="Times New Roman" w:eastAsia="宋体" w:cs="Times New Roman"/>
                      <w:color w:val="FF0000"/>
                    </w:rPr>
                  </w:pPr>
                  <w:r>
                    <w:rPr>
                      <w:rFonts w:hint="default" w:ascii="Times New Roman" w:hAnsi="Times New Roman" w:eastAsia="宋体" w:cs="Times New Roman"/>
                      <w:color w:val="FF0000"/>
                      <w:lang w:val="en-US" w:eastAsia="zh-CN"/>
                    </w:rPr>
                    <w:t>20</w:t>
                  </w:r>
                  <w:r>
                    <w:rPr>
                      <w:rFonts w:hint="eastAsia" w:ascii="Times New Roman" w:hAnsi="Times New Roman" w:eastAsia="宋体" w:cs="Times New Roman"/>
                      <w:color w:val="FF0000"/>
                      <w:lang w:val="en-US" w:eastAsia="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Align w:val="center"/>
                </w:tcPr>
                <w:p>
                  <w:pPr>
                    <w:autoSpaceDE w:val="0"/>
                    <w:autoSpaceDN w:val="0"/>
                    <w:jc w:val="center"/>
                    <w:textAlignment w:val="baseline"/>
                    <w:rPr>
                      <w:rFonts w:hint="default"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15</w:t>
                  </w:r>
                </w:p>
              </w:tc>
              <w:tc>
                <w:tcPr>
                  <w:tcW w:w="2700" w:type="dxa"/>
                  <w:vAlign w:val="center"/>
                </w:tcPr>
                <w:p>
                  <w:pPr>
                    <w:autoSpaceDE w:val="0"/>
                    <w:autoSpaceDN w:val="0"/>
                    <w:jc w:val="center"/>
                    <w:textAlignment w:val="baseline"/>
                    <w:rPr>
                      <w:rFonts w:ascii="Times New Roman" w:hAnsi="Times New Roman" w:eastAsia="宋体" w:cs="Times New Roman"/>
                      <w:color w:val="FF0000"/>
                    </w:rPr>
                  </w:pPr>
                  <w:r>
                    <w:rPr>
                      <w:rFonts w:hint="eastAsia" w:ascii="Times New Roman" w:hAnsi="Times New Roman" w:eastAsia="宋体" w:cs="Times New Roman"/>
                      <w:color w:val="FF0000"/>
                      <w:lang w:val="en-US" w:eastAsia="zh-CN"/>
                    </w:rPr>
                    <w:t>道路交通安全和管理设施等级</w:t>
                  </w:r>
                </w:p>
              </w:tc>
              <w:tc>
                <w:tcPr>
                  <w:tcW w:w="4343" w:type="dxa"/>
                  <w:vAlign w:val="center"/>
                </w:tcPr>
                <w:p>
                  <w:pPr>
                    <w:autoSpaceDE w:val="0"/>
                    <w:autoSpaceDN w:val="0"/>
                    <w:jc w:val="center"/>
                    <w:textAlignment w:val="baseline"/>
                    <w:rPr>
                      <w:rFonts w:ascii="Times New Roman" w:hAnsi="Times New Roman" w:eastAsia="宋体" w:cs="Times New Roman"/>
                      <w:color w:val="FF0000"/>
                    </w:rPr>
                  </w:pPr>
                  <w:r>
                    <w:rPr>
                      <w:rFonts w:hint="default" w:ascii="Times New Roman" w:hAnsi="Times New Roman" w:eastAsia="宋体" w:cs="Times New Roman"/>
                      <w:color w:val="FF0000"/>
                      <w:lang w:val="en-US" w:eastAsia="zh-CN"/>
                    </w:rPr>
                    <w:t>B</w:t>
                  </w:r>
                  <w:r>
                    <w:rPr>
                      <w:rFonts w:hint="eastAsia" w:ascii="Times New Roman" w:hAnsi="Times New Roman" w:eastAsia="宋体" w:cs="Times New Roman"/>
                      <w:color w:val="FF0000"/>
                      <w:lang w:val="en-US" w:eastAsia="zh-CN"/>
                    </w:rPr>
                    <w:t>级</w:t>
                  </w:r>
                </w:p>
              </w:tc>
            </w:tr>
          </w:tbl>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2.</w:t>
            </w:r>
            <w:r>
              <w:rPr>
                <w:rFonts w:hint="eastAsia" w:cs="Times New Roman"/>
                <w:color w:val="auto"/>
                <w:sz w:val="24"/>
                <w:lang w:val="en-US" w:eastAsia="zh-CN"/>
              </w:rPr>
              <w:t>2</w:t>
            </w:r>
            <w:r>
              <w:rPr>
                <w:rFonts w:hint="eastAsia" w:ascii="Times New Roman" w:hAnsi="Times New Roman" w:eastAsia="宋体" w:cs="Times New Roman"/>
                <w:color w:val="auto"/>
                <w:sz w:val="24"/>
                <w:lang w:val="en-US" w:eastAsia="zh-CN"/>
              </w:rPr>
              <w:t>主要工程量</w:t>
            </w:r>
          </w:p>
          <w:p>
            <w:pPr>
              <w:pStyle w:val="51"/>
              <w:ind w:right="-1"/>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表</w:t>
            </w:r>
            <w:r>
              <w:rPr>
                <w:rFonts w:hint="eastAsia" w:ascii="Times New Roman" w:hAnsi="Times New Roman" w:eastAsia="宋体" w:cs="Times New Roman"/>
                <w:color w:val="auto"/>
                <w:lang w:val="en-US" w:eastAsia="zh-CN"/>
              </w:rPr>
              <w:t>2-</w:t>
            </w:r>
            <w:r>
              <w:rPr>
                <w:rFonts w:hint="eastAsia" w:cs="Times New Roman"/>
                <w:color w:val="auto"/>
                <w:lang w:val="en-US" w:eastAsia="zh-CN"/>
              </w:rPr>
              <w:t>5</w:t>
            </w:r>
            <w:r>
              <w:rPr>
                <w:rFonts w:hint="eastAsia" w:ascii="Times New Roman" w:hAnsi="Times New Roman" w:eastAsia="宋体" w:cs="Times New Roman"/>
                <w:color w:val="auto"/>
                <w:lang w:eastAsia="zh-CN"/>
              </w:rPr>
              <w:t>道路工程量一览表</w:t>
            </w:r>
          </w:p>
          <w:tbl>
            <w:tblPr>
              <w:tblStyle w:val="26"/>
              <w:tblW w:w="785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05"/>
              <w:gridCol w:w="4021"/>
              <w:gridCol w:w="897"/>
              <w:gridCol w:w="10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工程项目</w:t>
                  </w:r>
                </w:p>
              </w:tc>
              <w:tc>
                <w:tcPr>
                  <w:tcW w:w="2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主要工程数量表</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单位</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13" w:type="pct"/>
                  <w:vMerge w:val="restart"/>
                  <w:tcBorders>
                    <w:top w:val="single" w:color="000000" w:sz="4" w:space="0"/>
                    <w:left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道路概况</w:t>
                  </w:r>
                </w:p>
              </w:tc>
              <w:tc>
                <w:tcPr>
                  <w:tcW w:w="2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道路长度</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m</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408.15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13" w:type="pct"/>
                  <w:vMerge w:val="continue"/>
                  <w:tcBorders>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p>
              </w:tc>
              <w:tc>
                <w:tcPr>
                  <w:tcW w:w="2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设计速度</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Km/h</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拆除工程</w:t>
                  </w:r>
                </w:p>
              </w:tc>
              <w:tc>
                <w:tcPr>
                  <w:tcW w:w="2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拆除沥青混凝土路面面层11cm</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6943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p>
              </w:tc>
              <w:tc>
                <w:tcPr>
                  <w:tcW w:w="2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拆除旧路50cm基层</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3</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1240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p>
              </w:tc>
              <w:tc>
                <w:tcPr>
                  <w:tcW w:w="2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拆除现状人行道砖(4cm)</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1516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2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p>
              </w:tc>
              <w:tc>
                <w:tcPr>
                  <w:tcW w:w="2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拆除现状人行道基层30cm</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p>
              </w:tc>
              <w:tc>
                <w:tcPr>
                  <w:tcW w:w="2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拆除绿化带</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p>
              </w:tc>
              <w:tc>
                <w:tcPr>
                  <w:tcW w:w="2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拆除现状甲型道牙</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m</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739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地基处理</w:t>
                  </w:r>
                </w:p>
              </w:tc>
              <w:tc>
                <w:tcPr>
                  <w:tcW w:w="2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路床填筑天然砂砾</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3</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4802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8" w:hRule="atLeast"/>
                <w:jc w:val="center"/>
              </w:trPr>
              <w:tc>
                <w:tcPr>
                  <w:tcW w:w="121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机动车道</w:t>
                  </w:r>
                </w:p>
              </w:tc>
              <w:tc>
                <w:tcPr>
                  <w:tcW w:w="2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4cm细粒式沥青混凝土(AC-13C)</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7259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p>
              </w:tc>
              <w:tc>
                <w:tcPr>
                  <w:tcW w:w="2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黏层沥青0.5L/m2(乳化沥青)</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7259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p>
              </w:tc>
              <w:tc>
                <w:tcPr>
                  <w:tcW w:w="2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7cm中粒式沥青混凝土(AC-20)</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7259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p>
              </w:tc>
              <w:tc>
                <w:tcPr>
                  <w:tcW w:w="2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1cm乳化沥青碎石封层</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7259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p>
              </w:tc>
              <w:tc>
                <w:tcPr>
                  <w:tcW w:w="2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透层沥青1L/m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val="en-US" w:eastAsia="zh-CN"/>
                    </w:rPr>
                    <w:t>(乳化沥青)</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7259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p>
              </w:tc>
              <w:tc>
                <w:tcPr>
                  <w:tcW w:w="2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18cm水泥稳定碎石(5%)</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7622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p>
              </w:tc>
              <w:tc>
                <w:tcPr>
                  <w:tcW w:w="2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18cm水泥稳定碎石(4%)</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7622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p>
              </w:tc>
              <w:tc>
                <w:tcPr>
                  <w:tcW w:w="2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20cm天然砂砾</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8003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1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路缘石</w:t>
                  </w:r>
                </w:p>
              </w:tc>
              <w:tc>
                <w:tcPr>
                  <w:tcW w:w="2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花岗岩甲型道牙(79*35*15cm)</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m</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739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p>
              </w:tc>
              <w:tc>
                <w:tcPr>
                  <w:tcW w:w="2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花岗岩乙型道牙(89*30*10cm)</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m</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p>
              </w:tc>
              <w:tc>
                <w:tcPr>
                  <w:tcW w:w="2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C15水泥混凝土靠背</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3</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p>
              </w:tc>
              <w:tc>
                <w:tcPr>
                  <w:tcW w:w="2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2cm 1:2水泥砂浆</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人行道</w:t>
                  </w:r>
                </w:p>
              </w:tc>
              <w:tc>
                <w:tcPr>
                  <w:tcW w:w="2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4cm花岗岩人行道砖</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1908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p>
              </w:tc>
              <w:tc>
                <w:tcPr>
                  <w:tcW w:w="2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3cm 1:2水泥砂浆</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1908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p>
              </w:tc>
              <w:tc>
                <w:tcPr>
                  <w:tcW w:w="2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10cm C20水泥混疑土</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1908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p>
              </w:tc>
              <w:tc>
                <w:tcPr>
                  <w:tcW w:w="2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15cm水泥稳定碎石 (5%)</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绿化工程</w:t>
                  </w:r>
                </w:p>
              </w:tc>
              <w:tc>
                <w:tcPr>
                  <w:tcW w:w="2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绿化带</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2246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12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p>
              </w:tc>
              <w:tc>
                <w:tcPr>
                  <w:tcW w:w="2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耕植土回填</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3</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p>
              </w:tc>
              <w:tc>
                <w:tcPr>
                  <w:tcW w:w="2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防水土工布</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1740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新旧路基搭接</w:t>
                  </w:r>
                </w:p>
              </w:tc>
              <w:tc>
                <w:tcPr>
                  <w:tcW w:w="2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玻纤格栅</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3" w:type="pct"/>
                  <w:vMerge w:val="restart"/>
                  <w:tcBorders>
                    <w:top w:val="single" w:color="000000" w:sz="4" w:space="0"/>
                    <w:left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检查井改造</w:t>
                  </w:r>
                </w:p>
              </w:tc>
              <w:tc>
                <w:tcPr>
                  <w:tcW w:w="2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雨水口提升</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个</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13" w:type="pct"/>
                  <w:vMerge w:val="continue"/>
                  <w:tcBorders>
                    <w:left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p>
              </w:tc>
              <w:tc>
                <w:tcPr>
                  <w:tcW w:w="2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检查井井筒提升</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个</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213" w:type="pct"/>
                  <w:tcBorders>
                    <w:left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桥梁工程</w:t>
                  </w:r>
                </w:p>
              </w:tc>
              <w:tc>
                <w:tcPr>
                  <w:tcW w:w="2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预应力混凝土小箱梁</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m</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6*40</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cs="Times New Roman"/>
                <w:b/>
                <w:color w:val="FF0000"/>
                <w:sz w:val="24"/>
              </w:rPr>
            </w:pPr>
            <w:bookmarkStart w:id="7" w:name="_Toc372547217"/>
            <w:bookmarkStart w:id="8" w:name="_Toc376963766"/>
            <w:bookmarkStart w:id="9" w:name="_Toc376963942"/>
            <w:bookmarkStart w:id="10" w:name="_Toc376866765"/>
            <w:bookmarkStart w:id="11" w:name="_Toc449689920"/>
            <w:bookmarkStart w:id="12" w:name="_Toc376945387"/>
            <w:bookmarkStart w:id="13" w:name="_Toc393976983"/>
            <w:bookmarkStart w:id="14" w:name="_Toc376593811"/>
            <w:bookmarkStart w:id="15" w:name="_Toc376947421"/>
            <w:r>
              <w:rPr>
                <w:rFonts w:hint="eastAsia" w:ascii="Times New Roman" w:hAnsi="Times New Roman" w:cs="Times New Roman"/>
                <w:b/>
                <w:color w:val="FF0000"/>
                <w:sz w:val="24"/>
                <w:lang w:val="en-US" w:eastAsia="zh-CN"/>
              </w:rPr>
              <w:t>2.3</w:t>
            </w:r>
            <w:r>
              <w:rPr>
                <w:rFonts w:hint="default" w:ascii="Times New Roman" w:hAnsi="Times New Roman" w:cs="Times New Roman"/>
                <w:b/>
                <w:color w:val="FF0000"/>
                <w:sz w:val="24"/>
              </w:rPr>
              <w:t>交通量</w:t>
            </w:r>
          </w:p>
          <w:p>
            <w:pPr>
              <w:adjustRightInd w:val="0"/>
              <w:spacing w:line="360" w:lineRule="auto"/>
              <w:ind w:firstLine="480" w:firstLineChars="200"/>
              <w:rPr>
                <w:rFonts w:hint="default" w:ascii="Times New Roman" w:hAnsi="Times New Roman" w:cs="Times New Roman"/>
                <w:color w:val="FF0000"/>
                <w:sz w:val="24"/>
              </w:rPr>
            </w:pPr>
            <w:r>
              <w:rPr>
                <w:rFonts w:hint="eastAsia" w:ascii="Times New Roman" w:hAnsi="Times New Roman" w:cs="Times New Roman"/>
                <w:color w:val="FF0000"/>
                <w:sz w:val="24"/>
                <w:lang w:val="en-US" w:eastAsia="zh-CN"/>
              </w:rPr>
              <w:t>本</w:t>
            </w:r>
            <w:r>
              <w:rPr>
                <w:rFonts w:hint="default" w:ascii="Times New Roman" w:hAnsi="Times New Roman" w:cs="Times New Roman"/>
                <w:color w:val="FF0000"/>
                <w:sz w:val="24"/>
              </w:rPr>
              <w:t>项目</w:t>
            </w:r>
            <w:r>
              <w:rPr>
                <w:rFonts w:hint="eastAsia" w:ascii="Times New Roman" w:hAnsi="Times New Roman" w:cs="Times New Roman"/>
                <w:color w:val="FF0000"/>
                <w:sz w:val="24"/>
                <w:lang w:val="en-US" w:eastAsia="zh-CN"/>
              </w:rPr>
              <w:t>计划</w:t>
            </w:r>
            <w:r>
              <w:rPr>
                <w:rFonts w:hint="default" w:ascii="Times New Roman" w:hAnsi="Times New Roman" w:cs="Times New Roman"/>
                <w:color w:val="FF0000"/>
                <w:sz w:val="24"/>
              </w:rPr>
              <w:t>于202</w:t>
            </w:r>
            <w:r>
              <w:rPr>
                <w:rFonts w:hint="eastAsia" w:ascii="Times New Roman" w:hAnsi="Times New Roman" w:cs="Times New Roman"/>
                <w:color w:val="FF0000"/>
                <w:sz w:val="24"/>
                <w:lang w:val="en-US" w:eastAsia="zh-CN"/>
              </w:rPr>
              <w:t>3</w:t>
            </w:r>
            <w:r>
              <w:rPr>
                <w:rFonts w:hint="default" w:ascii="Times New Roman" w:hAnsi="Times New Roman" w:cs="Times New Roman"/>
                <w:color w:val="FF0000"/>
                <w:sz w:val="24"/>
              </w:rPr>
              <w:t>年</w:t>
            </w:r>
            <w:r>
              <w:rPr>
                <w:rFonts w:hint="eastAsia" w:ascii="Times New Roman" w:hAnsi="Times New Roman" w:cs="Times New Roman"/>
                <w:color w:val="FF0000"/>
                <w:sz w:val="24"/>
                <w:lang w:val="en-US" w:eastAsia="zh-CN"/>
              </w:rPr>
              <w:t>12</w:t>
            </w:r>
            <w:r>
              <w:rPr>
                <w:rFonts w:hint="default" w:ascii="Times New Roman" w:hAnsi="Times New Roman" w:cs="Times New Roman"/>
                <w:color w:val="FF0000"/>
                <w:sz w:val="24"/>
              </w:rPr>
              <w:t>月建成</w:t>
            </w:r>
            <w:r>
              <w:rPr>
                <w:rFonts w:hint="eastAsia" w:ascii="Times New Roman" w:hAnsi="Times New Roman" w:cs="Times New Roman"/>
                <w:color w:val="FF0000"/>
                <w:sz w:val="24"/>
                <w:lang w:val="en-US" w:eastAsia="zh-CN"/>
              </w:rPr>
              <w:t>通车</w:t>
            </w:r>
            <w:r>
              <w:rPr>
                <w:rFonts w:hint="default" w:ascii="Times New Roman" w:hAnsi="Times New Roman" w:cs="Times New Roman"/>
                <w:color w:val="FF0000"/>
                <w:sz w:val="24"/>
              </w:rPr>
              <w:t>，根据可研对路网节点交通量调查，结合项目实际情况，折算得出建成后交通量预测结果见表</w:t>
            </w:r>
            <w:r>
              <w:rPr>
                <w:rFonts w:hint="eastAsia" w:ascii="Times New Roman" w:hAnsi="Times New Roman" w:cs="Times New Roman"/>
                <w:color w:val="FF0000"/>
                <w:sz w:val="24"/>
                <w:lang w:val="en-US" w:eastAsia="zh-CN"/>
              </w:rPr>
              <w:t>2-6</w:t>
            </w:r>
            <w:r>
              <w:rPr>
                <w:rFonts w:hint="default" w:ascii="Times New Roman" w:hAnsi="Times New Roman" w:cs="Times New Roman"/>
                <w:color w:val="FF0000"/>
                <w:sz w:val="24"/>
              </w:rPr>
              <w:t>。</w:t>
            </w:r>
          </w:p>
          <w:p>
            <w:pPr>
              <w:adjustRightInd w:val="0"/>
              <w:spacing w:line="240" w:lineRule="auto"/>
              <w:jc w:val="center"/>
              <w:textAlignment w:val="baseline"/>
              <w:rPr>
                <w:rFonts w:hint="eastAsia" w:ascii="Times New Roman" w:hAnsi="Times New Roman" w:eastAsia="宋体" w:cs="Times New Roman"/>
                <w:color w:val="FF0000"/>
                <w:kern w:val="0"/>
                <w:sz w:val="21"/>
                <w:szCs w:val="21"/>
                <w:lang w:val="en-US" w:eastAsia="zh-CN"/>
              </w:rPr>
            </w:pPr>
            <w:r>
              <w:rPr>
                <w:rFonts w:hint="default" w:ascii="Times New Roman" w:hAnsi="Times New Roman" w:cs="Times New Roman"/>
                <w:b/>
                <w:color w:val="FF0000"/>
                <w:kern w:val="0"/>
                <w:sz w:val="21"/>
                <w:szCs w:val="21"/>
                <w:lang w:val="zh-CN"/>
              </w:rPr>
              <w:t>表</w:t>
            </w:r>
            <w:r>
              <w:rPr>
                <w:rFonts w:hint="eastAsia" w:ascii="Times New Roman" w:hAnsi="Times New Roman" w:cs="Times New Roman"/>
                <w:b/>
                <w:color w:val="FF0000"/>
                <w:kern w:val="0"/>
                <w:sz w:val="21"/>
                <w:szCs w:val="21"/>
                <w:lang w:val="en-US" w:eastAsia="zh-CN"/>
              </w:rPr>
              <w:t>2-6</w:t>
            </w:r>
            <w:r>
              <w:rPr>
                <w:rFonts w:hint="default" w:ascii="Times New Roman" w:hAnsi="Times New Roman" w:cs="Times New Roman"/>
                <w:b/>
                <w:color w:val="FF0000"/>
                <w:kern w:val="0"/>
                <w:sz w:val="21"/>
                <w:szCs w:val="21"/>
                <w:lang w:val="zh-CN"/>
              </w:rPr>
              <w:t xml:space="preserve">        汇总交通量表          </w:t>
            </w:r>
            <w:r>
              <w:rPr>
                <w:rFonts w:hint="eastAsia" w:ascii="Times New Roman" w:hAnsi="Times New Roman" w:cs="Times New Roman"/>
                <w:b/>
                <w:color w:val="FF0000"/>
                <w:kern w:val="0"/>
                <w:sz w:val="21"/>
                <w:szCs w:val="21"/>
                <w:lang w:val="en-US" w:eastAsia="zh-CN"/>
              </w:rPr>
              <w:t>单位：</w:t>
            </w:r>
            <w:r>
              <w:rPr>
                <w:rFonts w:hint="default" w:ascii="Times New Roman" w:hAnsi="Times New Roman" w:cs="Times New Roman"/>
                <w:b/>
                <w:color w:val="FF0000"/>
                <w:kern w:val="0"/>
                <w:sz w:val="21"/>
                <w:szCs w:val="21"/>
                <w:lang w:val="zh-CN"/>
              </w:rPr>
              <w:t>pcu/</w:t>
            </w:r>
            <w:r>
              <w:rPr>
                <w:rFonts w:hint="eastAsia" w:ascii="Times New Roman" w:hAnsi="Times New Roman" w:cs="Times New Roman"/>
                <w:b/>
                <w:color w:val="FF0000"/>
                <w:kern w:val="0"/>
                <w:sz w:val="21"/>
                <w:szCs w:val="21"/>
                <w:lang w:val="en-US" w:eastAsia="zh-CN"/>
              </w:rPr>
              <w:t>h</w:t>
            </w:r>
          </w:p>
          <w:tbl>
            <w:tblPr>
              <w:tblStyle w:val="26"/>
              <w:tblW w:w="49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100"/>
              <w:gridCol w:w="983"/>
              <w:gridCol w:w="861"/>
              <w:gridCol w:w="820"/>
              <w:gridCol w:w="825"/>
              <w:gridCol w:w="956"/>
              <w:gridCol w:w="963"/>
              <w:gridCol w:w="1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0" w:hRule="atLeast"/>
                <w:jc w:val="center"/>
              </w:trPr>
              <w:tc>
                <w:tcPr>
                  <w:tcW w:w="704" w:type="pct"/>
                  <w:vMerge w:val="restart"/>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FF0000"/>
                      <w:kern w:val="0"/>
                      <w:sz w:val="21"/>
                      <w:szCs w:val="21"/>
                      <w:lang w:val="zh-CN"/>
                    </w:rPr>
                  </w:pPr>
                  <w:r>
                    <w:rPr>
                      <w:rFonts w:hint="default" w:ascii="Times New Roman" w:hAnsi="Times New Roman" w:cs="Times New Roman"/>
                      <w:color w:val="FF0000"/>
                      <w:kern w:val="0"/>
                      <w:sz w:val="21"/>
                      <w:szCs w:val="21"/>
                      <w:lang w:val="zh-CN"/>
                    </w:rPr>
                    <w:t>路段</w:t>
                  </w:r>
                </w:p>
                <w:p>
                  <w:pPr>
                    <w:autoSpaceDE w:val="0"/>
                    <w:autoSpaceDN w:val="0"/>
                    <w:adjustRightInd w:val="0"/>
                    <w:snapToGrid w:val="0"/>
                    <w:jc w:val="center"/>
                    <w:rPr>
                      <w:rFonts w:hint="default" w:ascii="Times New Roman" w:hAnsi="Times New Roman" w:cs="Times New Roman"/>
                      <w:color w:val="FF0000"/>
                      <w:kern w:val="0"/>
                      <w:sz w:val="21"/>
                      <w:szCs w:val="21"/>
                      <w:lang w:val="zh-CN"/>
                    </w:rPr>
                  </w:pPr>
                  <w:r>
                    <w:rPr>
                      <w:rFonts w:hint="default" w:ascii="Times New Roman" w:hAnsi="Times New Roman" w:cs="Times New Roman"/>
                      <w:color w:val="FF0000"/>
                      <w:kern w:val="0"/>
                      <w:sz w:val="21"/>
                      <w:szCs w:val="21"/>
                      <w:lang w:val="zh-CN"/>
                    </w:rPr>
                    <w:t>名称</w:t>
                  </w:r>
                </w:p>
              </w:tc>
              <w:tc>
                <w:tcPr>
                  <w:tcW w:w="629" w:type="pct"/>
                  <w:vMerge w:val="restart"/>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年份</w:t>
                  </w:r>
                </w:p>
              </w:tc>
              <w:tc>
                <w:tcPr>
                  <w:tcW w:w="1604" w:type="pct"/>
                  <w:gridSpan w:val="3"/>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货   车</w:t>
                  </w:r>
                </w:p>
              </w:tc>
              <w:tc>
                <w:tcPr>
                  <w:tcW w:w="1228" w:type="pct"/>
                  <w:gridSpan w:val="2"/>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客车</w:t>
                  </w:r>
                </w:p>
              </w:tc>
              <w:tc>
                <w:tcPr>
                  <w:tcW w:w="833" w:type="pct"/>
                  <w:vMerge w:val="restart"/>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5" w:hRule="atLeast"/>
                <w:jc w:val="center"/>
              </w:trPr>
              <w:tc>
                <w:tcPr>
                  <w:tcW w:w="704" w:type="pct"/>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color w:val="FF0000"/>
                      <w:kern w:val="0"/>
                      <w:sz w:val="21"/>
                      <w:szCs w:val="21"/>
                      <w:lang w:val="zh-CN"/>
                    </w:rPr>
                  </w:pPr>
                </w:p>
              </w:tc>
              <w:tc>
                <w:tcPr>
                  <w:tcW w:w="629" w:type="pct"/>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color w:val="FF0000"/>
                      <w:sz w:val="21"/>
                      <w:szCs w:val="21"/>
                    </w:rPr>
                  </w:pPr>
                </w:p>
              </w:tc>
              <w:tc>
                <w:tcPr>
                  <w:tcW w:w="551" w:type="pct"/>
                  <w:tcBorders>
                    <w:tl2br w:val="nil"/>
                    <w:tr2bl w:val="nil"/>
                  </w:tcBorders>
                  <w:noWrap w:val="0"/>
                  <w:vAlign w:val="center"/>
                </w:tcPr>
                <w:p>
                  <w:pPr>
                    <w:adjustRightInd w:val="0"/>
                    <w:snapToGrid w:val="0"/>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小型</w:t>
                  </w:r>
                </w:p>
              </w:tc>
              <w:tc>
                <w:tcPr>
                  <w:tcW w:w="525" w:type="pct"/>
                  <w:tcBorders>
                    <w:tl2br w:val="nil"/>
                    <w:tr2bl w:val="nil"/>
                  </w:tcBorders>
                  <w:noWrap w:val="0"/>
                  <w:vAlign w:val="center"/>
                </w:tcPr>
                <w:p>
                  <w:pPr>
                    <w:adjustRightInd w:val="0"/>
                    <w:snapToGrid w:val="0"/>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中型</w:t>
                  </w:r>
                </w:p>
              </w:tc>
              <w:tc>
                <w:tcPr>
                  <w:tcW w:w="528" w:type="pct"/>
                  <w:tcBorders>
                    <w:tl2br w:val="nil"/>
                    <w:tr2bl w:val="nil"/>
                  </w:tcBorders>
                  <w:noWrap w:val="0"/>
                  <w:vAlign w:val="center"/>
                </w:tcPr>
                <w:p>
                  <w:pPr>
                    <w:adjustRightInd w:val="0"/>
                    <w:snapToGrid w:val="0"/>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大型</w:t>
                  </w:r>
                </w:p>
              </w:tc>
              <w:tc>
                <w:tcPr>
                  <w:tcW w:w="612" w:type="pct"/>
                  <w:tcBorders>
                    <w:tl2br w:val="nil"/>
                    <w:tr2bl w:val="nil"/>
                  </w:tcBorders>
                  <w:noWrap w:val="0"/>
                  <w:vAlign w:val="center"/>
                </w:tcPr>
                <w:p>
                  <w:pPr>
                    <w:adjustRightInd w:val="0"/>
                    <w:snapToGrid w:val="0"/>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小型</w:t>
                  </w:r>
                </w:p>
              </w:tc>
              <w:tc>
                <w:tcPr>
                  <w:tcW w:w="615" w:type="pct"/>
                  <w:tcBorders>
                    <w:tl2br w:val="nil"/>
                    <w:tr2bl w:val="nil"/>
                  </w:tcBorders>
                  <w:noWrap w:val="0"/>
                  <w:vAlign w:val="center"/>
                </w:tcPr>
                <w:p>
                  <w:pPr>
                    <w:adjustRightInd w:val="0"/>
                    <w:snapToGrid w:val="0"/>
                    <w:jc w:val="center"/>
                    <w:rPr>
                      <w:rFonts w:hint="default" w:ascii="Times New Roman" w:hAnsi="Times New Roman" w:cs="Times New Roman"/>
                      <w:color w:val="FF0000"/>
                      <w:sz w:val="21"/>
                      <w:szCs w:val="21"/>
                    </w:rPr>
                  </w:pPr>
                  <w:r>
                    <w:rPr>
                      <w:rFonts w:hint="eastAsia" w:ascii="Times New Roman" w:hAnsi="Times New Roman" w:cs="Times New Roman"/>
                      <w:color w:val="FF0000"/>
                      <w:sz w:val="21"/>
                      <w:szCs w:val="21"/>
                      <w:lang w:val="en-US" w:eastAsia="zh-CN"/>
                    </w:rPr>
                    <w:t>中</w:t>
                  </w:r>
                  <w:r>
                    <w:rPr>
                      <w:rFonts w:hint="default" w:ascii="Times New Roman" w:hAnsi="Times New Roman" w:cs="Times New Roman"/>
                      <w:color w:val="FF0000"/>
                      <w:sz w:val="21"/>
                      <w:szCs w:val="21"/>
                    </w:rPr>
                    <w:t>型</w:t>
                  </w:r>
                </w:p>
              </w:tc>
              <w:tc>
                <w:tcPr>
                  <w:tcW w:w="833" w:type="pct"/>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95" w:hRule="atLeast"/>
                <w:jc w:val="center"/>
              </w:trPr>
              <w:tc>
                <w:tcPr>
                  <w:tcW w:w="704" w:type="pct"/>
                  <w:vMerge w:val="restart"/>
                  <w:tcBorders>
                    <w:tl2br w:val="nil"/>
                    <w:tr2bl w:val="nil"/>
                  </w:tcBorders>
                  <w:noWrap w:val="0"/>
                  <w:vAlign w:val="center"/>
                </w:tcPr>
                <w:p>
                  <w:pPr>
                    <w:autoSpaceDE w:val="0"/>
                    <w:autoSpaceDN w:val="0"/>
                    <w:adjustRightInd w:val="0"/>
                    <w:snapToGrid w:val="0"/>
                    <w:jc w:val="center"/>
                    <w:rPr>
                      <w:rFonts w:hint="eastAsia" w:ascii="Times New Roman" w:hAnsi="Times New Roman" w:eastAsia="宋体" w:cs="Times New Roman"/>
                      <w:color w:val="FF0000"/>
                      <w:kern w:val="0"/>
                      <w:sz w:val="21"/>
                      <w:szCs w:val="21"/>
                      <w:lang w:val="zh-CN" w:eastAsia="zh-CN"/>
                    </w:rPr>
                  </w:pPr>
                  <w:r>
                    <w:rPr>
                      <w:rFonts w:hint="eastAsia" w:ascii="Times New Roman" w:hAnsi="Times New Roman" w:eastAsia="宋体" w:cs="Times New Roman"/>
                      <w:color w:val="FF0000"/>
                      <w:sz w:val="21"/>
                      <w:szCs w:val="21"/>
                      <w:lang w:val="en-US" w:eastAsia="zh-CN"/>
                    </w:rPr>
                    <w:t>宁县滨河大桥</w:t>
                  </w:r>
                </w:p>
              </w:tc>
              <w:tc>
                <w:tcPr>
                  <w:tcW w:w="629"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FF0000"/>
                      <w:sz w:val="21"/>
                      <w:szCs w:val="21"/>
                      <w:lang w:eastAsia="zh-CN"/>
                    </w:rPr>
                  </w:pPr>
                  <w:r>
                    <w:rPr>
                      <w:rFonts w:hint="default" w:ascii="Times New Roman" w:hAnsi="Times New Roman" w:cs="Times New Roman"/>
                      <w:color w:val="FF0000"/>
                      <w:sz w:val="21"/>
                      <w:szCs w:val="21"/>
                    </w:rPr>
                    <w:t>202</w:t>
                  </w:r>
                  <w:r>
                    <w:rPr>
                      <w:rFonts w:hint="eastAsia" w:ascii="Times New Roman" w:hAnsi="Times New Roman" w:cs="Times New Roman"/>
                      <w:color w:val="FF0000"/>
                      <w:sz w:val="21"/>
                      <w:szCs w:val="21"/>
                      <w:lang w:val="en-US" w:eastAsia="zh-CN"/>
                    </w:rPr>
                    <w:t>4</w:t>
                  </w:r>
                </w:p>
              </w:tc>
              <w:tc>
                <w:tcPr>
                  <w:tcW w:w="551" w:type="pct"/>
                  <w:tcBorders>
                    <w:tl2br w:val="nil"/>
                    <w:tr2bl w:val="nil"/>
                  </w:tcBorders>
                  <w:noWrap w:val="0"/>
                  <w:vAlign w:val="center"/>
                </w:tcPr>
                <w:p>
                  <w:pPr>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49</w:t>
                  </w:r>
                </w:p>
              </w:tc>
              <w:tc>
                <w:tcPr>
                  <w:tcW w:w="525" w:type="pct"/>
                  <w:tcBorders>
                    <w:tl2br w:val="nil"/>
                    <w:tr2bl w:val="nil"/>
                  </w:tcBorders>
                  <w:noWrap w:val="0"/>
                  <w:vAlign w:val="center"/>
                </w:tcPr>
                <w:p>
                  <w:pPr>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7</w:t>
                  </w:r>
                </w:p>
              </w:tc>
              <w:tc>
                <w:tcPr>
                  <w:tcW w:w="528" w:type="pct"/>
                  <w:tcBorders>
                    <w:tl2br w:val="nil"/>
                    <w:tr2bl w:val="nil"/>
                  </w:tcBorders>
                  <w:noWrap w:val="0"/>
                  <w:vAlign w:val="center"/>
                </w:tcPr>
                <w:p>
                  <w:pPr>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17</w:t>
                  </w:r>
                </w:p>
              </w:tc>
              <w:tc>
                <w:tcPr>
                  <w:tcW w:w="612" w:type="pct"/>
                  <w:tcBorders>
                    <w:tl2br w:val="nil"/>
                    <w:tr2bl w:val="nil"/>
                  </w:tcBorders>
                  <w:noWrap w:val="0"/>
                  <w:vAlign w:val="center"/>
                </w:tcPr>
                <w:p>
                  <w:pPr>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142</w:t>
                  </w:r>
                </w:p>
              </w:tc>
              <w:tc>
                <w:tcPr>
                  <w:tcW w:w="615" w:type="pct"/>
                  <w:tcBorders>
                    <w:tl2br w:val="nil"/>
                    <w:tr2bl w:val="nil"/>
                  </w:tcBorders>
                  <w:noWrap w:val="0"/>
                  <w:vAlign w:val="center"/>
                </w:tcPr>
                <w:p>
                  <w:pPr>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13</w:t>
                  </w:r>
                </w:p>
              </w:tc>
              <w:tc>
                <w:tcPr>
                  <w:tcW w:w="83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95" w:hRule="atLeast"/>
                <w:jc w:val="center"/>
              </w:trPr>
              <w:tc>
                <w:tcPr>
                  <w:tcW w:w="704" w:type="pct"/>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color w:val="FF0000"/>
                      <w:kern w:val="0"/>
                      <w:sz w:val="21"/>
                      <w:szCs w:val="21"/>
                      <w:lang w:val="zh-CN"/>
                    </w:rPr>
                  </w:pPr>
                </w:p>
              </w:tc>
              <w:tc>
                <w:tcPr>
                  <w:tcW w:w="62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FF0000"/>
                      <w:sz w:val="21"/>
                      <w:szCs w:val="21"/>
                      <w:lang w:val="en-US" w:eastAsia="zh-CN"/>
                    </w:rPr>
                  </w:pPr>
                  <w:r>
                    <w:rPr>
                      <w:rFonts w:hint="default" w:ascii="Times New Roman" w:hAnsi="Times New Roman" w:cs="Times New Roman"/>
                      <w:color w:val="FF0000"/>
                      <w:sz w:val="21"/>
                      <w:szCs w:val="21"/>
                    </w:rPr>
                    <w:t>20</w:t>
                  </w:r>
                  <w:r>
                    <w:rPr>
                      <w:rFonts w:hint="eastAsia" w:ascii="Times New Roman" w:hAnsi="Times New Roman" w:cs="Times New Roman"/>
                      <w:color w:val="FF0000"/>
                      <w:sz w:val="21"/>
                      <w:szCs w:val="21"/>
                      <w:lang w:val="en-US" w:eastAsia="zh-CN"/>
                    </w:rPr>
                    <w:t>30</w:t>
                  </w:r>
                </w:p>
              </w:tc>
              <w:tc>
                <w:tcPr>
                  <w:tcW w:w="551" w:type="pct"/>
                  <w:tcBorders>
                    <w:tl2br w:val="nil"/>
                    <w:tr2bl w:val="nil"/>
                  </w:tcBorders>
                  <w:noWrap w:val="0"/>
                  <w:vAlign w:val="center"/>
                </w:tcPr>
                <w:p>
                  <w:pPr>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70</w:t>
                  </w:r>
                </w:p>
              </w:tc>
              <w:tc>
                <w:tcPr>
                  <w:tcW w:w="525" w:type="pct"/>
                  <w:tcBorders>
                    <w:tl2br w:val="nil"/>
                    <w:tr2bl w:val="nil"/>
                  </w:tcBorders>
                  <w:noWrap w:val="0"/>
                  <w:vAlign w:val="center"/>
                </w:tcPr>
                <w:p>
                  <w:pPr>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9</w:t>
                  </w:r>
                </w:p>
              </w:tc>
              <w:tc>
                <w:tcPr>
                  <w:tcW w:w="528" w:type="pct"/>
                  <w:tcBorders>
                    <w:tl2br w:val="nil"/>
                    <w:tr2bl w:val="nil"/>
                  </w:tcBorders>
                  <w:noWrap w:val="0"/>
                  <w:vAlign w:val="center"/>
                </w:tcPr>
                <w:p>
                  <w:pPr>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32</w:t>
                  </w:r>
                </w:p>
              </w:tc>
              <w:tc>
                <w:tcPr>
                  <w:tcW w:w="612" w:type="pct"/>
                  <w:tcBorders>
                    <w:tl2br w:val="nil"/>
                    <w:tr2bl w:val="nil"/>
                  </w:tcBorders>
                  <w:noWrap w:val="0"/>
                  <w:vAlign w:val="center"/>
                </w:tcPr>
                <w:p>
                  <w:pPr>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204</w:t>
                  </w:r>
                </w:p>
              </w:tc>
              <w:tc>
                <w:tcPr>
                  <w:tcW w:w="615" w:type="pct"/>
                  <w:tcBorders>
                    <w:tl2br w:val="nil"/>
                    <w:tr2bl w:val="nil"/>
                  </w:tcBorders>
                  <w:noWrap w:val="0"/>
                  <w:vAlign w:val="center"/>
                </w:tcPr>
                <w:p>
                  <w:pPr>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15</w:t>
                  </w:r>
                </w:p>
              </w:tc>
              <w:tc>
                <w:tcPr>
                  <w:tcW w:w="833" w:type="pct"/>
                  <w:tcBorders>
                    <w:tl2br w:val="nil"/>
                    <w:tr2bl w:val="nil"/>
                  </w:tcBorders>
                  <w:noWrap w:val="0"/>
                  <w:vAlign w:val="center"/>
                </w:tcPr>
                <w:p>
                  <w:pPr>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8" w:hRule="atLeast"/>
                <w:jc w:val="center"/>
              </w:trPr>
              <w:tc>
                <w:tcPr>
                  <w:tcW w:w="704" w:type="pct"/>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color w:val="FF0000"/>
                      <w:kern w:val="0"/>
                      <w:sz w:val="21"/>
                      <w:szCs w:val="21"/>
                      <w:lang w:val="zh-CN"/>
                    </w:rPr>
                  </w:pPr>
                </w:p>
              </w:tc>
              <w:tc>
                <w:tcPr>
                  <w:tcW w:w="629"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FF0000"/>
                      <w:sz w:val="21"/>
                      <w:szCs w:val="21"/>
                      <w:lang w:val="en-US" w:eastAsia="zh-CN"/>
                    </w:rPr>
                  </w:pPr>
                  <w:r>
                    <w:rPr>
                      <w:rFonts w:hint="default" w:ascii="Times New Roman" w:hAnsi="Times New Roman" w:cs="Times New Roman"/>
                      <w:color w:val="FF0000"/>
                      <w:sz w:val="21"/>
                      <w:szCs w:val="21"/>
                    </w:rPr>
                    <w:t>203</w:t>
                  </w:r>
                  <w:r>
                    <w:rPr>
                      <w:rFonts w:hint="eastAsia" w:ascii="Times New Roman" w:hAnsi="Times New Roman" w:cs="Times New Roman"/>
                      <w:color w:val="FF0000"/>
                      <w:sz w:val="21"/>
                      <w:szCs w:val="21"/>
                      <w:lang w:val="en-US" w:eastAsia="zh-CN"/>
                    </w:rPr>
                    <w:t>8</w:t>
                  </w:r>
                </w:p>
              </w:tc>
              <w:tc>
                <w:tcPr>
                  <w:tcW w:w="551" w:type="pct"/>
                  <w:tcBorders>
                    <w:tl2br w:val="nil"/>
                    <w:tr2bl w:val="nil"/>
                  </w:tcBorders>
                  <w:noWrap w:val="0"/>
                  <w:vAlign w:val="center"/>
                </w:tcPr>
                <w:p>
                  <w:pPr>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96</w:t>
                  </w:r>
                </w:p>
              </w:tc>
              <w:tc>
                <w:tcPr>
                  <w:tcW w:w="525" w:type="pct"/>
                  <w:tcBorders>
                    <w:tl2br w:val="nil"/>
                    <w:tr2bl w:val="nil"/>
                  </w:tcBorders>
                  <w:noWrap w:val="0"/>
                  <w:vAlign w:val="center"/>
                </w:tcPr>
                <w:p>
                  <w:pPr>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13</w:t>
                  </w:r>
                </w:p>
              </w:tc>
              <w:tc>
                <w:tcPr>
                  <w:tcW w:w="528" w:type="pct"/>
                  <w:tcBorders>
                    <w:tl2br w:val="nil"/>
                    <w:tr2bl w:val="nil"/>
                  </w:tcBorders>
                  <w:noWrap w:val="0"/>
                  <w:vAlign w:val="center"/>
                </w:tcPr>
                <w:p>
                  <w:pPr>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49</w:t>
                  </w:r>
                </w:p>
              </w:tc>
              <w:tc>
                <w:tcPr>
                  <w:tcW w:w="612" w:type="pct"/>
                  <w:tcBorders>
                    <w:tl2br w:val="nil"/>
                    <w:tr2bl w:val="nil"/>
                  </w:tcBorders>
                  <w:noWrap w:val="0"/>
                  <w:vAlign w:val="center"/>
                </w:tcPr>
                <w:p>
                  <w:pPr>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289</w:t>
                  </w:r>
                </w:p>
              </w:tc>
              <w:tc>
                <w:tcPr>
                  <w:tcW w:w="615" w:type="pct"/>
                  <w:tcBorders>
                    <w:tl2br w:val="nil"/>
                    <w:tr2bl w:val="nil"/>
                  </w:tcBorders>
                  <w:noWrap w:val="0"/>
                  <w:vAlign w:val="center"/>
                </w:tcPr>
                <w:p>
                  <w:pPr>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24</w:t>
                  </w:r>
                </w:p>
              </w:tc>
              <w:tc>
                <w:tcPr>
                  <w:tcW w:w="833" w:type="pct"/>
                  <w:tcBorders>
                    <w:tl2br w:val="nil"/>
                    <w:tr2bl w:val="nil"/>
                  </w:tcBorders>
                  <w:noWrap w:val="0"/>
                  <w:vAlign w:val="center"/>
                </w:tcPr>
                <w:p>
                  <w:pPr>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471</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s="Times New Roman"/>
                <w:snapToGrid w:val="0"/>
                <w:color w:val="FF0000"/>
                <w:kern w:val="0"/>
                <w:sz w:val="24"/>
              </w:rPr>
            </w:pPr>
            <w:r>
              <w:rPr>
                <w:rFonts w:hint="default" w:ascii="Times New Roman" w:hAnsi="Times New Roman" w:eastAsia="宋体" w:cs="Times New Roman"/>
                <w:snapToGrid w:val="0"/>
                <w:color w:val="FF0000"/>
                <w:kern w:val="0"/>
                <w:sz w:val="24"/>
              </w:rPr>
              <w:t>各车型车流量折算成当量小客车流量时的折算系数按照《环境影响评价技术导则-声环境》（HJ2.4-20</w:t>
            </w:r>
            <w:r>
              <w:rPr>
                <w:rFonts w:hint="eastAsia" w:ascii="Times New Roman" w:hAnsi="Times New Roman" w:eastAsia="宋体" w:cs="Times New Roman"/>
                <w:snapToGrid w:val="0"/>
                <w:color w:val="FF0000"/>
                <w:kern w:val="0"/>
                <w:sz w:val="24"/>
                <w:lang w:val="en-US" w:eastAsia="zh-CN"/>
              </w:rPr>
              <w:t>21</w:t>
            </w:r>
            <w:r>
              <w:rPr>
                <w:rFonts w:hint="default" w:ascii="Times New Roman" w:hAnsi="Times New Roman" w:eastAsia="宋体" w:cs="Times New Roman"/>
                <w:snapToGrid w:val="0"/>
                <w:color w:val="FF0000"/>
                <w:kern w:val="0"/>
                <w:sz w:val="24"/>
              </w:rPr>
              <w:t>）附录</w:t>
            </w:r>
            <w:r>
              <w:rPr>
                <w:rFonts w:hint="eastAsia" w:ascii="Times New Roman" w:hAnsi="Times New Roman" w:eastAsia="宋体" w:cs="Times New Roman"/>
                <w:snapToGrid w:val="0"/>
                <w:color w:val="FF0000"/>
                <w:kern w:val="0"/>
                <w:sz w:val="24"/>
                <w:lang w:val="en-US" w:eastAsia="zh-CN"/>
              </w:rPr>
              <w:t>B</w:t>
            </w:r>
            <w:r>
              <w:rPr>
                <w:rFonts w:hint="default" w:ascii="Times New Roman" w:hAnsi="Times New Roman" w:eastAsia="宋体" w:cs="Times New Roman"/>
                <w:snapToGrid w:val="0"/>
                <w:color w:val="FF0000"/>
                <w:kern w:val="0"/>
                <w:sz w:val="24"/>
              </w:rPr>
              <w:t>.2.1.1，详见表</w:t>
            </w:r>
            <w:r>
              <w:rPr>
                <w:rFonts w:hint="eastAsia" w:ascii="Times New Roman" w:hAnsi="Times New Roman" w:eastAsia="宋体" w:cs="Times New Roman"/>
                <w:snapToGrid w:val="0"/>
                <w:color w:val="FF0000"/>
                <w:kern w:val="0"/>
                <w:sz w:val="24"/>
                <w:lang w:val="en-US" w:eastAsia="zh-CN"/>
              </w:rPr>
              <w:t>2-7</w:t>
            </w:r>
            <w:r>
              <w:rPr>
                <w:rFonts w:hint="default" w:ascii="Times New Roman" w:hAnsi="Times New Roman" w:eastAsia="宋体" w:cs="Times New Roman"/>
                <w:snapToGrid w:val="0"/>
                <w:color w:val="FF0000"/>
                <w:kern w:val="0"/>
                <w:sz w:val="24"/>
              </w:rPr>
              <w:t>。</w:t>
            </w:r>
          </w:p>
          <w:p>
            <w:pPr>
              <w:adjustRightInd w:val="0"/>
              <w:spacing w:line="240" w:lineRule="auto"/>
              <w:jc w:val="center"/>
              <w:textAlignment w:val="baseline"/>
              <w:rPr>
                <w:rFonts w:hint="default" w:ascii="Times New Roman" w:hAnsi="Times New Roman" w:cs="Times New Roman"/>
                <w:b/>
                <w:snapToGrid w:val="0"/>
                <w:color w:val="FF0000"/>
                <w:kern w:val="0"/>
                <w:sz w:val="24"/>
                <w:lang w:val="zh-CN"/>
              </w:rPr>
            </w:pPr>
            <w:r>
              <w:rPr>
                <w:rFonts w:hint="default" w:ascii="Times New Roman" w:hAnsi="Times New Roman" w:cs="Times New Roman"/>
                <w:b/>
                <w:snapToGrid w:val="0"/>
                <w:color w:val="FF0000"/>
                <w:kern w:val="0"/>
                <w:sz w:val="24"/>
                <w:lang w:val="zh-CN"/>
              </w:rPr>
              <w:t>表</w:t>
            </w:r>
            <w:r>
              <w:rPr>
                <w:rFonts w:hint="eastAsia" w:ascii="Times New Roman" w:hAnsi="Times New Roman" w:cs="Times New Roman"/>
                <w:b/>
                <w:snapToGrid w:val="0"/>
                <w:color w:val="FF0000"/>
                <w:kern w:val="0"/>
                <w:sz w:val="24"/>
                <w:lang w:val="en-US" w:eastAsia="zh-CN"/>
              </w:rPr>
              <w:t>2-7</w:t>
            </w:r>
            <w:r>
              <w:rPr>
                <w:rFonts w:hint="default" w:ascii="Times New Roman" w:hAnsi="Times New Roman" w:cs="Times New Roman"/>
                <w:b/>
                <w:snapToGrid w:val="0"/>
                <w:color w:val="FF0000"/>
                <w:kern w:val="0"/>
                <w:sz w:val="24"/>
                <w:lang w:val="zh-CN"/>
              </w:rPr>
              <w:t xml:space="preserve">           车辆折算系数一览表</w:t>
            </w:r>
          </w:p>
          <w:tbl>
            <w:tblPr>
              <w:tblStyle w:val="26"/>
              <w:tblW w:w="49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9"/>
              <w:gridCol w:w="1790"/>
              <w:gridCol w:w="4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047" w:type="pct"/>
                  <w:tcBorders>
                    <w:tl2br w:val="nil"/>
                    <w:tr2bl w:val="nil"/>
                  </w:tcBorders>
                  <w:noWrap w:val="0"/>
                  <w:vAlign w:val="center"/>
                </w:tcPr>
                <w:p>
                  <w:pPr>
                    <w:adjustRightInd w:val="0"/>
                    <w:jc w:val="center"/>
                    <w:rPr>
                      <w:rFonts w:hint="default" w:ascii="Times New Roman" w:hAnsi="Times New Roman" w:cs="Times New Roman"/>
                      <w:snapToGrid w:val="0"/>
                      <w:color w:val="FF0000"/>
                      <w:kern w:val="0"/>
                      <w:szCs w:val="21"/>
                    </w:rPr>
                  </w:pPr>
                  <w:r>
                    <w:rPr>
                      <w:rFonts w:hint="default" w:ascii="Times New Roman" w:hAnsi="Times New Roman" w:cs="Times New Roman"/>
                      <w:snapToGrid w:val="0"/>
                      <w:color w:val="FF0000"/>
                      <w:kern w:val="0"/>
                      <w:szCs w:val="21"/>
                    </w:rPr>
                    <w:t>车型</w:t>
                  </w:r>
                </w:p>
              </w:tc>
              <w:tc>
                <w:tcPr>
                  <w:tcW w:w="1157" w:type="pct"/>
                  <w:tcBorders>
                    <w:tl2br w:val="nil"/>
                    <w:tr2bl w:val="nil"/>
                  </w:tcBorders>
                  <w:noWrap w:val="0"/>
                  <w:vAlign w:val="center"/>
                </w:tcPr>
                <w:p>
                  <w:pPr>
                    <w:adjustRightInd w:val="0"/>
                    <w:jc w:val="center"/>
                    <w:rPr>
                      <w:rFonts w:hint="default" w:ascii="Times New Roman" w:hAnsi="Times New Roman" w:cs="Times New Roman"/>
                      <w:snapToGrid w:val="0"/>
                      <w:color w:val="FF0000"/>
                      <w:kern w:val="0"/>
                      <w:szCs w:val="21"/>
                    </w:rPr>
                  </w:pPr>
                  <w:r>
                    <w:rPr>
                      <w:rFonts w:hint="default" w:ascii="Times New Roman" w:hAnsi="Times New Roman" w:cs="Times New Roman"/>
                      <w:snapToGrid w:val="0"/>
                      <w:color w:val="FF0000"/>
                      <w:kern w:val="0"/>
                      <w:szCs w:val="21"/>
                    </w:rPr>
                    <w:t>车辆折算系数</w:t>
                  </w:r>
                </w:p>
              </w:tc>
              <w:tc>
                <w:tcPr>
                  <w:tcW w:w="2795" w:type="pct"/>
                  <w:tcBorders>
                    <w:tl2br w:val="nil"/>
                    <w:tr2bl w:val="nil"/>
                  </w:tcBorders>
                  <w:noWrap w:val="0"/>
                  <w:vAlign w:val="center"/>
                </w:tcPr>
                <w:p>
                  <w:pPr>
                    <w:adjustRightInd w:val="0"/>
                    <w:jc w:val="center"/>
                    <w:rPr>
                      <w:rFonts w:hint="default" w:ascii="Times New Roman" w:hAnsi="Times New Roman" w:cs="Times New Roman"/>
                      <w:snapToGrid w:val="0"/>
                      <w:color w:val="FF0000"/>
                      <w:kern w:val="0"/>
                      <w:szCs w:val="21"/>
                    </w:rPr>
                  </w:pPr>
                  <w:r>
                    <w:rPr>
                      <w:rFonts w:hint="default" w:ascii="Times New Roman" w:hAnsi="Times New Roman" w:cs="Times New Roman"/>
                      <w:snapToGrid w:val="0"/>
                      <w:color w:val="FF0000"/>
                      <w:kern w:val="0"/>
                      <w:szCs w:val="21"/>
                    </w:rPr>
                    <w:t>划分标准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047" w:type="pct"/>
                  <w:tcBorders>
                    <w:tl2br w:val="nil"/>
                    <w:tr2bl w:val="nil"/>
                  </w:tcBorders>
                  <w:noWrap w:val="0"/>
                  <w:vAlign w:val="center"/>
                </w:tcPr>
                <w:p>
                  <w:pPr>
                    <w:adjustRightInd w:val="0"/>
                    <w:jc w:val="center"/>
                    <w:rPr>
                      <w:rFonts w:hint="default" w:ascii="Times New Roman" w:hAnsi="Times New Roman" w:cs="Times New Roman"/>
                      <w:snapToGrid w:val="0"/>
                      <w:color w:val="FF0000"/>
                      <w:kern w:val="0"/>
                      <w:szCs w:val="21"/>
                    </w:rPr>
                  </w:pPr>
                  <w:r>
                    <w:rPr>
                      <w:rFonts w:hint="default" w:ascii="Times New Roman" w:hAnsi="Times New Roman" w:cs="Times New Roman"/>
                      <w:snapToGrid w:val="0"/>
                      <w:color w:val="FF0000"/>
                      <w:kern w:val="0"/>
                      <w:szCs w:val="21"/>
                    </w:rPr>
                    <w:t>小客车</w:t>
                  </w:r>
                </w:p>
              </w:tc>
              <w:tc>
                <w:tcPr>
                  <w:tcW w:w="1157" w:type="pct"/>
                  <w:tcBorders>
                    <w:tl2br w:val="nil"/>
                    <w:tr2bl w:val="nil"/>
                  </w:tcBorders>
                  <w:noWrap w:val="0"/>
                  <w:vAlign w:val="center"/>
                </w:tcPr>
                <w:p>
                  <w:pPr>
                    <w:adjustRightInd w:val="0"/>
                    <w:jc w:val="center"/>
                    <w:rPr>
                      <w:rFonts w:hint="default" w:ascii="Times New Roman" w:hAnsi="Times New Roman" w:eastAsia="宋体" w:cs="Times New Roman"/>
                      <w:snapToGrid w:val="0"/>
                      <w:color w:val="FF0000"/>
                      <w:kern w:val="0"/>
                      <w:szCs w:val="21"/>
                      <w:lang w:val="en-US" w:eastAsia="zh-CN"/>
                    </w:rPr>
                  </w:pPr>
                  <w:r>
                    <w:rPr>
                      <w:rFonts w:hint="default" w:ascii="Times New Roman" w:hAnsi="Times New Roman" w:cs="Times New Roman"/>
                      <w:snapToGrid w:val="0"/>
                      <w:color w:val="FF0000"/>
                      <w:kern w:val="0"/>
                      <w:szCs w:val="21"/>
                    </w:rPr>
                    <w:t>1</w:t>
                  </w:r>
                  <w:r>
                    <w:rPr>
                      <w:rFonts w:hint="eastAsia" w:ascii="Times New Roman" w:hAnsi="Times New Roman" w:cs="Times New Roman"/>
                      <w:snapToGrid w:val="0"/>
                      <w:color w:val="FF0000"/>
                      <w:kern w:val="0"/>
                      <w:szCs w:val="21"/>
                      <w:lang w:val="en-US" w:eastAsia="zh-CN"/>
                    </w:rPr>
                    <w:t>.0</w:t>
                  </w:r>
                </w:p>
              </w:tc>
              <w:tc>
                <w:tcPr>
                  <w:tcW w:w="2795" w:type="pct"/>
                  <w:tcBorders>
                    <w:tl2br w:val="nil"/>
                    <w:tr2bl w:val="nil"/>
                  </w:tcBorders>
                  <w:noWrap w:val="0"/>
                  <w:vAlign w:val="center"/>
                </w:tcPr>
                <w:p>
                  <w:pPr>
                    <w:adjustRightInd w:val="0"/>
                    <w:jc w:val="center"/>
                    <w:rPr>
                      <w:rFonts w:hint="default" w:ascii="Times New Roman" w:hAnsi="Times New Roman" w:eastAsia="宋体" w:cs="Times New Roman"/>
                      <w:snapToGrid w:val="0"/>
                      <w:color w:val="FF0000"/>
                      <w:kern w:val="0"/>
                      <w:szCs w:val="21"/>
                    </w:rPr>
                  </w:pPr>
                  <w:r>
                    <w:rPr>
                      <w:rFonts w:hint="default" w:ascii="Times New Roman" w:hAnsi="Times New Roman" w:eastAsia="宋体" w:cs="Times New Roman"/>
                      <w:snapToGrid w:val="0"/>
                      <w:color w:val="FF0000"/>
                      <w:kern w:val="0"/>
                      <w:szCs w:val="21"/>
                      <w:lang w:val="en-US" w:eastAsia="zh-CN"/>
                    </w:rPr>
                    <w:t>座位≤19座的客车和载质量≤2t货车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047" w:type="pct"/>
                  <w:tcBorders>
                    <w:tl2br w:val="nil"/>
                    <w:tr2bl w:val="nil"/>
                  </w:tcBorders>
                  <w:noWrap w:val="0"/>
                  <w:vAlign w:val="center"/>
                </w:tcPr>
                <w:p>
                  <w:pPr>
                    <w:adjustRightInd w:val="0"/>
                    <w:jc w:val="center"/>
                    <w:rPr>
                      <w:rFonts w:hint="default" w:ascii="Times New Roman" w:hAnsi="Times New Roman" w:cs="Times New Roman"/>
                      <w:snapToGrid w:val="0"/>
                      <w:color w:val="FF0000"/>
                      <w:kern w:val="0"/>
                      <w:szCs w:val="21"/>
                    </w:rPr>
                  </w:pPr>
                  <w:r>
                    <w:rPr>
                      <w:rFonts w:hint="default" w:ascii="Times New Roman" w:hAnsi="Times New Roman" w:cs="Times New Roman"/>
                      <w:snapToGrid w:val="0"/>
                      <w:color w:val="FF0000"/>
                      <w:kern w:val="0"/>
                      <w:szCs w:val="21"/>
                    </w:rPr>
                    <w:t>中型车</w:t>
                  </w:r>
                </w:p>
              </w:tc>
              <w:tc>
                <w:tcPr>
                  <w:tcW w:w="1157" w:type="pct"/>
                  <w:tcBorders>
                    <w:tl2br w:val="nil"/>
                    <w:tr2bl w:val="nil"/>
                  </w:tcBorders>
                  <w:noWrap w:val="0"/>
                  <w:vAlign w:val="center"/>
                </w:tcPr>
                <w:p>
                  <w:pPr>
                    <w:adjustRightInd w:val="0"/>
                    <w:jc w:val="center"/>
                    <w:rPr>
                      <w:rFonts w:hint="default" w:ascii="Times New Roman" w:hAnsi="Times New Roman" w:cs="Times New Roman"/>
                      <w:snapToGrid w:val="0"/>
                      <w:color w:val="FF0000"/>
                      <w:kern w:val="0"/>
                      <w:szCs w:val="21"/>
                    </w:rPr>
                  </w:pPr>
                  <w:r>
                    <w:rPr>
                      <w:rFonts w:hint="default" w:ascii="Times New Roman" w:hAnsi="Times New Roman" w:cs="Times New Roman"/>
                      <w:snapToGrid w:val="0"/>
                      <w:color w:val="FF0000"/>
                      <w:kern w:val="0"/>
                      <w:szCs w:val="21"/>
                    </w:rPr>
                    <w:t>1.5</w:t>
                  </w:r>
                </w:p>
              </w:tc>
              <w:tc>
                <w:tcPr>
                  <w:tcW w:w="2795" w:type="pct"/>
                  <w:tcBorders>
                    <w:tl2br w:val="nil"/>
                    <w:tr2bl w:val="nil"/>
                  </w:tcBorders>
                  <w:noWrap w:val="0"/>
                  <w:vAlign w:val="center"/>
                </w:tcPr>
                <w:p>
                  <w:pPr>
                    <w:adjustRightInd w:val="0"/>
                    <w:jc w:val="center"/>
                    <w:rPr>
                      <w:rFonts w:hint="default" w:ascii="Times New Roman" w:hAnsi="Times New Roman" w:eastAsia="宋体" w:cs="Times New Roman"/>
                      <w:snapToGrid w:val="0"/>
                      <w:color w:val="FF0000"/>
                      <w:kern w:val="0"/>
                      <w:szCs w:val="21"/>
                    </w:rPr>
                  </w:pPr>
                  <w:r>
                    <w:rPr>
                      <w:rFonts w:hint="default" w:ascii="Times New Roman" w:hAnsi="Times New Roman" w:eastAsia="宋体" w:cs="Times New Roman"/>
                      <w:snapToGrid w:val="0"/>
                      <w:color w:val="FF0000"/>
                      <w:kern w:val="0"/>
                      <w:szCs w:val="21"/>
                      <w:lang w:val="en-US" w:eastAsia="zh-CN"/>
                    </w:rPr>
                    <w:t>座位＞19座的客车和2t＜载质量≤7t货车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047" w:type="pct"/>
                  <w:tcBorders>
                    <w:tl2br w:val="nil"/>
                    <w:tr2bl w:val="nil"/>
                  </w:tcBorders>
                  <w:noWrap w:val="0"/>
                  <w:vAlign w:val="center"/>
                </w:tcPr>
                <w:p>
                  <w:pPr>
                    <w:adjustRightInd w:val="0"/>
                    <w:jc w:val="center"/>
                    <w:rPr>
                      <w:rFonts w:hint="default" w:ascii="Times New Roman" w:hAnsi="Times New Roman" w:cs="Times New Roman"/>
                      <w:snapToGrid w:val="0"/>
                      <w:color w:val="FF0000"/>
                      <w:kern w:val="0"/>
                      <w:szCs w:val="21"/>
                    </w:rPr>
                  </w:pPr>
                  <w:r>
                    <w:rPr>
                      <w:rFonts w:hint="default" w:ascii="Times New Roman" w:hAnsi="Times New Roman" w:cs="Times New Roman"/>
                      <w:snapToGrid w:val="0"/>
                      <w:color w:val="FF0000"/>
                      <w:kern w:val="0"/>
                      <w:szCs w:val="21"/>
                    </w:rPr>
                    <w:t>大型车</w:t>
                  </w:r>
                </w:p>
              </w:tc>
              <w:tc>
                <w:tcPr>
                  <w:tcW w:w="1157" w:type="pct"/>
                  <w:tcBorders>
                    <w:tl2br w:val="nil"/>
                    <w:tr2bl w:val="nil"/>
                  </w:tcBorders>
                  <w:noWrap w:val="0"/>
                  <w:vAlign w:val="center"/>
                </w:tcPr>
                <w:p>
                  <w:pPr>
                    <w:adjustRightInd w:val="0"/>
                    <w:jc w:val="center"/>
                    <w:rPr>
                      <w:rFonts w:hint="default" w:ascii="Times New Roman" w:hAnsi="Times New Roman" w:eastAsia="宋体" w:cs="Times New Roman"/>
                      <w:snapToGrid w:val="0"/>
                      <w:color w:val="FF0000"/>
                      <w:kern w:val="0"/>
                      <w:szCs w:val="21"/>
                      <w:lang w:val="en-US" w:eastAsia="zh-CN"/>
                    </w:rPr>
                  </w:pPr>
                  <w:r>
                    <w:rPr>
                      <w:rFonts w:hint="eastAsia" w:ascii="Times New Roman" w:hAnsi="Times New Roman" w:cs="Times New Roman"/>
                      <w:snapToGrid w:val="0"/>
                      <w:color w:val="FF0000"/>
                      <w:kern w:val="0"/>
                      <w:szCs w:val="21"/>
                      <w:lang w:val="en-US" w:eastAsia="zh-CN"/>
                    </w:rPr>
                    <w:t>2.5</w:t>
                  </w:r>
                </w:p>
              </w:tc>
              <w:tc>
                <w:tcPr>
                  <w:tcW w:w="2795" w:type="pct"/>
                  <w:tcBorders>
                    <w:tl2br w:val="nil"/>
                    <w:tr2bl w:val="nil"/>
                  </w:tcBorders>
                  <w:noWrap w:val="0"/>
                  <w:vAlign w:val="center"/>
                </w:tcPr>
                <w:p>
                  <w:pPr>
                    <w:adjustRightInd w:val="0"/>
                    <w:jc w:val="center"/>
                    <w:rPr>
                      <w:rFonts w:hint="default" w:ascii="Times New Roman" w:hAnsi="Times New Roman" w:eastAsia="宋体" w:cs="Times New Roman"/>
                      <w:snapToGrid w:val="0"/>
                      <w:color w:val="FF0000"/>
                      <w:kern w:val="0"/>
                      <w:szCs w:val="21"/>
                    </w:rPr>
                  </w:pPr>
                  <w:r>
                    <w:rPr>
                      <w:rFonts w:hint="default" w:ascii="Times New Roman" w:hAnsi="Times New Roman" w:eastAsia="宋体" w:cs="Times New Roman"/>
                      <w:snapToGrid w:val="0"/>
                      <w:color w:val="FF0000"/>
                      <w:kern w:val="0"/>
                      <w:szCs w:val="21"/>
                      <w:lang w:val="en-US" w:eastAsia="zh-CN"/>
                    </w:rPr>
                    <w:t>7t＜载质量≤20t货车</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cs="Times New Roman"/>
                <w:color w:val="FF0000"/>
                <w:sz w:val="24"/>
              </w:rPr>
            </w:pPr>
            <w:r>
              <w:rPr>
                <w:rFonts w:hint="default" w:ascii="Times New Roman" w:hAnsi="Times New Roman" w:cs="Times New Roman"/>
                <w:color w:val="FF0000"/>
                <w:sz w:val="24"/>
              </w:rPr>
              <w:t>根据《环境影响评价技术导则-声环境》（HJ2.4-20</w:t>
            </w:r>
            <w:r>
              <w:rPr>
                <w:rFonts w:hint="eastAsia" w:ascii="Times New Roman" w:hAnsi="Times New Roman" w:cs="Times New Roman"/>
                <w:color w:val="FF0000"/>
                <w:sz w:val="24"/>
                <w:lang w:val="en-US" w:eastAsia="zh-CN"/>
              </w:rPr>
              <w:t>21</w:t>
            </w:r>
            <w:r>
              <w:rPr>
                <w:rFonts w:hint="default" w:ascii="Times New Roman" w:hAnsi="Times New Roman" w:cs="Times New Roman"/>
                <w:color w:val="FF0000"/>
                <w:sz w:val="24"/>
              </w:rPr>
              <w:t>）附录A.2.1.1车型分类方法，其中小型车包括小客车、小货车，中型车包括</w:t>
            </w:r>
            <w:r>
              <w:rPr>
                <w:rFonts w:hint="default" w:ascii="Times New Roman" w:hAnsi="Times New Roman" w:eastAsia="宋体" w:cs="Times New Roman"/>
                <w:snapToGrid w:val="0"/>
                <w:color w:val="FF0000"/>
                <w:kern w:val="0"/>
                <w:sz w:val="24"/>
                <w:szCs w:val="24"/>
                <w:lang w:val="en-US" w:eastAsia="zh-CN"/>
              </w:rPr>
              <w:t>座位＞19座的</w:t>
            </w:r>
            <w:r>
              <w:rPr>
                <w:rFonts w:hint="default" w:ascii="Times New Roman" w:hAnsi="Times New Roman" w:cs="Times New Roman"/>
                <w:color w:val="FF0000"/>
                <w:sz w:val="24"/>
              </w:rPr>
              <w:t>客车、中货车，大型车包括大货车、特大货车。根据公路特点并参考相关调查数据，考虑昼间16h和夜间8h车流量之比为</w:t>
            </w:r>
            <w:r>
              <w:rPr>
                <w:rFonts w:hint="eastAsia" w:ascii="Times New Roman" w:hAnsi="Times New Roman" w:cs="Times New Roman"/>
                <w:color w:val="FF0000"/>
                <w:sz w:val="24"/>
                <w:lang w:val="en-US" w:eastAsia="zh-CN"/>
              </w:rPr>
              <w:t>4</w:t>
            </w:r>
            <w:r>
              <w:rPr>
                <w:rFonts w:hint="default" w:ascii="Times New Roman" w:hAnsi="Times New Roman" w:cs="Times New Roman"/>
                <w:color w:val="FF0000"/>
                <w:sz w:val="24"/>
              </w:rPr>
              <w:t>：</w:t>
            </w:r>
            <w:r>
              <w:rPr>
                <w:rFonts w:hint="eastAsia" w:ascii="Times New Roman" w:hAnsi="Times New Roman" w:cs="Times New Roman"/>
                <w:color w:val="FF0000"/>
                <w:sz w:val="24"/>
                <w:lang w:val="en-US" w:eastAsia="zh-CN"/>
              </w:rPr>
              <w:t>1</w:t>
            </w:r>
            <w:r>
              <w:rPr>
                <w:rFonts w:hint="default" w:ascii="Times New Roman" w:hAnsi="Times New Roman" w:cs="Times New Roman"/>
                <w:color w:val="FF0000"/>
                <w:sz w:val="24"/>
              </w:rPr>
              <w:t>。本项目预测年交通量预测情况见下表</w:t>
            </w:r>
            <w:r>
              <w:rPr>
                <w:rFonts w:hint="eastAsia" w:ascii="Times New Roman" w:hAnsi="Times New Roman" w:cs="Times New Roman"/>
                <w:color w:val="FF0000"/>
                <w:sz w:val="24"/>
                <w:lang w:val="en-US" w:eastAsia="zh-CN"/>
              </w:rPr>
              <w:t>2-8</w:t>
            </w:r>
            <w:r>
              <w:rPr>
                <w:rFonts w:hint="default" w:ascii="Times New Roman" w:hAnsi="Times New Roman" w:cs="Times New Roman"/>
                <w:color w:val="FF0000"/>
                <w:sz w:val="24"/>
              </w:rPr>
              <w:t>。</w:t>
            </w:r>
          </w:p>
          <w:p>
            <w:pPr>
              <w:adjustRightInd w:val="0"/>
              <w:spacing w:line="240" w:lineRule="auto"/>
              <w:ind w:firstLine="422" w:firstLineChars="200"/>
              <w:rPr>
                <w:rFonts w:hint="default" w:ascii="Times New Roman" w:hAnsi="Times New Roman" w:cs="Times New Roman"/>
                <w:b/>
                <w:color w:val="FF0000"/>
                <w:sz w:val="21"/>
                <w:szCs w:val="21"/>
              </w:rPr>
            </w:pPr>
            <w:r>
              <w:rPr>
                <w:rFonts w:hint="default" w:ascii="Times New Roman" w:hAnsi="Times New Roman" w:cs="Times New Roman"/>
                <w:b/>
                <w:color w:val="FF0000"/>
                <w:sz w:val="21"/>
                <w:szCs w:val="21"/>
              </w:rPr>
              <w:t>表</w:t>
            </w:r>
            <w:r>
              <w:rPr>
                <w:rFonts w:hint="eastAsia" w:ascii="Times New Roman" w:hAnsi="Times New Roman" w:cs="Times New Roman"/>
                <w:b/>
                <w:color w:val="FF0000"/>
                <w:sz w:val="21"/>
                <w:szCs w:val="21"/>
                <w:lang w:val="en-US" w:eastAsia="zh-CN"/>
              </w:rPr>
              <w:t>2-8</w:t>
            </w:r>
            <w:r>
              <w:rPr>
                <w:rFonts w:hint="default" w:ascii="Times New Roman" w:hAnsi="Times New Roman" w:cs="Times New Roman"/>
                <w:b/>
                <w:color w:val="FF0000"/>
                <w:sz w:val="21"/>
                <w:szCs w:val="21"/>
              </w:rPr>
              <w:t xml:space="preserve">         本项目预测年交通量预测一览表         单位：</w:t>
            </w:r>
            <w:r>
              <w:rPr>
                <w:rFonts w:hint="eastAsia" w:ascii="Times New Roman" w:hAnsi="Times New Roman" w:cs="Times New Roman"/>
                <w:b/>
                <w:color w:val="FF0000"/>
                <w:sz w:val="21"/>
                <w:szCs w:val="21"/>
                <w:lang w:val="en-US" w:eastAsia="zh-CN"/>
              </w:rPr>
              <w:t>pcu</w:t>
            </w:r>
            <w:r>
              <w:rPr>
                <w:rFonts w:hint="default" w:ascii="Times New Roman" w:hAnsi="Times New Roman" w:cs="Times New Roman"/>
                <w:b/>
                <w:color w:val="FF0000"/>
                <w:sz w:val="21"/>
                <w:szCs w:val="21"/>
              </w:rPr>
              <w:t>/h</w:t>
            </w:r>
          </w:p>
          <w:tbl>
            <w:tblPr>
              <w:tblStyle w:val="26"/>
              <w:tblW w:w="7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9"/>
              <w:gridCol w:w="1139"/>
              <w:gridCol w:w="1140"/>
              <w:gridCol w:w="1139"/>
              <w:gridCol w:w="1140"/>
              <w:gridCol w:w="1139"/>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139" w:type="dxa"/>
                  <w:vMerge w:val="restart"/>
                  <w:tcBorders>
                    <w:tl2br w:val="nil"/>
                    <w:tr2bl w:val="nil"/>
                  </w:tcBorders>
                  <w:noWrap w:val="0"/>
                  <w:vAlign w:val="center"/>
                </w:tcPr>
                <w:p>
                  <w:pPr>
                    <w:adjustRightInd w:val="0"/>
                    <w:jc w:val="center"/>
                    <w:rPr>
                      <w:rFonts w:hint="default" w:ascii="Times New Roman" w:hAnsi="Times New Roman" w:cs="Times New Roman"/>
                      <w:color w:val="FF0000"/>
                      <w:szCs w:val="21"/>
                    </w:rPr>
                  </w:pPr>
                  <w:r>
                    <w:rPr>
                      <w:rFonts w:hint="default" w:ascii="Times New Roman" w:hAnsi="Times New Roman" w:cs="Times New Roman"/>
                      <w:color w:val="FF0000"/>
                      <w:szCs w:val="21"/>
                    </w:rPr>
                    <w:t>车型</w:t>
                  </w:r>
                </w:p>
              </w:tc>
              <w:tc>
                <w:tcPr>
                  <w:tcW w:w="2279" w:type="dxa"/>
                  <w:gridSpan w:val="2"/>
                  <w:tcBorders>
                    <w:tl2br w:val="nil"/>
                    <w:tr2bl w:val="nil"/>
                  </w:tcBorders>
                  <w:noWrap w:val="0"/>
                  <w:vAlign w:val="center"/>
                </w:tcPr>
                <w:p>
                  <w:pPr>
                    <w:adjustRightInd w:val="0"/>
                    <w:jc w:val="center"/>
                    <w:rPr>
                      <w:rFonts w:hint="default" w:ascii="Times New Roman" w:hAnsi="Times New Roman" w:cs="Times New Roman"/>
                      <w:color w:val="FF0000"/>
                      <w:szCs w:val="21"/>
                    </w:rPr>
                  </w:pPr>
                  <w:r>
                    <w:rPr>
                      <w:rFonts w:hint="default" w:ascii="Times New Roman" w:hAnsi="Times New Roman" w:cs="Times New Roman"/>
                      <w:color w:val="FF0000"/>
                      <w:szCs w:val="21"/>
                    </w:rPr>
                    <w:t>近期（202</w:t>
                  </w:r>
                  <w:r>
                    <w:rPr>
                      <w:rFonts w:hint="eastAsia" w:ascii="Times New Roman" w:hAnsi="Times New Roman" w:cs="Times New Roman"/>
                      <w:color w:val="FF0000"/>
                      <w:szCs w:val="21"/>
                      <w:lang w:val="en-US" w:eastAsia="zh-CN"/>
                    </w:rPr>
                    <w:t>4</w:t>
                  </w:r>
                  <w:r>
                    <w:rPr>
                      <w:rFonts w:hint="default" w:ascii="Times New Roman" w:hAnsi="Times New Roman" w:cs="Times New Roman"/>
                      <w:color w:val="FF0000"/>
                      <w:szCs w:val="21"/>
                    </w:rPr>
                    <w:t>年）</w:t>
                  </w:r>
                </w:p>
              </w:tc>
              <w:tc>
                <w:tcPr>
                  <w:tcW w:w="2279" w:type="dxa"/>
                  <w:gridSpan w:val="2"/>
                  <w:tcBorders>
                    <w:tl2br w:val="nil"/>
                    <w:tr2bl w:val="nil"/>
                  </w:tcBorders>
                  <w:noWrap w:val="0"/>
                  <w:vAlign w:val="center"/>
                </w:tcPr>
                <w:p>
                  <w:pPr>
                    <w:adjustRightInd w:val="0"/>
                    <w:jc w:val="center"/>
                    <w:rPr>
                      <w:rFonts w:hint="default" w:ascii="Times New Roman" w:hAnsi="Times New Roman" w:cs="Times New Roman"/>
                      <w:color w:val="FF0000"/>
                      <w:szCs w:val="21"/>
                    </w:rPr>
                  </w:pPr>
                  <w:r>
                    <w:rPr>
                      <w:rFonts w:hint="default" w:ascii="Times New Roman" w:hAnsi="Times New Roman" w:cs="Times New Roman"/>
                      <w:color w:val="FF0000"/>
                      <w:szCs w:val="21"/>
                    </w:rPr>
                    <w:t>中期（20</w:t>
                  </w:r>
                  <w:r>
                    <w:rPr>
                      <w:rFonts w:hint="eastAsia" w:ascii="Times New Roman" w:hAnsi="Times New Roman" w:cs="Times New Roman"/>
                      <w:color w:val="FF0000"/>
                      <w:szCs w:val="21"/>
                      <w:lang w:val="en-US" w:eastAsia="zh-CN"/>
                    </w:rPr>
                    <w:t>30</w:t>
                  </w:r>
                  <w:r>
                    <w:rPr>
                      <w:rFonts w:hint="default" w:ascii="Times New Roman" w:hAnsi="Times New Roman" w:cs="Times New Roman"/>
                      <w:color w:val="FF0000"/>
                      <w:szCs w:val="21"/>
                    </w:rPr>
                    <w:t>年）</w:t>
                  </w:r>
                </w:p>
              </w:tc>
              <w:tc>
                <w:tcPr>
                  <w:tcW w:w="2280" w:type="dxa"/>
                  <w:gridSpan w:val="2"/>
                  <w:tcBorders>
                    <w:tl2br w:val="nil"/>
                    <w:tr2bl w:val="nil"/>
                  </w:tcBorders>
                  <w:noWrap w:val="0"/>
                  <w:vAlign w:val="center"/>
                </w:tcPr>
                <w:p>
                  <w:pPr>
                    <w:adjustRightInd w:val="0"/>
                    <w:jc w:val="center"/>
                    <w:rPr>
                      <w:rFonts w:hint="default" w:ascii="Times New Roman" w:hAnsi="Times New Roman" w:cs="Times New Roman"/>
                      <w:color w:val="FF0000"/>
                      <w:szCs w:val="21"/>
                    </w:rPr>
                  </w:pPr>
                  <w:r>
                    <w:rPr>
                      <w:rFonts w:hint="default" w:ascii="Times New Roman" w:hAnsi="Times New Roman" w:cs="Times New Roman"/>
                      <w:color w:val="FF0000"/>
                      <w:szCs w:val="21"/>
                    </w:rPr>
                    <w:t>远期（203</w:t>
                  </w:r>
                  <w:r>
                    <w:rPr>
                      <w:rFonts w:hint="eastAsia" w:ascii="Times New Roman" w:hAnsi="Times New Roman" w:cs="Times New Roman"/>
                      <w:color w:val="FF0000"/>
                      <w:szCs w:val="21"/>
                      <w:lang w:val="en-US" w:eastAsia="zh-CN"/>
                    </w:rPr>
                    <w:t>8</w:t>
                  </w:r>
                  <w:r>
                    <w:rPr>
                      <w:rFonts w:hint="default" w:ascii="Times New Roman" w:hAnsi="Times New Roman" w:cs="Times New Roman"/>
                      <w:color w:val="FF0000"/>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139" w:type="dxa"/>
                  <w:vMerge w:val="continue"/>
                  <w:tcBorders>
                    <w:tl2br w:val="nil"/>
                    <w:tr2bl w:val="nil"/>
                  </w:tcBorders>
                  <w:noWrap w:val="0"/>
                  <w:vAlign w:val="center"/>
                </w:tcPr>
                <w:p>
                  <w:pPr>
                    <w:widowControl/>
                    <w:jc w:val="center"/>
                    <w:rPr>
                      <w:rFonts w:hint="default" w:ascii="Times New Roman" w:hAnsi="Times New Roman" w:cs="Times New Roman"/>
                      <w:color w:val="FF0000"/>
                      <w:szCs w:val="21"/>
                    </w:rPr>
                  </w:pPr>
                </w:p>
              </w:tc>
              <w:tc>
                <w:tcPr>
                  <w:tcW w:w="1139" w:type="dxa"/>
                  <w:tcBorders>
                    <w:tl2br w:val="nil"/>
                    <w:tr2bl w:val="nil"/>
                  </w:tcBorders>
                  <w:noWrap w:val="0"/>
                  <w:vAlign w:val="center"/>
                </w:tcPr>
                <w:p>
                  <w:pPr>
                    <w:adjustRightInd w:val="0"/>
                    <w:jc w:val="center"/>
                    <w:rPr>
                      <w:rFonts w:hint="default" w:ascii="Times New Roman" w:hAnsi="Times New Roman" w:cs="Times New Roman"/>
                      <w:color w:val="FF0000"/>
                      <w:szCs w:val="21"/>
                    </w:rPr>
                  </w:pPr>
                  <w:r>
                    <w:rPr>
                      <w:rFonts w:hint="default" w:ascii="Times New Roman" w:hAnsi="Times New Roman" w:cs="Times New Roman"/>
                      <w:color w:val="FF0000"/>
                      <w:szCs w:val="21"/>
                    </w:rPr>
                    <w:t>昼间</w:t>
                  </w:r>
                </w:p>
              </w:tc>
              <w:tc>
                <w:tcPr>
                  <w:tcW w:w="1140" w:type="dxa"/>
                  <w:tcBorders>
                    <w:tl2br w:val="nil"/>
                    <w:tr2bl w:val="nil"/>
                  </w:tcBorders>
                  <w:noWrap w:val="0"/>
                  <w:vAlign w:val="center"/>
                </w:tcPr>
                <w:p>
                  <w:pPr>
                    <w:adjustRightInd w:val="0"/>
                    <w:jc w:val="center"/>
                    <w:rPr>
                      <w:rFonts w:hint="default" w:ascii="Times New Roman" w:hAnsi="Times New Roman" w:cs="Times New Roman"/>
                      <w:color w:val="FF0000"/>
                      <w:szCs w:val="21"/>
                    </w:rPr>
                  </w:pPr>
                  <w:r>
                    <w:rPr>
                      <w:rFonts w:hint="default" w:ascii="Times New Roman" w:hAnsi="Times New Roman" w:cs="Times New Roman"/>
                      <w:color w:val="FF0000"/>
                      <w:szCs w:val="21"/>
                    </w:rPr>
                    <w:t>夜间</w:t>
                  </w:r>
                </w:p>
              </w:tc>
              <w:tc>
                <w:tcPr>
                  <w:tcW w:w="1139" w:type="dxa"/>
                  <w:tcBorders>
                    <w:tl2br w:val="nil"/>
                    <w:tr2bl w:val="nil"/>
                  </w:tcBorders>
                  <w:noWrap w:val="0"/>
                  <w:vAlign w:val="center"/>
                </w:tcPr>
                <w:p>
                  <w:pPr>
                    <w:adjustRightInd w:val="0"/>
                    <w:jc w:val="center"/>
                    <w:rPr>
                      <w:rFonts w:hint="default" w:ascii="Times New Roman" w:hAnsi="Times New Roman" w:cs="Times New Roman"/>
                      <w:color w:val="FF0000"/>
                      <w:szCs w:val="21"/>
                    </w:rPr>
                  </w:pPr>
                  <w:r>
                    <w:rPr>
                      <w:rFonts w:hint="default" w:ascii="Times New Roman" w:hAnsi="Times New Roman" w:cs="Times New Roman"/>
                      <w:color w:val="FF0000"/>
                      <w:szCs w:val="21"/>
                    </w:rPr>
                    <w:t>昼间</w:t>
                  </w:r>
                </w:p>
              </w:tc>
              <w:tc>
                <w:tcPr>
                  <w:tcW w:w="1140" w:type="dxa"/>
                  <w:tcBorders>
                    <w:tl2br w:val="nil"/>
                    <w:tr2bl w:val="nil"/>
                  </w:tcBorders>
                  <w:noWrap w:val="0"/>
                  <w:vAlign w:val="center"/>
                </w:tcPr>
                <w:p>
                  <w:pPr>
                    <w:adjustRightInd w:val="0"/>
                    <w:jc w:val="center"/>
                    <w:rPr>
                      <w:rFonts w:hint="default" w:ascii="Times New Roman" w:hAnsi="Times New Roman" w:cs="Times New Roman"/>
                      <w:color w:val="FF0000"/>
                      <w:szCs w:val="21"/>
                    </w:rPr>
                  </w:pPr>
                  <w:r>
                    <w:rPr>
                      <w:rFonts w:hint="default" w:ascii="Times New Roman" w:hAnsi="Times New Roman" w:cs="Times New Roman"/>
                      <w:color w:val="FF0000"/>
                      <w:szCs w:val="21"/>
                    </w:rPr>
                    <w:t>夜间</w:t>
                  </w:r>
                </w:p>
              </w:tc>
              <w:tc>
                <w:tcPr>
                  <w:tcW w:w="1139" w:type="dxa"/>
                  <w:tcBorders>
                    <w:tl2br w:val="nil"/>
                    <w:tr2bl w:val="nil"/>
                  </w:tcBorders>
                  <w:noWrap w:val="0"/>
                  <w:vAlign w:val="center"/>
                </w:tcPr>
                <w:p>
                  <w:pPr>
                    <w:adjustRightInd w:val="0"/>
                    <w:jc w:val="center"/>
                    <w:rPr>
                      <w:rFonts w:hint="default" w:ascii="Times New Roman" w:hAnsi="Times New Roman" w:cs="Times New Roman"/>
                      <w:color w:val="FF0000"/>
                      <w:szCs w:val="21"/>
                    </w:rPr>
                  </w:pPr>
                  <w:r>
                    <w:rPr>
                      <w:rFonts w:hint="default" w:ascii="Times New Roman" w:hAnsi="Times New Roman" w:cs="Times New Roman"/>
                      <w:color w:val="FF0000"/>
                      <w:szCs w:val="21"/>
                    </w:rPr>
                    <w:t>昼间</w:t>
                  </w:r>
                </w:p>
              </w:tc>
              <w:tc>
                <w:tcPr>
                  <w:tcW w:w="1141" w:type="dxa"/>
                  <w:tcBorders>
                    <w:tl2br w:val="nil"/>
                    <w:tr2bl w:val="nil"/>
                  </w:tcBorders>
                  <w:noWrap w:val="0"/>
                  <w:vAlign w:val="center"/>
                </w:tcPr>
                <w:p>
                  <w:pPr>
                    <w:adjustRightInd w:val="0"/>
                    <w:jc w:val="center"/>
                    <w:rPr>
                      <w:rFonts w:hint="default" w:ascii="Times New Roman" w:hAnsi="Times New Roman" w:cs="Times New Roman"/>
                      <w:color w:val="FF0000"/>
                      <w:szCs w:val="21"/>
                    </w:rPr>
                  </w:pPr>
                  <w:r>
                    <w:rPr>
                      <w:rFonts w:hint="default" w:ascii="Times New Roman" w:hAnsi="Times New Roman" w:cs="Times New Roman"/>
                      <w:color w:val="FF0000"/>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139" w:type="dxa"/>
                  <w:tcBorders>
                    <w:tl2br w:val="nil"/>
                    <w:tr2bl w:val="nil"/>
                  </w:tcBorders>
                  <w:noWrap w:val="0"/>
                  <w:vAlign w:val="center"/>
                </w:tcPr>
                <w:p>
                  <w:pPr>
                    <w:adjustRightInd w:val="0"/>
                    <w:jc w:val="center"/>
                    <w:rPr>
                      <w:rFonts w:hint="default" w:ascii="Times New Roman" w:hAnsi="Times New Roman" w:cs="Times New Roman"/>
                      <w:color w:val="FF0000"/>
                      <w:szCs w:val="21"/>
                    </w:rPr>
                  </w:pPr>
                  <w:r>
                    <w:rPr>
                      <w:rFonts w:hint="default" w:ascii="Times New Roman" w:hAnsi="Times New Roman" w:cs="Times New Roman"/>
                      <w:color w:val="FF0000"/>
                      <w:szCs w:val="21"/>
                    </w:rPr>
                    <w:t>小型车</w:t>
                  </w:r>
                </w:p>
              </w:tc>
              <w:tc>
                <w:tcPr>
                  <w:tcW w:w="1139" w:type="dxa"/>
                  <w:tcBorders>
                    <w:tl2br w:val="nil"/>
                    <w:tr2bl w:val="nil"/>
                  </w:tcBorders>
                  <w:noWrap w:val="0"/>
                  <w:vAlign w:val="center"/>
                </w:tcPr>
                <w:p>
                  <w:pPr>
                    <w:jc w:val="center"/>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153</w:t>
                  </w:r>
                </w:p>
              </w:tc>
              <w:tc>
                <w:tcPr>
                  <w:tcW w:w="1140" w:type="dxa"/>
                  <w:tcBorders>
                    <w:tl2br w:val="nil"/>
                    <w:tr2bl w:val="nil"/>
                  </w:tcBorders>
                  <w:noWrap w:val="0"/>
                  <w:vAlign w:val="center"/>
                </w:tcPr>
                <w:p>
                  <w:pPr>
                    <w:jc w:val="center"/>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38</w:t>
                  </w:r>
                </w:p>
              </w:tc>
              <w:tc>
                <w:tcPr>
                  <w:tcW w:w="1139" w:type="dxa"/>
                  <w:tcBorders>
                    <w:tl2br w:val="nil"/>
                    <w:tr2bl w:val="nil"/>
                  </w:tcBorders>
                  <w:noWrap w:val="0"/>
                  <w:vAlign w:val="center"/>
                </w:tcPr>
                <w:p>
                  <w:pPr>
                    <w:jc w:val="center"/>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219</w:t>
                  </w:r>
                </w:p>
              </w:tc>
              <w:tc>
                <w:tcPr>
                  <w:tcW w:w="1140" w:type="dxa"/>
                  <w:tcBorders>
                    <w:tl2br w:val="nil"/>
                    <w:tr2bl w:val="nil"/>
                  </w:tcBorders>
                  <w:noWrap w:val="0"/>
                  <w:vAlign w:val="center"/>
                </w:tcPr>
                <w:p>
                  <w:pPr>
                    <w:jc w:val="center"/>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55</w:t>
                  </w:r>
                </w:p>
              </w:tc>
              <w:tc>
                <w:tcPr>
                  <w:tcW w:w="1139" w:type="dxa"/>
                  <w:tcBorders>
                    <w:tl2br w:val="nil"/>
                    <w:tr2bl w:val="nil"/>
                  </w:tcBorders>
                  <w:noWrap w:val="0"/>
                  <w:vAlign w:val="center"/>
                </w:tcPr>
                <w:p>
                  <w:pPr>
                    <w:jc w:val="center"/>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308</w:t>
                  </w:r>
                </w:p>
              </w:tc>
              <w:tc>
                <w:tcPr>
                  <w:tcW w:w="1141" w:type="dxa"/>
                  <w:tcBorders>
                    <w:tl2br w:val="nil"/>
                    <w:tr2bl w:val="nil"/>
                  </w:tcBorders>
                  <w:noWrap w:val="0"/>
                  <w:vAlign w:val="center"/>
                </w:tcPr>
                <w:p>
                  <w:pPr>
                    <w:jc w:val="center"/>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139" w:type="dxa"/>
                  <w:tcBorders>
                    <w:tl2br w:val="nil"/>
                    <w:tr2bl w:val="nil"/>
                  </w:tcBorders>
                  <w:noWrap w:val="0"/>
                  <w:vAlign w:val="center"/>
                </w:tcPr>
                <w:p>
                  <w:pPr>
                    <w:adjustRightInd w:val="0"/>
                    <w:jc w:val="center"/>
                    <w:rPr>
                      <w:rFonts w:hint="default" w:ascii="Times New Roman" w:hAnsi="Times New Roman" w:cs="Times New Roman"/>
                      <w:color w:val="FF0000"/>
                      <w:szCs w:val="21"/>
                    </w:rPr>
                  </w:pPr>
                  <w:r>
                    <w:rPr>
                      <w:rFonts w:hint="default" w:ascii="Times New Roman" w:hAnsi="Times New Roman" w:cs="Times New Roman"/>
                      <w:color w:val="FF0000"/>
                      <w:szCs w:val="21"/>
                    </w:rPr>
                    <w:t>中型车</w:t>
                  </w:r>
                </w:p>
              </w:tc>
              <w:tc>
                <w:tcPr>
                  <w:tcW w:w="1139" w:type="dxa"/>
                  <w:tcBorders>
                    <w:tl2br w:val="nil"/>
                    <w:tr2bl w:val="nil"/>
                  </w:tcBorders>
                  <w:noWrap w:val="0"/>
                  <w:vAlign w:val="center"/>
                </w:tcPr>
                <w:p>
                  <w:pPr>
                    <w:jc w:val="center"/>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16</w:t>
                  </w:r>
                </w:p>
              </w:tc>
              <w:tc>
                <w:tcPr>
                  <w:tcW w:w="1140" w:type="dxa"/>
                  <w:tcBorders>
                    <w:tl2br w:val="nil"/>
                    <w:tr2bl w:val="nil"/>
                  </w:tcBorders>
                  <w:noWrap w:val="0"/>
                  <w:vAlign w:val="center"/>
                </w:tcPr>
                <w:p>
                  <w:pPr>
                    <w:jc w:val="center"/>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4</w:t>
                  </w:r>
                </w:p>
              </w:tc>
              <w:tc>
                <w:tcPr>
                  <w:tcW w:w="1139" w:type="dxa"/>
                  <w:tcBorders>
                    <w:tl2br w:val="nil"/>
                    <w:tr2bl w:val="nil"/>
                  </w:tcBorders>
                  <w:noWrap w:val="0"/>
                  <w:vAlign w:val="center"/>
                </w:tcPr>
                <w:p>
                  <w:pPr>
                    <w:jc w:val="center"/>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19</w:t>
                  </w:r>
                </w:p>
              </w:tc>
              <w:tc>
                <w:tcPr>
                  <w:tcW w:w="1140" w:type="dxa"/>
                  <w:tcBorders>
                    <w:tl2br w:val="nil"/>
                    <w:tr2bl w:val="nil"/>
                  </w:tcBorders>
                  <w:noWrap w:val="0"/>
                  <w:vAlign w:val="center"/>
                </w:tcPr>
                <w:p>
                  <w:pPr>
                    <w:jc w:val="center"/>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5</w:t>
                  </w:r>
                </w:p>
              </w:tc>
              <w:tc>
                <w:tcPr>
                  <w:tcW w:w="1139" w:type="dxa"/>
                  <w:tcBorders>
                    <w:tl2br w:val="nil"/>
                    <w:tr2bl w:val="nil"/>
                  </w:tcBorders>
                  <w:noWrap w:val="0"/>
                  <w:vAlign w:val="center"/>
                </w:tcPr>
                <w:p>
                  <w:pPr>
                    <w:jc w:val="center"/>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30</w:t>
                  </w:r>
                </w:p>
              </w:tc>
              <w:tc>
                <w:tcPr>
                  <w:tcW w:w="1141" w:type="dxa"/>
                  <w:tcBorders>
                    <w:tl2br w:val="nil"/>
                    <w:tr2bl w:val="nil"/>
                  </w:tcBorders>
                  <w:noWrap w:val="0"/>
                  <w:vAlign w:val="center"/>
                </w:tcPr>
                <w:p>
                  <w:pPr>
                    <w:jc w:val="center"/>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39" w:type="dxa"/>
                  <w:tcBorders>
                    <w:tl2br w:val="nil"/>
                    <w:tr2bl w:val="nil"/>
                  </w:tcBorders>
                  <w:noWrap w:val="0"/>
                  <w:vAlign w:val="center"/>
                </w:tcPr>
                <w:p>
                  <w:pPr>
                    <w:adjustRightInd w:val="0"/>
                    <w:jc w:val="center"/>
                    <w:rPr>
                      <w:rFonts w:hint="default" w:ascii="Times New Roman" w:hAnsi="Times New Roman" w:cs="Times New Roman"/>
                      <w:color w:val="FF0000"/>
                      <w:szCs w:val="21"/>
                    </w:rPr>
                  </w:pPr>
                  <w:r>
                    <w:rPr>
                      <w:rFonts w:hint="default" w:ascii="Times New Roman" w:hAnsi="Times New Roman" w:cs="Times New Roman"/>
                      <w:color w:val="FF0000"/>
                      <w:szCs w:val="21"/>
                    </w:rPr>
                    <w:t>大型车</w:t>
                  </w:r>
                </w:p>
              </w:tc>
              <w:tc>
                <w:tcPr>
                  <w:tcW w:w="1139" w:type="dxa"/>
                  <w:tcBorders>
                    <w:tl2br w:val="nil"/>
                    <w:tr2bl w:val="nil"/>
                  </w:tcBorders>
                  <w:noWrap w:val="0"/>
                  <w:vAlign w:val="center"/>
                </w:tcPr>
                <w:p>
                  <w:pPr>
                    <w:jc w:val="center"/>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14</w:t>
                  </w:r>
                </w:p>
              </w:tc>
              <w:tc>
                <w:tcPr>
                  <w:tcW w:w="1140" w:type="dxa"/>
                  <w:tcBorders>
                    <w:tl2br w:val="nil"/>
                    <w:tr2bl w:val="nil"/>
                  </w:tcBorders>
                  <w:noWrap w:val="0"/>
                  <w:vAlign w:val="center"/>
                </w:tcPr>
                <w:p>
                  <w:pPr>
                    <w:jc w:val="center"/>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3</w:t>
                  </w:r>
                </w:p>
              </w:tc>
              <w:tc>
                <w:tcPr>
                  <w:tcW w:w="1139" w:type="dxa"/>
                  <w:tcBorders>
                    <w:tl2br w:val="nil"/>
                    <w:tr2bl w:val="nil"/>
                  </w:tcBorders>
                  <w:noWrap w:val="0"/>
                  <w:vAlign w:val="center"/>
                </w:tcPr>
                <w:p>
                  <w:pPr>
                    <w:jc w:val="center"/>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25</w:t>
                  </w:r>
                </w:p>
              </w:tc>
              <w:tc>
                <w:tcPr>
                  <w:tcW w:w="1140" w:type="dxa"/>
                  <w:tcBorders>
                    <w:tl2br w:val="nil"/>
                    <w:tr2bl w:val="nil"/>
                  </w:tcBorders>
                  <w:noWrap w:val="0"/>
                  <w:vAlign w:val="center"/>
                </w:tcPr>
                <w:p>
                  <w:pPr>
                    <w:jc w:val="center"/>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7</w:t>
                  </w:r>
                </w:p>
              </w:tc>
              <w:tc>
                <w:tcPr>
                  <w:tcW w:w="1139" w:type="dxa"/>
                  <w:tcBorders>
                    <w:tl2br w:val="nil"/>
                    <w:tr2bl w:val="nil"/>
                  </w:tcBorders>
                  <w:noWrap w:val="0"/>
                  <w:vAlign w:val="center"/>
                </w:tcPr>
                <w:p>
                  <w:pPr>
                    <w:jc w:val="center"/>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39</w:t>
                  </w:r>
                </w:p>
              </w:tc>
              <w:tc>
                <w:tcPr>
                  <w:tcW w:w="1141" w:type="dxa"/>
                  <w:tcBorders>
                    <w:tl2br w:val="nil"/>
                    <w:tr2bl w:val="nil"/>
                  </w:tcBorders>
                  <w:noWrap w:val="0"/>
                  <w:vAlign w:val="center"/>
                </w:tcPr>
                <w:p>
                  <w:pPr>
                    <w:jc w:val="center"/>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10</w:t>
                  </w:r>
                </w:p>
              </w:tc>
            </w:tr>
            <w:bookmarkEnd w:id="7"/>
            <w:bookmarkEnd w:id="8"/>
            <w:bookmarkEnd w:id="9"/>
            <w:bookmarkEnd w:id="10"/>
            <w:bookmarkEnd w:id="11"/>
            <w:bookmarkEnd w:id="12"/>
            <w:bookmarkEnd w:id="13"/>
            <w:bookmarkEnd w:id="14"/>
            <w:bookmarkEnd w:id="15"/>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eastAsia="宋体"/>
                <w:color w:val="auto"/>
                <w:sz w:val="24"/>
                <w:lang w:eastAsia="zh-CN"/>
              </w:rPr>
            </w:pPr>
            <w:r>
              <w:rPr>
                <w:rFonts w:hint="eastAsia"/>
                <w:color w:val="auto"/>
                <w:sz w:val="24"/>
                <w:lang w:val="en-US" w:eastAsia="zh-CN"/>
              </w:rPr>
              <w:t>3</w:t>
            </w:r>
            <w:r>
              <w:rPr>
                <w:color w:val="auto"/>
                <w:sz w:val="24"/>
              </w:rPr>
              <w:t>、</w:t>
            </w:r>
            <w:r>
              <w:rPr>
                <w:rFonts w:hint="eastAsia"/>
                <w:color w:val="auto"/>
                <w:sz w:val="24"/>
                <w:lang w:eastAsia="zh-CN"/>
              </w:rPr>
              <w:t>项目设计方案</w:t>
            </w:r>
          </w:p>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3.1道路横纵断面</w:t>
            </w:r>
          </w:p>
          <w:p>
            <w:pPr>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（1）横断面</w:t>
            </w:r>
          </w:p>
          <w:p>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 xml:space="preserve">滨河大桥顺接道路标准横断面布置具体如下： </w:t>
            </w:r>
          </w:p>
          <w:p>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道路红线宽度</w:t>
            </w:r>
            <w:r>
              <w:rPr>
                <w:rFonts w:hint="default" w:ascii="Times New Roman" w:hAnsi="Times New Roman" w:eastAsia="宋体" w:cs="Times New Roman"/>
                <w:color w:val="auto"/>
                <w:sz w:val="24"/>
                <w:lang w:val="en-US" w:eastAsia="zh-CN"/>
              </w:rPr>
              <w:t>26m</w:t>
            </w:r>
            <w:r>
              <w:rPr>
                <w:rFonts w:hint="eastAsia" w:ascii="Times New Roman" w:hAnsi="Times New Roman" w:eastAsia="宋体" w:cs="Times New Roman"/>
                <w:color w:val="auto"/>
                <w:sz w:val="24"/>
                <w:lang w:val="en-US" w:eastAsia="zh-CN"/>
              </w:rPr>
              <w:t>，为单幅路，具体断面布置形式为</w:t>
            </w:r>
            <w:r>
              <w:rPr>
                <w:rFonts w:hint="default" w:ascii="Times New Roman" w:hAnsi="Times New Roman" w:eastAsia="宋体" w:cs="Times New Roman"/>
                <w:color w:val="auto"/>
                <w:sz w:val="24"/>
                <w:lang w:val="en-US" w:eastAsia="zh-CN"/>
              </w:rPr>
              <w:t>3m</w:t>
            </w:r>
            <w:r>
              <w:rPr>
                <w:rFonts w:hint="eastAsia" w:ascii="Times New Roman" w:hAnsi="Times New Roman" w:eastAsia="宋体" w:cs="Times New Roman"/>
                <w:color w:val="auto"/>
                <w:sz w:val="24"/>
                <w:lang w:val="en-US" w:eastAsia="zh-CN"/>
              </w:rPr>
              <w:t>（人行道）</w:t>
            </w:r>
            <w:r>
              <w:rPr>
                <w:rFonts w:hint="default" w:ascii="Times New Roman" w:hAnsi="Times New Roman" w:eastAsia="宋体" w:cs="Times New Roman"/>
                <w:color w:val="auto"/>
                <w:sz w:val="24"/>
                <w:lang w:val="en-US" w:eastAsia="zh-CN"/>
              </w:rPr>
              <w:t>+20m</w:t>
            </w:r>
            <w:r>
              <w:rPr>
                <w:rFonts w:hint="eastAsia" w:ascii="Times New Roman" w:hAnsi="Times New Roman" w:eastAsia="宋体" w:cs="Times New Roman"/>
                <w:color w:val="auto"/>
                <w:sz w:val="24"/>
                <w:lang w:val="en-US" w:eastAsia="zh-CN"/>
              </w:rPr>
              <w:t>（车行道）</w:t>
            </w:r>
            <w:r>
              <w:rPr>
                <w:rFonts w:hint="default" w:ascii="Times New Roman" w:hAnsi="Times New Roman" w:eastAsia="宋体" w:cs="Times New Roman"/>
                <w:color w:val="auto"/>
                <w:sz w:val="24"/>
                <w:lang w:val="en-US" w:eastAsia="zh-CN"/>
              </w:rPr>
              <w:t>+3m</w:t>
            </w:r>
            <w:r>
              <w:rPr>
                <w:rFonts w:hint="eastAsia" w:ascii="Times New Roman" w:hAnsi="Times New Roman" w:eastAsia="宋体" w:cs="Times New Roman"/>
                <w:color w:val="auto"/>
                <w:sz w:val="24"/>
                <w:lang w:val="en-US" w:eastAsia="zh-CN"/>
              </w:rPr>
              <w:t>（人行道）</w:t>
            </w:r>
            <w:r>
              <w:rPr>
                <w:rFonts w:hint="default" w:ascii="Times New Roman" w:hAnsi="Times New Roman" w:eastAsia="宋体" w:cs="Times New Roman"/>
                <w:color w:val="auto"/>
                <w:sz w:val="24"/>
                <w:lang w:val="en-US" w:eastAsia="zh-CN"/>
              </w:rPr>
              <w:t>=26m</w:t>
            </w:r>
            <w:r>
              <w:rPr>
                <w:rFonts w:hint="eastAsia" w:ascii="Times New Roman" w:hAnsi="Times New Roman" w:eastAsia="宋体" w:cs="Times New Roman"/>
                <w:color w:val="auto"/>
                <w:sz w:val="24"/>
                <w:lang w:val="en-US" w:eastAsia="zh-CN"/>
              </w:rPr>
              <w:t>。</w:t>
            </w:r>
          </w:p>
          <w:p>
            <w:pPr>
              <w:spacing w:line="360" w:lineRule="auto"/>
              <w:rPr>
                <w:rFonts w:hint="eastAsia" w:ascii="Times New Roman" w:hAnsi="Times New Roman" w:eastAsia="宋体" w:cs="Times New Roman"/>
                <w:color w:val="auto"/>
                <w:sz w:val="24"/>
                <w:lang w:val="en-US" w:eastAsia="zh-CN"/>
              </w:rPr>
            </w:pPr>
            <w:r>
              <w:rPr>
                <w:color w:val="auto"/>
              </w:rPr>
              <w:drawing>
                <wp:inline distT="0" distB="0" distL="114300" distR="114300">
                  <wp:extent cx="4914265" cy="1891665"/>
                  <wp:effectExtent l="0" t="0" r="635"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4914265" cy="1891665"/>
                          </a:xfrm>
                          <a:prstGeom prst="rect">
                            <a:avLst/>
                          </a:prstGeom>
                          <a:noFill/>
                          <a:ln>
                            <a:noFill/>
                          </a:ln>
                        </pic:spPr>
                      </pic:pic>
                    </a:graphicData>
                  </a:graphic>
                </wp:inline>
              </w:drawing>
            </w:r>
          </w:p>
          <w:p>
            <w:pPr>
              <w:adjustRightInd w:val="0"/>
              <w:snapToGrid w:val="0"/>
              <w:jc w:val="center"/>
              <w:rPr>
                <w:b/>
                <w:bCs/>
                <w:color w:val="auto"/>
              </w:rPr>
            </w:pPr>
            <w:r>
              <w:rPr>
                <w:b/>
                <w:bCs/>
                <w:color w:val="auto"/>
              </w:rPr>
              <w:t xml:space="preserve">图2-1  </w:t>
            </w:r>
            <w:r>
              <w:rPr>
                <w:rFonts w:hint="eastAsia"/>
                <w:b/>
                <w:bCs/>
                <w:color w:val="auto"/>
                <w:lang w:eastAsia="zh-CN"/>
              </w:rPr>
              <w:t>道路</w:t>
            </w:r>
            <w:r>
              <w:rPr>
                <w:b/>
                <w:bCs/>
                <w:color w:val="auto"/>
              </w:rPr>
              <w:t>横断面图</w:t>
            </w:r>
          </w:p>
          <w:p>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改造道路横断面与现状道路保持一致，滨河东路横断面为：</w:t>
            </w:r>
            <w:r>
              <w:rPr>
                <w:rFonts w:hint="default" w:ascii="Times New Roman" w:hAnsi="Times New Roman" w:eastAsia="宋体" w:cs="Times New Roman"/>
                <w:color w:val="auto"/>
                <w:sz w:val="24"/>
                <w:lang w:val="en-US" w:eastAsia="zh-CN"/>
              </w:rPr>
              <w:t>16m</w:t>
            </w:r>
            <w:r>
              <w:rPr>
                <w:rFonts w:hint="eastAsia" w:ascii="Times New Roman" w:hAnsi="Times New Roman" w:eastAsia="宋体" w:cs="Times New Roman"/>
                <w:color w:val="auto"/>
                <w:sz w:val="24"/>
                <w:lang w:val="en-US" w:eastAsia="zh-CN"/>
              </w:rPr>
              <w:t>（车行道）</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东</w:t>
            </w:r>
            <w:r>
              <w:rPr>
                <w:rFonts w:hint="default" w:ascii="Times New Roman" w:hAnsi="Times New Roman" w:eastAsia="宋体" w:cs="Times New Roman"/>
                <w:color w:val="auto"/>
                <w:sz w:val="24"/>
                <w:lang w:val="en-US" w:eastAsia="zh-CN"/>
              </w:rPr>
              <w:t>5m</w:t>
            </w:r>
            <w:r>
              <w:rPr>
                <w:rFonts w:hint="eastAsia" w:ascii="Times New Roman" w:hAnsi="Times New Roman" w:eastAsia="宋体" w:cs="Times New Roman"/>
                <w:color w:val="auto"/>
                <w:sz w:val="24"/>
                <w:lang w:val="en-US" w:eastAsia="zh-CN"/>
              </w:rPr>
              <w:t>（人行道）</w:t>
            </w:r>
            <w:r>
              <w:rPr>
                <w:rFonts w:hint="default" w:ascii="Times New Roman" w:hAnsi="Times New Roman" w:eastAsia="宋体" w:cs="Times New Roman"/>
                <w:color w:val="auto"/>
                <w:sz w:val="24"/>
                <w:lang w:val="en-US" w:eastAsia="zh-CN"/>
              </w:rPr>
              <w:t>=21m</w:t>
            </w:r>
            <w:r>
              <w:rPr>
                <w:rFonts w:hint="eastAsia" w:ascii="Times New Roman" w:hAnsi="Times New Roman" w:eastAsia="宋体" w:cs="Times New Roman"/>
                <w:color w:val="auto"/>
                <w:sz w:val="24"/>
                <w:lang w:val="en-US" w:eastAsia="zh-CN"/>
              </w:rPr>
              <w:t>。滨河西路横断面为：</w:t>
            </w:r>
            <w:r>
              <w:rPr>
                <w:rFonts w:hint="default" w:ascii="Times New Roman" w:hAnsi="Times New Roman" w:eastAsia="宋体" w:cs="Times New Roman"/>
                <w:color w:val="auto"/>
                <w:sz w:val="24"/>
                <w:lang w:val="en-US" w:eastAsia="zh-CN"/>
              </w:rPr>
              <w:t>15m</w:t>
            </w:r>
            <w:r>
              <w:rPr>
                <w:rFonts w:hint="eastAsia" w:ascii="Times New Roman" w:hAnsi="Times New Roman" w:eastAsia="宋体" w:cs="Times New Roman"/>
                <w:color w:val="auto"/>
                <w:sz w:val="24"/>
                <w:lang w:val="en-US" w:eastAsia="zh-CN"/>
              </w:rPr>
              <w:t>（车行道）</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东</w:t>
            </w:r>
            <w:r>
              <w:rPr>
                <w:rFonts w:hint="default" w:ascii="Times New Roman" w:hAnsi="Times New Roman" w:eastAsia="宋体" w:cs="Times New Roman"/>
                <w:color w:val="auto"/>
                <w:sz w:val="24"/>
                <w:lang w:val="en-US" w:eastAsia="zh-CN"/>
              </w:rPr>
              <w:t>3m</w:t>
            </w:r>
            <w:r>
              <w:rPr>
                <w:rFonts w:hint="eastAsia" w:ascii="Times New Roman" w:hAnsi="Times New Roman" w:eastAsia="宋体" w:cs="Times New Roman"/>
                <w:color w:val="auto"/>
                <w:sz w:val="24"/>
                <w:lang w:val="en-US" w:eastAsia="zh-CN"/>
              </w:rPr>
              <w:t>（人行道）</w:t>
            </w:r>
            <w:r>
              <w:rPr>
                <w:rFonts w:hint="default" w:ascii="Times New Roman" w:hAnsi="Times New Roman" w:eastAsia="宋体" w:cs="Times New Roman"/>
                <w:color w:val="auto"/>
                <w:sz w:val="24"/>
                <w:lang w:val="en-US" w:eastAsia="zh-CN"/>
              </w:rPr>
              <w:t>=18m</w:t>
            </w:r>
            <w:r>
              <w:rPr>
                <w:rFonts w:hint="eastAsia" w:ascii="Times New Roman" w:hAnsi="Times New Roman" w:eastAsia="宋体" w:cs="Times New Roman"/>
                <w:color w:val="auto"/>
                <w:sz w:val="24"/>
                <w:lang w:val="en-US" w:eastAsia="zh-CN"/>
              </w:rPr>
              <w:t>。</w:t>
            </w:r>
          </w:p>
          <w:p>
            <w:pPr>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（2）纵断面</w:t>
            </w:r>
          </w:p>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宁县滨河大桥顺接道路全长</w:t>
            </w:r>
            <w:r>
              <w:rPr>
                <w:rFonts w:hint="default" w:ascii="Times New Roman" w:hAnsi="Times New Roman" w:eastAsia="宋体" w:cs="Times New Roman"/>
                <w:color w:val="auto"/>
                <w:sz w:val="24"/>
                <w:lang w:val="en-US" w:eastAsia="zh-CN"/>
              </w:rPr>
              <w:t>269.521m</w:t>
            </w:r>
            <w:r>
              <w:rPr>
                <w:rFonts w:hint="eastAsia" w:ascii="Times New Roman" w:hAnsi="Times New Roman" w:eastAsia="宋体" w:cs="Times New Roman"/>
                <w:color w:val="auto"/>
                <w:sz w:val="24"/>
                <w:lang w:val="en-US" w:eastAsia="zh-CN"/>
              </w:rPr>
              <w:t>，全线共设置</w:t>
            </w:r>
            <w:r>
              <w:rPr>
                <w:rFonts w:hint="default"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lang w:val="en-US" w:eastAsia="zh-CN"/>
              </w:rPr>
              <w:t>处竖曲线，凸形竖曲线最小半径为</w:t>
            </w:r>
            <w:r>
              <w:rPr>
                <w:rFonts w:hint="default" w:ascii="Times New Roman" w:hAnsi="Times New Roman" w:eastAsia="宋体" w:cs="Times New Roman"/>
                <w:color w:val="auto"/>
                <w:sz w:val="24"/>
                <w:lang w:val="en-US" w:eastAsia="zh-CN"/>
              </w:rPr>
              <w:t>4600m</w:t>
            </w:r>
            <w:r>
              <w:rPr>
                <w:rFonts w:hint="eastAsia" w:ascii="Times New Roman" w:hAnsi="Times New Roman" w:eastAsia="宋体" w:cs="Times New Roman"/>
                <w:color w:val="auto"/>
                <w:sz w:val="24"/>
                <w:lang w:val="en-US" w:eastAsia="zh-CN"/>
              </w:rPr>
              <w:t>，竖曲线最小长度为</w:t>
            </w:r>
            <w:r>
              <w:rPr>
                <w:rFonts w:hint="default" w:ascii="Times New Roman" w:hAnsi="Times New Roman" w:eastAsia="宋体" w:cs="Times New Roman"/>
                <w:color w:val="auto"/>
                <w:sz w:val="24"/>
                <w:lang w:val="en-US" w:eastAsia="zh-CN"/>
              </w:rPr>
              <w:t>91.988m</w:t>
            </w:r>
            <w:r>
              <w:rPr>
                <w:rFonts w:hint="eastAsia" w:ascii="Times New Roman" w:hAnsi="Times New Roman" w:eastAsia="宋体" w:cs="Times New Roman"/>
                <w:color w:val="auto"/>
                <w:sz w:val="24"/>
                <w:lang w:val="en-US" w:eastAsia="zh-CN"/>
              </w:rPr>
              <w:t>，道路最大设计纵坡为</w:t>
            </w:r>
            <w:r>
              <w:rPr>
                <w:rFonts w:hint="default" w:ascii="Times New Roman" w:hAnsi="Times New Roman" w:eastAsia="宋体" w:cs="Times New Roman"/>
                <w:color w:val="auto"/>
                <w:sz w:val="24"/>
                <w:lang w:val="en-US" w:eastAsia="zh-CN"/>
              </w:rPr>
              <w:t>1.0%</w:t>
            </w:r>
            <w:r>
              <w:rPr>
                <w:rFonts w:hint="eastAsia" w:ascii="Times New Roman" w:hAnsi="Times New Roman" w:eastAsia="宋体" w:cs="Times New Roman"/>
                <w:color w:val="auto"/>
                <w:sz w:val="24"/>
                <w:lang w:val="en-US" w:eastAsia="zh-CN"/>
              </w:rPr>
              <w:t>，最小设计纵坡为</w:t>
            </w:r>
            <w:r>
              <w:rPr>
                <w:rFonts w:hint="default" w:ascii="Times New Roman" w:hAnsi="Times New Roman" w:eastAsia="宋体" w:cs="Times New Roman"/>
                <w:color w:val="auto"/>
                <w:sz w:val="24"/>
                <w:lang w:val="en-US" w:eastAsia="zh-CN"/>
              </w:rPr>
              <w:t>1.0%</w:t>
            </w:r>
            <w:r>
              <w:rPr>
                <w:rFonts w:hint="eastAsia" w:ascii="Times New Roman" w:hAnsi="Times New Roman" w:eastAsia="宋体" w:cs="Times New Roman"/>
                <w:color w:val="auto"/>
                <w:sz w:val="24"/>
                <w:lang w:val="en-US" w:eastAsia="zh-CN"/>
              </w:rPr>
              <w:t xml:space="preserve">，道路纵断面设计均满足《城市道路路线设计规范》《城市桥梁设计规范》的要求。 </w:t>
            </w:r>
          </w:p>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滨河西路改造道路最大设计纵坡为</w:t>
            </w:r>
            <w:r>
              <w:rPr>
                <w:rFonts w:hint="default" w:ascii="Times New Roman" w:hAnsi="Times New Roman" w:eastAsia="宋体" w:cs="Times New Roman"/>
                <w:color w:val="auto"/>
                <w:sz w:val="24"/>
                <w:lang w:val="en-US" w:eastAsia="zh-CN"/>
              </w:rPr>
              <w:t>1.388%</w:t>
            </w:r>
            <w:r>
              <w:rPr>
                <w:rFonts w:hint="eastAsia" w:ascii="Times New Roman" w:hAnsi="Times New Roman" w:eastAsia="宋体" w:cs="Times New Roman"/>
                <w:color w:val="auto"/>
                <w:sz w:val="24"/>
                <w:lang w:val="en-US" w:eastAsia="zh-CN"/>
              </w:rPr>
              <w:t>，最小设计纵坡为</w:t>
            </w:r>
            <w:r>
              <w:rPr>
                <w:rFonts w:hint="default" w:ascii="Times New Roman" w:hAnsi="Times New Roman" w:eastAsia="宋体" w:cs="Times New Roman"/>
                <w:color w:val="auto"/>
                <w:sz w:val="24"/>
                <w:lang w:val="en-US" w:eastAsia="zh-CN"/>
              </w:rPr>
              <w:t>0.863%</w:t>
            </w:r>
            <w:r>
              <w:rPr>
                <w:rFonts w:hint="eastAsia" w:ascii="Times New Roman" w:hAnsi="Times New Roman" w:eastAsia="宋体" w:cs="Times New Roman"/>
                <w:color w:val="auto"/>
                <w:sz w:val="24"/>
                <w:lang w:val="en-US" w:eastAsia="zh-CN"/>
              </w:rPr>
              <w:t>，以</w:t>
            </w:r>
            <w:r>
              <w:rPr>
                <w:rFonts w:hint="default" w:ascii="Times New Roman" w:hAnsi="Times New Roman" w:eastAsia="宋体" w:cs="Times New Roman"/>
                <w:color w:val="auto"/>
                <w:sz w:val="24"/>
                <w:lang w:val="en-US" w:eastAsia="zh-CN"/>
              </w:rPr>
              <w:t>T</w:t>
            </w:r>
            <w:r>
              <w:rPr>
                <w:rFonts w:hint="eastAsia" w:ascii="Times New Roman" w:hAnsi="Times New Roman" w:eastAsia="宋体" w:cs="Times New Roman"/>
                <w:color w:val="auto"/>
                <w:sz w:val="24"/>
                <w:lang w:val="en-US" w:eastAsia="zh-CN"/>
              </w:rPr>
              <w:t>型交叉口为中心呈人字坡布置，改造道路全长</w:t>
            </w:r>
            <w:r>
              <w:rPr>
                <w:rFonts w:hint="default" w:ascii="Times New Roman" w:hAnsi="Times New Roman" w:eastAsia="宋体" w:cs="Times New Roman"/>
                <w:color w:val="auto"/>
                <w:sz w:val="24"/>
                <w:lang w:val="en-US" w:eastAsia="zh-CN"/>
              </w:rPr>
              <w:t>218m</w:t>
            </w:r>
            <w:r>
              <w:rPr>
                <w:rFonts w:hint="eastAsia" w:ascii="Times New Roman" w:hAnsi="Times New Roman" w:eastAsia="宋体" w:cs="Times New Roman"/>
                <w:color w:val="auto"/>
                <w:sz w:val="24"/>
                <w:lang w:val="en-US" w:eastAsia="zh-CN"/>
              </w:rPr>
              <w:t>，需对西侧滨河路抬高</w:t>
            </w:r>
            <w:r>
              <w:rPr>
                <w:rFonts w:hint="default" w:ascii="Times New Roman" w:hAnsi="Times New Roman" w:eastAsia="宋体" w:cs="Times New Roman"/>
                <w:color w:val="auto"/>
                <w:sz w:val="24"/>
                <w:lang w:val="en-US" w:eastAsia="zh-CN"/>
              </w:rPr>
              <w:t>1.73m</w:t>
            </w:r>
            <w:r>
              <w:rPr>
                <w:rFonts w:hint="eastAsia" w:ascii="Times New Roman" w:hAnsi="Times New Roman" w:eastAsia="宋体" w:cs="Times New Roman"/>
                <w:color w:val="auto"/>
                <w:sz w:val="24"/>
                <w:lang w:val="en-US" w:eastAsia="zh-CN"/>
              </w:rPr>
              <w:t>顺接。</w:t>
            </w:r>
          </w:p>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滨河东路改造道路最大设计纵坡为</w:t>
            </w:r>
            <w:r>
              <w:rPr>
                <w:rFonts w:hint="default" w:ascii="Times New Roman" w:hAnsi="Times New Roman" w:eastAsia="宋体" w:cs="Times New Roman"/>
                <w:color w:val="auto"/>
                <w:sz w:val="24"/>
                <w:lang w:val="en-US" w:eastAsia="zh-CN"/>
              </w:rPr>
              <w:t>2.5%</w:t>
            </w:r>
            <w:r>
              <w:rPr>
                <w:rFonts w:hint="eastAsia" w:ascii="Times New Roman" w:hAnsi="Times New Roman" w:eastAsia="宋体" w:cs="Times New Roman"/>
                <w:color w:val="auto"/>
                <w:sz w:val="24"/>
                <w:lang w:val="en-US" w:eastAsia="zh-CN"/>
              </w:rPr>
              <w:t>，最小设计纵坡为</w:t>
            </w:r>
            <w:r>
              <w:rPr>
                <w:rFonts w:hint="default" w:ascii="Times New Roman" w:hAnsi="Times New Roman" w:eastAsia="宋体" w:cs="Times New Roman"/>
                <w:color w:val="auto"/>
                <w:sz w:val="24"/>
                <w:lang w:val="en-US" w:eastAsia="zh-CN"/>
              </w:rPr>
              <w:t>2.5%</w:t>
            </w:r>
            <w:r>
              <w:rPr>
                <w:rFonts w:hint="eastAsia" w:ascii="Times New Roman" w:hAnsi="Times New Roman" w:eastAsia="宋体" w:cs="Times New Roman"/>
                <w:color w:val="auto"/>
                <w:sz w:val="24"/>
                <w:lang w:val="en-US" w:eastAsia="zh-CN"/>
              </w:rPr>
              <w:t>，以</w:t>
            </w:r>
            <w:r>
              <w:rPr>
                <w:rFonts w:hint="default" w:ascii="Times New Roman" w:hAnsi="Times New Roman" w:eastAsia="宋体" w:cs="Times New Roman"/>
                <w:color w:val="auto"/>
                <w:sz w:val="24"/>
                <w:lang w:val="en-US" w:eastAsia="zh-CN"/>
              </w:rPr>
              <w:t>T</w:t>
            </w:r>
            <w:r>
              <w:rPr>
                <w:rFonts w:hint="eastAsia" w:ascii="Times New Roman" w:hAnsi="Times New Roman" w:eastAsia="宋体" w:cs="Times New Roman"/>
                <w:color w:val="auto"/>
                <w:sz w:val="24"/>
                <w:lang w:val="en-US" w:eastAsia="zh-CN"/>
              </w:rPr>
              <w:t>型交叉口为中心呈人字坡布置。改造道路全长</w:t>
            </w:r>
            <w:r>
              <w:rPr>
                <w:rFonts w:hint="default" w:ascii="Times New Roman" w:hAnsi="Times New Roman" w:eastAsia="宋体" w:cs="Times New Roman"/>
                <w:color w:val="auto"/>
                <w:sz w:val="24"/>
                <w:lang w:val="en-US" w:eastAsia="zh-CN"/>
              </w:rPr>
              <w:t>190m</w:t>
            </w:r>
            <w:r>
              <w:rPr>
                <w:rFonts w:hint="eastAsia" w:ascii="Times New Roman" w:hAnsi="Times New Roman" w:eastAsia="宋体" w:cs="Times New Roman"/>
                <w:color w:val="auto"/>
                <w:sz w:val="24"/>
                <w:lang w:val="en-US" w:eastAsia="zh-CN"/>
              </w:rPr>
              <w:t xml:space="preserve">，需对东滨河路抬高 </w:t>
            </w:r>
            <w:r>
              <w:rPr>
                <w:rFonts w:hint="default" w:ascii="Times New Roman" w:hAnsi="Times New Roman" w:eastAsia="宋体" w:cs="Times New Roman"/>
                <w:color w:val="auto"/>
                <w:sz w:val="24"/>
                <w:lang w:val="en-US" w:eastAsia="zh-CN"/>
              </w:rPr>
              <w:t>1.75m</w:t>
            </w:r>
            <w:r>
              <w:rPr>
                <w:rFonts w:hint="eastAsia" w:ascii="Times New Roman" w:hAnsi="Times New Roman" w:eastAsia="宋体" w:cs="Times New Roman"/>
                <w:color w:val="auto"/>
                <w:sz w:val="24"/>
                <w:lang w:val="en-US" w:eastAsia="zh-CN"/>
              </w:rPr>
              <w:t>顺接。</w:t>
            </w:r>
          </w:p>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3.2交叉口设计</w:t>
            </w:r>
          </w:p>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本次道路平面设计依据道路等级及项目特点合理地设置交叉口，道路西端起点与滨河西路</w:t>
            </w:r>
            <w:r>
              <w:rPr>
                <w:rFonts w:hint="default" w:ascii="Times New Roman" w:hAnsi="Times New Roman" w:eastAsia="宋体" w:cs="Times New Roman"/>
                <w:color w:val="auto"/>
                <w:sz w:val="24"/>
                <w:lang w:val="en-US" w:eastAsia="zh-CN"/>
              </w:rPr>
              <w:t>T</w:t>
            </w:r>
            <w:r>
              <w:rPr>
                <w:rFonts w:hint="eastAsia" w:ascii="Times New Roman" w:hAnsi="Times New Roman" w:eastAsia="宋体" w:cs="Times New Roman"/>
                <w:color w:val="auto"/>
                <w:sz w:val="24"/>
                <w:lang w:val="en-US" w:eastAsia="zh-CN"/>
              </w:rPr>
              <w:t>型平面交叉，道路桩号</w:t>
            </w:r>
            <w:r>
              <w:rPr>
                <w:rFonts w:hint="default" w:ascii="Times New Roman" w:hAnsi="Times New Roman" w:eastAsia="宋体" w:cs="Times New Roman"/>
                <w:color w:val="auto"/>
                <w:sz w:val="24"/>
                <w:lang w:val="en-US" w:eastAsia="zh-CN"/>
              </w:rPr>
              <w:t>K0+135.23</w:t>
            </w:r>
            <w:r>
              <w:rPr>
                <w:rFonts w:hint="eastAsia" w:ascii="Times New Roman" w:hAnsi="Times New Roman" w:eastAsia="宋体" w:cs="Times New Roman"/>
                <w:color w:val="auto"/>
                <w:sz w:val="24"/>
                <w:lang w:val="en-US" w:eastAsia="zh-CN"/>
              </w:rPr>
              <w:t>处上跨马莲河，道路东端终点与现状滨河东路</w:t>
            </w:r>
            <w:r>
              <w:rPr>
                <w:rFonts w:hint="default" w:ascii="Times New Roman" w:hAnsi="Times New Roman" w:eastAsia="宋体" w:cs="Times New Roman"/>
                <w:color w:val="auto"/>
                <w:sz w:val="24"/>
                <w:lang w:val="en-US" w:eastAsia="zh-CN"/>
              </w:rPr>
              <w:t>T</w:t>
            </w:r>
            <w:r>
              <w:rPr>
                <w:rFonts w:hint="eastAsia" w:ascii="Times New Roman" w:hAnsi="Times New Roman" w:eastAsia="宋体" w:cs="Times New Roman"/>
                <w:color w:val="auto"/>
                <w:sz w:val="24"/>
                <w:lang w:val="en-US" w:eastAsia="zh-CN"/>
              </w:rPr>
              <w:t>型平面交叉。道路在跨越马莲河处设置宁县滨河</w:t>
            </w:r>
            <w:r>
              <w:rPr>
                <w:rFonts w:hint="eastAsia" w:ascii="Times New Roman" w:hAnsi="Times New Roman" w:eastAsia="宋体" w:cs="Times New Roman"/>
                <w:color w:val="FF0000"/>
                <w:sz w:val="24"/>
                <w:lang w:val="en-US" w:eastAsia="zh-CN"/>
              </w:rPr>
              <w:t xml:space="preserve">大桥一座（桥长 </w:t>
            </w:r>
            <w:r>
              <w:rPr>
                <w:rFonts w:hint="default" w:ascii="Times New Roman" w:hAnsi="Times New Roman" w:eastAsia="宋体" w:cs="Times New Roman"/>
                <w:color w:val="FF0000"/>
                <w:sz w:val="24"/>
                <w:lang w:val="en-US" w:eastAsia="zh-CN"/>
              </w:rPr>
              <w:t>24</w:t>
            </w:r>
            <w:r>
              <w:rPr>
                <w:rFonts w:hint="eastAsia" w:cs="Times New Roman"/>
                <w:color w:val="FF0000"/>
                <w:sz w:val="24"/>
                <w:lang w:val="en-US" w:eastAsia="zh-CN"/>
              </w:rPr>
              <w:t>8</w:t>
            </w:r>
            <w:r>
              <w:rPr>
                <w:rFonts w:hint="default" w:ascii="Times New Roman" w:hAnsi="Times New Roman" w:eastAsia="宋体" w:cs="Times New Roman"/>
                <w:color w:val="FF0000"/>
                <w:sz w:val="24"/>
                <w:lang w:val="en-US" w:eastAsia="zh-CN"/>
              </w:rPr>
              <w:t>m</w:t>
            </w:r>
            <w:r>
              <w:rPr>
                <w:rFonts w:hint="eastAsia" w:ascii="Times New Roman" w:hAnsi="Times New Roman" w:eastAsia="宋体" w:cs="Times New Roman"/>
                <w:color w:val="FF0000"/>
                <w:sz w:val="24"/>
                <w:lang w:val="en-US" w:eastAsia="zh-CN"/>
              </w:rPr>
              <w:t>）。</w:t>
            </w:r>
          </w:p>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交叉口范围设计时注意节约用地、合理拆迁，设计时还需考虑行人的通行，并适应残疾人、老人、儿童等弱势群体的要求。</w:t>
            </w:r>
          </w:p>
          <w:p>
            <w:pPr>
              <w:pStyle w:val="51"/>
              <w:ind w:right="-1"/>
              <w:jc w:val="center"/>
              <w:rPr>
                <w:rFonts w:hint="eastAsia" w:ascii="Times New Roman" w:hAnsi="Times New Roman" w:eastAsia="宋体" w:cs="Times New Roman"/>
                <w:color w:val="auto"/>
                <w:lang w:eastAsia="zh-CN"/>
              </w:rPr>
            </w:pPr>
          </w:p>
          <w:p>
            <w:pPr>
              <w:pStyle w:val="51"/>
              <w:ind w:right="-1"/>
              <w:jc w:val="center"/>
              <w:rPr>
                <w:rFonts w:hint="eastAsia"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w:t>
            </w:r>
            <w:r>
              <w:rPr>
                <w:rFonts w:hint="eastAsia" w:ascii="Times New Roman" w:hAnsi="Times New Roman" w:eastAsia="宋体" w:cs="Times New Roman"/>
                <w:b/>
                <w:bCs/>
                <w:color w:val="auto"/>
                <w:sz w:val="24"/>
                <w:szCs w:val="24"/>
                <w:lang w:val="en-US" w:eastAsia="zh-CN"/>
              </w:rPr>
              <w:t>2-</w:t>
            </w:r>
            <w:r>
              <w:rPr>
                <w:rFonts w:hint="eastAsia" w:cs="Times New Roman"/>
                <w:b/>
                <w:bCs/>
                <w:color w:val="auto"/>
                <w:sz w:val="24"/>
                <w:szCs w:val="24"/>
                <w:lang w:val="en-US" w:eastAsia="zh-CN"/>
              </w:rPr>
              <w:t>9交叉口设计</w:t>
            </w:r>
            <w:r>
              <w:rPr>
                <w:rFonts w:hint="eastAsia" w:ascii="Times New Roman" w:hAnsi="Times New Roman" w:eastAsia="宋体" w:cs="Times New Roman"/>
                <w:b/>
                <w:bCs/>
                <w:color w:val="auto"/>
                <w:sz w:val="24"/>
                <w:szCs w:val="24"/>
                <w:lang w:eastAsia="zh-CN"/>
              </w:rPr>
              <w:t>一览表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1240"/>
              <w:gridCol w:w="1092"/>
              <w:gridCol w:w="1274"/>
              <w:gridCol w:w="1323"/>
              <w:gridCol w:w="1183"/>
              <w:gridCol w:w="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widowControl/>
                    <w:jc w:val="center"/>
                    <w:rPr>
                      <w:rFonts w:hint="eastAsia"/>
                      <w:color w:val="auto"/>
                      <w:lang w:val="en-US" w:eastAsia="zh-CN"/>
                    </w:rPr>
                  </w:pPr>
                  <w:r>
                    <w:rPr>
                      <w:rFonts w:hint="eastAsia"/>
                      <w:color w:val="auto"/>
                      <w:lang w:val="en-US" w:eastAsia="zh-CN"/>
                    </w:rPr>
                    <w:t>序号</w:t>
                  </w:r>
                </w:p>
              </w:tc>
              <w:tc>
                <w:tcPr>
                  <w:tcW w:w="1242" w:type="dxa"/>
                </w:tcPr>
                <w:p>
                  <w:pPr>
                    <w:widowControl/>
                    <w:jc w:val="center"/>
                    <w:rPr>
                      <w:rFonts w:hint="eastAsia"/>
                      <w:color w:val="auto"/>
                      <w:lang w:val="en-US" w:eastAsia="zh-CN"/>
                    </w:rPr>
                  </w:pPr>
                  <w:r>
                    <w:rPr>
                      <w:rFonts w:hint="eastAsia"/>
                      <w:color w:val="auto"/>
                      <w:lang w:val="en-US" w:eastAsia="zh-CN"/>
                    </w:rPr>
                    <w:t>相交道路</w:t>
                  </w:r>
                </w:p>
              </w:tc>
              <w:tc>
                <w:tcPr>
                  <w:tcW w:w="1094" w:type="dxa"/>
                </w:tcPr>
                <w:p>
                  <w:pPr>
                    <w:widowControl/>
                    <w:jc w:val="center"/>
                    <w:rPr>
                      <w:color w:val="auto"/>
                    </w:rPr>
                  </w:pPr>
                  <w:r>
                    <w:rPr>
                      <w:rFonts w:hint="eastAsia"/>
                      <w:color w:val="auto"/>
                      <w:lang w:val="en-US" w:eastAsia="zh-CN"/>
                    </w:rPr>
                    <w:t>交叉型式</w:t>
                  </w:r>
                </w:p>
                <w:p>
                  <w:pPr>
                    <w:widowControl/>
                    <w:jc w:val="center"/>
                    <w:rPr>
                      <w:rFonts w:hint="eastAsia"/>
                      <w:color w:val="auto"/>
                      <w:lang w:val="en-US" w:eastAsia="zh-CN"/>
                    </w:rPr>
                  </w:pPr>
                </w:p>
              </w:tc>
              <w:tc>
                <w:tcPr>
                  <w:tcW w:w="1274" w:type="dxa"/>
                </w:tcPr>
                <w:p>
                  <w:pPr>
                    <w:widowControl/>
                    <w:jc w:val="center"/>
                    <w:rPr>
                      <w:color w:val="auto"/>
                    </w:rPr>
                  </w:pPr>
                  <w:r>
                    <w:rPr>
                      <w:rFonts w:hint="eastAsia"/>
                      <w:color w:val="auto"/>
                      <w:lang w:val="en-US" w:eastAsia="zh-CN"/>
                    </w:rPr>
                    <w:t>交叉口里程</w:t>
                  </w:r>
                </w:p>
                <w:p>
                  <w:pPr>
                    <w:widowControl/>
                    <w:jc w:val="center"/>
                    <w:rPr>
                      <w:rFonts w:hint="eastAsia"/>
                      <w:color w:val="auto"/>
                      <w:lang w:val="en-US" w:eastAsia="zh-CN"/>
                    </w:rPr>
                  </w:pPr>
                </w:p>
              </w:tc>
              <w:tc>
                <w:tcPr>
                  <w:tcW w:w="1325" w:type="dxa"/>
                </w:tcPr>
                <w:p>
                  <w:pPr>
                    <w:widowControl/>
                    <w:jc w:val="center"/>
                    <w:rPr>
                      <w:rFonts w:hint="eastAsia"/>
                      <w:color w:val="auto"/>
                      <w:lang w:val="en-US" w:eastAsia="zh-CN"/>
                    </w:rPr>
                  </w:pPr>
                  <w:r>
                    <w:rPr>
                      <w:rFonts w:hint="eastAsia"/>
                      <w:color w:val="auto"/>
                      <w:lang w:val="en-US" w:eastAsia="zh-CN"/>
                    </w:rPr>
                    <w:t>相交道路等级</w:t>
                  </w:r>
                  <w:r>
                    <w:rPr>
                      <w:rFonts w:hint="default"/>
                      <w:color w:val="auto"/>
                      <w:lang w:val="en-US" w:eastAsia="zh-CN"/>
                    </w:rPr>
                    <w:t>/</w:t>
                  </w:r>
                  <w:r>
                    <w:rPr>
                      <w:rFonts w:hint="eastAsia"/>
                      <w:color w:val="auto"/>
                      <w:lang w:val="en-US" w:eastAsia="zh-CN"/>
                    </w:rPr>
                    <w:t>宽度</w:t>
                  </w:r>
                </w:p>
              </w:tc>
              <w:tc>
                <w:tcPr>
                  <w:tcW w:w="1185" w:type="dxa"/>
                </w:tcPr>
                <w:p>
                  <w:pPr>
                    <w:widowControl/>
                    <w:jc w:val="center"/>
                    <w:rPr>
                      <w:rFonts w:hint="eastAsia"/>
                      <w:color w:val="auto"/>
                      <w:lang w:val="en-US" w:eastAsia="zh-CN"/>
                    </w:rPr>
                  </w:pPr>
                  <w:r>
                    <w:rPr>
                      <w:rFonts w:hint="eastAsia"/>
                      <w:color w:val="auto"/>
                      <w:lang w:val="en-US" w:eastAsia="zh-CN"/>
                    </w:rPr>
                    <w:t>交叉口类型</w:t>
                  </w:r>
                </w:p>
              </w:tc>
              <w:tc>
                <w:tcPr>
                  <w:tcW w:w="788" w:type="dxa"/>
                </w:tcPr>
                <w:p>
                  <w:pPr>
                    <w:widowControl/>
                    <w:jc w:val="center"/>
                    <w:rPr>
                      <w:color w:val="auto"/>
                    </w:rPr>
                  </w:pPr>
                  <w:r>
                    <w:rPr>
                      <w:rFonts w:hint="eastAsia"/>
                      <w:color w:val="auto"/>
                      <w:lang w:val="en-US" w:eastAsia="zh-CN"/>
                    </w:rPr>
                    <w:t>备注</w:t>
                  </w:r>
                </w:p>
                <w:p>
                  <w:pPr>
                    <w:widowControl/>
                    <w:jc w:val="center"/>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widowControl/>
                    <w:jc w:val="center"/>
                    <w:rPr>
                      <w:rFonts w:hint="default"/>
                      <w:color w:val="auto"/>
                      <w:lang w:val="en-US" w:eastAsia="zh-CN"/>
                    </w:rPr>
                  </w:pPr>
                  <w:r>
                    <w:rPr>
                      <w:rFonts w:hint="eastAsia"/>
                      <w:color w:val="auto"/>
                      <w:lang w:val="en-US" w:eastAsia="zh-CN"/>
                    </w:rPr>
                    <w:t>1</w:t>
                  </w:r>
                </w:p>
              </w:tc>
              <w:tc>
                <w:tcPr>
                  <w:tcW w:w="1242" w:type="dxa"/>
                </w:tcPr>
                <w:p>
                  <w:pPr>
                    <w:widowControl/>
                    <w:jc w:val="center"/>
                    <w:rPr>
                      <w:rFonts w:hint="eastAsia"/>
                      <w:color w:val="auto"/>
                      <w:lang w:val="en-US" w:eastAsia="zh-CN"/>
                    </w:rPr>
                  </w:pPr>
                  <w:r>
                    <w:rPr>
                      <w:rFonts w:hint="eastAsia"/>
                      <w:color w:val="auto"/>
                      <w:lang w:val="en-US" w:eastAsia="zh-CN"/>
                    </w:rPr>
                    <w:t>滨河西路</w:t>
                  </w:r>
                </w:p>
              </w:tc>
              <w:tc>
                <w:tcPr>
                  <w:tcW w:w="1094" w:type="dxa"/>
                </w:tcPr>
                <w:p>
                  <w:pPr>
                    <w:widowControl/>
                    <w:jc w:val="center"/>
                    <w:rPr>
                      <w:rFonts w:hint="default"/>
                      <w:color w:val="auto"/>
                      <w:lang w:val="en-US" w:eastAsia="zh-CN"/>
                    </w:rPr>
                  </w:pPr>
                  <w:r>
                    <w:rPr>
                      <w:rFonts w:hint="eastAsia"/>
                      <w:color w:val="auto"/>
                      <w:lang w:val="en-US" w:eastAsia="zh-CN"/>
                    </w:rPr>
                    <w:t>T型</w:t>
                  </w:r>
                </w:p>
              </w:tc>
              <w:tc>
                <w:tcPr>
                  <w:tcW w:w="1274" w:type="dxa"/>
                </w:tcPr>
                <w:p>
                  <w:pPr>
                    <w:widowControl/>
                    <w:jc w:val="center"/>
                    <w:rPr>
                      <w:rFonts w:hint="eastAsia"/>
                      <w:color w:val="auto"/>
                      <w:lang w:val="en-US" w:eastAsia="zh-CN"/>
                    </w:rPr>
                  </w:pPr>
                  <w:r>
                    <w:rPr>
                      <w:rFonts w:hint="default"/>
                      <w:color w:val="auto"/>
                      <w:lang w:val="en-US" w:eastAsia="zh-CN"/>
                    </w:rPr>
                    <w:t>K0+000.00</w:t>
                  </w:r>
                </w:p>
              </w:tc>
              <w:tc>
                <w:tcPr>
                  <w:tcW w:w="1325" w:type="dxa"/>
                </w:tcPr>
                <w:p>
                  <w:pPr>
                    <w:widowControl/>
                    <w:jc w:val="center"/>
                    <w:rPr>
                      <w:rFonts w:hint="eastAsia"/>
                      <w:color w:val="auto"/>
                      <w:lang w:val="en-US" w:eastAsia="zh-CN"/>
                    </w:rPr>
                  </w:pPr>
                  <w:r>
                    <w:rPr>
                      <w:rFonts w:hint="eastAsia"/>
                      <w:color w:val="auto"/>
                      <w:lang w:val="en-US" w:eastAsia="zh-CN"/>
                    </w:rPr>
                    <w:t>次干路</w:t>
                  </w:r>
                  <w:r>
                    <w:rPr>
                      <w:rFonts w:hint="default"/>
                      <w:color w:val="auto"/>
                      <w:lang w:val="en-US" w:eastAsia="zh-CN"/>
                    </w:rPr>
                    <w:t>/21m</w:t>
                  </w:r>
                </w:p>
              </w:tc>
              <w:tc>
                <w:tcPr>
                  <w:tcW w:w="1185" w:type="dxa"/>
                </w:tcPr>
                <w:p>
                  <w:pPr>
                    <w:widowControl/>
                    <w:jc w:val="center"/>
                    <w:rPr>
                      <w:rFonts w:hint="eastAsia"/>
                      <w:color w:val="auto"/>
                      <w:lang w:val="en-US" w:eastAsia="zh-CN"/>
                    </w:rPr>
                  </w:pPr>
                  <w:r>
                    <w:rPr>
                      <w:rFonts w:hint="eastAsia"/>
                      <w:color w:val="auto"/>
                      <w:lang w:val="en-US" w:eastAsia="zh-CN"/>
                    </w:rPr>
                    <w:t xml:space="preserve">平 </w:t>
                  </w:r>
                  <w:r>
                    <w:rPr>
                      <w:rFonts w:hint="default"/>
                      <w:color w:val="auto"/>
                      <w:lang w:val="en-US" w:eastAsia="zh-CN"/>
                    </w:rPr>
                    <w:t>A2</w:t>
                  </w:r>
                </w:p>
              </w:tc>
              <w:tc>
                <w:tcPr>
                  <w:tcW w:w="788" w:type="dxa"/>
                </w:tcPr>
                <w:p>
                  <w:pPr>
                    <w:widowControl/>
                    <w:jc w:val="center"/>
                    <w:rPr>
                      <w:rFonts w:hint="eastAsia"/>
                      <w:color w:val="auto"/>
                      <w:lang w:val="en-US" w:eastAsia="zh-CN"/>
                    </w:rPr>
                  </w:pPr>
                  <w:r>
                    <w:rPr>
                      <w:rFonts w:hint="eastAsia"/>
                      <w:color w:val="auto"/>
                      <w:lang w:val="en-US" w:eastAsia="zh-CN"/>
                    </w:rPr>
                    <w:t>起点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widowControl/>
                    <w:jc w:val="center"/>
                    <w:rPr>
                      <w:rFonts w:hint="default"/>
                      <w:color w:val="auto"/>
                      <w:lang w:val="en-US" w:eastAsia="zh-CN"/>
                    </w:rPr>
                  </w:pPr>
                  <w:r>
                    <w:rPr>
                      <w:rFonts w:hint="eastAsia"/>
                      <w:color w:val="auto"/>
                      <w:lang w:val="en-US" w:eastAsia="zh-CN"/>
                    </w:rPr>
                    <w:t>2</w:t>
                  </w:r>
                </w:p>
              </w:tc>
              <w:tc>
                <w:tcPr>
                  <w:tcW w:w="1242" w:type="dxa"/>
                </w:tcPr>
                <w:p>
                  <w:pPr>
                    <w:widowControl/>
                    <w:jc w:val="center"/>
                    <w:rPr>
                      <w:rFonts w:hint="eastAsia"/>
                      <w:color w:val="auto"/>
                      <w:lang w:val="en-US" w:eastAsia="zh-CN"/>
                    </w:rPr>
                  </w:pPr>
                  <w:r>
                    <w:rPr>
                      <w:rFonts w:hint="eastAsia"/>
                      <w:color w:val="auto"/>
                      <w:lang w:val="en-US" w:eastAsia="zh-CN"/>
                    </w:rPr>
                    <w:t>滨河东路</w:t>
                  </w:r>
                </w:p>
              </w:tc>
              <w:tc>
                <w:tcPr>
                  <w:tcW w:w="1094" w:type="dxa"/>
                </w:tcPr>
                <w:p>
                  <w:pPr>
                    <w:widowControl/>
                    <w:jc w:val="center"/>
                    <w:rPr>
                      <w:rFonts w:hint="eastAsia"/>
                      <w:color w:val="auto"/>
                      <w:lang w:val="en-US" w:eastAsia="zh-CN"/>
                    </w:rPr>
                  </w:pPr>
                  <w:r>
                    <w:rPr>
                      <w:rFonts w:hint="eastAsia"/>
                      <w:color w:val="auto"/>
                      <w:lang w:val="en-US" w:eastAsia="zh-CN"/>
                    </w:rPr>
                    <w:t>T型</w:t>
                  </w:r>
                </w:p>
              </w:tc>
              <w:tc>
                <w:tcPr>
                  <w:tcW w:w="1274" w:type="dxa"/>
                </w:tcPr>
                <w:p>
                  <w:pPr>
                    <w:widowControl/>
                    <w:jc w:val="center"/>
                    <w:rPr>
                      <w:rFonts w:hint="eastAsia"/>
                      <w:color w:val="auto"/>
                      <w:lang w:val="en-US" w:eastAsia="zh-CN"/>
                    </w:rPr>
                  </w:pPr>
                  <w:r>
                    <w:rPr>
                      <w:rFonts w:hint="default"/>
                      <w:color w:val="auto"/>
                      <w:lang w:val="en-US" w:eastAsia="zh-CN"/>
                    </w:rPr>
                    <w:t>K0+269.521</w:t>
                  </w:r>
                </w:p>
              </w:tc>
              <w:tc>
                <w:tcPr>
                  <w:tcW w:w="1325" w:type="dxa"/>
                </w:tcPr>
                <w:p>
                  <w:pPr>
                    <w:widowControl/>
                    <w:jc w:val="center"/>
                    <w:rPr>
                      <w:rFonts w:hint="eastAsia"/>
                      <w:color w:val="auto"/>
                      <w:lang w:val="en-US" w:eastAsia="zh-CN"/>
                    </w:rPr>
                  </w:pPr>
                  <w:r>
                    <w:rPr>
                      <w:rFonts w:hint="eastAsia"/>
                      <w:color w:val="FF0000"/>
                      <w:lang w:val="en-US" w:eastAsia="zh-CN"/>
                    </w:rPr>
                    <w:t>次干路</w:t>
                  </w:r>
                  <w:r>
                    <w:rPr>
                      <w:rFonts w:hint="default"/>
                      <w:color w:val="FF0000"/>
                      <w:lang w:val="en-US" w:eastAsia="zh-CN"/>
                    </w:rPr>
                    <w:t>/</w:t>
                  </w:r>
                  <w:r>
                    <w:rPr>
                      <w:rFonts w:hint="eastAsia"/>
                      <w:color w:val="FF0000"/>
                      <w:lang w:val="en-US" w:eastAsia="zh-CN"/>
                    </w:rPr>
                    <w:t>18</w:t>
                  </w:r>
                  <w:r>
                    <w:rPr>
                      <w:rFonts w:hint="default"/>
                      <w:color w:val="FF0000"/>
                      <w:lang w:val="en-US" w:eastAsia="zh-CN"/>
                    </w:rPr>
                    <w:t>m</w:t>
                  </w:r>
                </w:p>
              </w:tc>
              <w:tc>
                <w:tcPr>
                  <w:tcW w:w="1185" w:type="dxa"/>
                </w:tcPr>
                <w:p>
                  <w:pPr>
                    <w:widowControl/>
                    <w:jc w:val="center"/>
                    <w:rPr>
                      <w:rFonts w:hint="eastAsia"/>
                      <w:color w:val="auto"/>
                      <w:lang w:val="en-US" w:eastAsia="zh-CN"/>
                    </w:rPr>
                  </w:pPr>
                  <w:r>
                    <w:rPr>
                      <w:rFonts w:hint="eastAsia"/>
                      <w:color w:val="auto"/>
                      <w:lang w:val="en-US" w:eastAsia="zh-CN"/>
                    </w:rPr>
                    <w:t xml:space="preserve">平 </w:t>
                  </w:r>
                  <w:r>
                    <w:rPr>
                      <w:rFonts w:hint="default"/>
                      <w:color w:val="auto"/>
                      <w:lang w:val="en-US" w:eastAsia="zh-CN"/>
                    </w:rPr>
                    <w:t>A2</w:t>
                  </w:r>
                </w:p>
              </w:tc>
              <w:tc>
                <w:tcPr>
                  <w:tcW w:w="788" w:type="dxa"/>
                </w:tcPr>
                <w:p>
                  <w:pPr>
                    <w:widowControl/>
                    <w:jc w:val="center"/>
                    <w:rPr>
                      <w:rFonts w:hint="eastAsia"/>
                      <w:color w:val="auto"/>
                      <w:lang w:val="en-US" w:eastAsia="zh-CN"/>
                    </w:rPr>
                  </w:pPr>
                  <w:r>
                    <w:rPr>
                      <w:rFonts w:hint="eastAsia"/>
                      <w:color w:val="auto"/>
                      <w:lang w:val="en-US" w:eastAsia="zh-CN"/>
                    </w:rPr>
                    <w:t>终点</w:t>
                  </w:r>
                </w:p>
              </w:tc>
            </w:tr>
          </w:tbl>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3.3路基设计</w:t>
            </w:r>
          </w:p>
          <w:p>
            <w:pPr>
              <w:spacing w:line="360" w:lineRule="auto"/>
              <w:ind w:firstLine="480" w:firstLineChars="200"/>
              <w:rPr>
                <w:rFonts w:hint="default"/>
                <w:color w:val="auto"/>
                <w:sz w:val="24"/>
                <w:lang w:val="en-US" w:eastAsia="zh-CN"/>
              </w:rPr>
            </w:pPr>
            <w:r>
              <w:rPr>
                <w:rFonts w:hint="eastAsia"/>
                <w:color w:val="auto"/>
                <w:sz w:val="24"/>
                <w:lang w:val="en-US" w:eastAsia="zh-CN"/>
              </w:rPr>
              <w:t>（1）一般路基设计</w:t>
            </w:r>
          </w:p>
          <w:p>
            <w:pPr>
              <w:spacing w:line="360" w:lineRule="auto"/>
              <w:ind w:firstLine="480" w:firstLineChars="200"/>
              <w:rPr>
                <w:color w:val="auto"/>
                <w:sz w:val="24"/>
              </w:rPr>
            </w:pPr>
            <w:r>
              <w:rPr>
                <w:rFonts w:hint="eastAsia"/>
                <w:color w:val="auto"/>
                <w:sz w:val="24"/>
                <w:lang w:val="en-US" w:eastAsia="zh-CN"/>
              </w:rPr>
              <w:t>路堤边坡高度</w:t>
            </w:r>
            <w:r>
              <w:rPr>
                <w:rFonts w:hint="default"/>
                <w:color w:val="auto"/>
                <w:sz w:val="24"/>
                <w:lang w:val="en-US" w:eastAsia="zh-CN"/>
              </w:rPr>
              <w:t>≤8m</w:t>
            </w:r>
            <w:r>
              <w:rPr>
                <w:rFonts w:hint="eastAsia"/>
                <w:color w:val="auto"/>
                <w:sz w:val="24"/>
                <w:lang w:val="en-US" w:eastAsia="zh-CN"/>
              </w:rPr>
              <w:t>，边坡坡度采用</w:t>
            </w:r>
            <w:r>
              <w:rPr>
                <w:rFonts w:hint="default"/>
                <w:color w:val="auto"/>
                <w:sz w:val="24"/>
                <w:lang w:val="en-US" w:eastAsia="zh-CN"/>
              </w:rPr>
              <w:t>1</w:t>
            </w:r>
            <w:r>
              <w:rPr>
                <w:rFonts w:hint="eastAsia"/>
                <w:color w:val="auto"/>
                <w:sz w:val="24"/>
                <w:lang w:val="en-US" w:eastAsia="zh-CN"/>
              </w:rPr>
              <w:t>：</w:t>
            </w:r>
            <w:r>
              <w:rPr>
                <w:rFonts w:hint="default"/>
                <w:color w:val="auto"/>
                <w:sz w:val="24"/>
                <w:lang w:val="en-US" w:eastAsia="zh-CN"/>
              </w:rPr>
              <w:t>1.5</w:t>
            </w:r>
            <w:r>
              <w:rPr>
                <w:rFonts w:hint="eastAsia"/>
                <w:color w:val="auto"/>
                <w:sz w:val="24"/>
                <w:lang w:val="en-US" w:eastAsia="zh-CN"/>
              </w:rPr>
              <w:t>。路堤边坡高度高于</w:t>
            </w:r>
            <w:r>
              <w:rPr>
                <w:rFonts w:hint="default"/>
                <w:color w:val="auto"/>
                <w:sz w:val="24"/>
                <w:lang w:val="en-US" w:eastAsia="zh-CN"/>
              </w:rPr>
              <w:t>8m</w:t>
            </w:r>
            <w:r>
              <w:rPr>
                <w:rFonts w:hint="eastAsia"/>
                <w:color w:val="auto"/>
                <w:sz w:val="24"/>
                <w:lang w:val="en-US" w:eastAsia="zh-CN"/>
              </w:rPr>
              <w:t>、小于</w:t>
            </w:r>
            <w:r>
              <w:rPr>
                <w:rFonts w:hint="default"/>
                <w:color w:val="auto"/>
                <w:sz w:val="24"/>
                <w:lang w:val="en-US" w:eastAsia="zh-CN"/>
              </w:rPr>
              <w:t>20m</w:t>
            </w:r>
            <w:r>
              <w:rPr>
                <w:rFonts w:hint="eastAsia"/>
                <w:color w:val="auto"/>
                <w:sz w:val="24"/>
                <w:lang w:val="en-US" w:eastAsia="zh-CN"/>
              </w:rPr>
              <w:t>的高填方路基边坡采用逐级放坡并设护坡道，上部边坡</w:t>
            </w:r>
            <w:r>
              <w:rPr>
                <w:rFonts w:hint="default"/>
                <w:color w:val="auto"/>
                <w:sz w:val="24"/>
                <w:lang w:val="en-US" w:eastAsia="zh-CN"/>
              </w:rPr>
              <w:t>1:1.5</w:t>
            </w:r>
            <w:r>
              <w:rPr>
                <w:rFonts w:hint="eastAsia"/>
                <w:color w:val="auto"/>
                <w:sz w:val="24"/>
                <w:lang w:val="en-US" w:eastAsia="zh-CN"/>
              </w:rPr>
              <w:t>，下部边坡</w:t>
            </w:r>
            <w:r>
              <w:rPr>
                <w:rFonts w:hint="default"/>
                <w:color w:val="auto"/>
                <w:sz w:val="24"/>
                <w:lang w:val="en-US" w:eastAsia="zh-CN"/>
              </w:rPr>
              <w:t>1:1.75</w:t>
            </w:r>
            <w:r>
              <w:rPr>
                <w:rFonts w:hint="eastAsia"/>
                <w:color w:val="auto"/>
                <w:sz w:val="24"/>
                <w:lang w:val="en-US" w:eastAsia="zh-CN"/>
              </w:rPr>
              <w:t xml:space="preserve">。 </w:t>
            </w:r>
          </w:p>
          <w:p>
            <w:pPr>
              <w:spacing w:line="360" w:lineRule="auto"/>
              <w:ind w:firstLine="480" w:firstLineChars="200"/>
              <w:rPr>
                <w:color w:val="auto"/>
                <w:sz w:val="24"/>
              </w:rPr>
            </w:pPr>
            <w:r>
              <w:rPr>
                <w:rFonts w:hint="eastAsia"/>
                <w:color w:val="auto"/>
                <w:sz w:val="24"/>
                <w:lang w:val="en-US" w:eastAsia="zh-CN"/>
              </w:rPr>
              <w:t>路堑或挖方路基边坡高度</w:t>
            </w:r>
            <w:r>
              <w:rPr>
                <w:rFonts w:hint="default"/>
                <w:color w:val="auto"/>
                <w:sz w:val="24"/>
                <w:lang w:val="en-US" w:eastAsia="zh-CN"/>
              </w:rPr>
              <w:t>≤8m</w:t>
            </w:r>
            <w:r>
              <w:rPr>
                <w:rFonts w:hint="eastAsia"/>
                <w:color w:val="auto"/>
                <w:sz w:val="24"/>
                <w:lang w:val="en-US" w:eastAsia="zh-CN"/>
              </w:rPr>
              <w:t>，路堑边坡坡度采用</w:t>
            </w:r>
            <w:r>
              <w:rPr>
                <w:rFonts w:hint="default"/>
                <w:color w:val="auto"/>
                <w:sz w:val="24"/>
                <w:lang w:val="en-US" w:eastAsia="zh-CN"/>
              </w:rPr>
              <w:t>1</w:t>
            </w:r>
            <w:r>
              <w:rPr>
                <w:rFonts w:hint="eastAsia"/>
                <w:color w:val="auto"/>
                <w:sz w:val="24"/>
                <w:lang w:val="en-US" w:eastAsia="zh-CN"/>
              </w:rPr>
              <w:t>：</w:t>
            </w:r>
            <w:r>
              <w:rPr>
                <w:rFonts w:hint="default"/>
                <w:color w:val="auto"/>
                <w:sz w:val="24"/>
                <w:lang w:val="en-US" w:eastAsia="zh-CN"/>
              </w:rPr>
              <w:t>1</w:t>
            </w:r>
            <w:r>
              <w:rPr>
                <w:rFonts w:hint="eastAsia"/>
                <w:color w:val="auto"/>
                <w:sz w:val="24"/>
                <w:lang w:val="en-US" w:eastAsia="zh-CN"/>
              </w:rPr>
              <w:t>。路堑或挖方路基边坡高度高于</w:t>
            </w:r>
            <w:r>
              <w:rPr>
                <w:rFonts w:hint="default"/>
                <w:color w:val="auto"/>
                <w:sz w:val="24"/>
                <w:lang w:val="en-US" w:eastAsia="zh-CN"/>
              </w:rPr>
              <w:t>8m</w:t>
            </w:r>
            <w:r>
              <w:rPr>
                <w:rFonts w:hint="eastAsia"/>
                <w:color w:val="auto"/>
                <w:sz w:val="24"/>
                <w:lang w:val="en-US" w:eastAsia="zh-CN"/>
              </w:rPr>
              <w:t>，采用分级放坡，边坡坡度采用</w:t>
            </w:r>
            <w:r>
              <w:rPr>
                <w:rFonts w:hint="default"/>
                <w:color w:val="auto"/>
                <w:sz w:val="24"/>
                <w:lang w:val="en-US" w:eastAsia="zh-CN"/>
              </w:rPr>
              <w:t>1</w:t>
            </w:r>
            <w:r>
              <w:rPr>
                <w:rFonts w:hint="eastAsia"/>
                <w:color w:val="auto"/>
                <w:sz w:val="24"/>
                <w:lang w:val="en-US" w:eastAsia="zh-CN"/>
              </w:rPr>
              <w:t>：</w:t>
            </w:r>
            <w:r>
              <w:rPr>
                <w:rFonts w:hint="default"/>
                <w:color w:val="auto"/>
                <w:sz w:val="24"/>
                <w:lang w:val="en-US" w:eastAsia="zh-CN"/>
              </w:rPr>
              <w:t>1.50</w:t>
            </w:r>
            <w:r>
              <w:rPr>
                <w:rFonts w:hint="eastAsia"/>
                <w:color w:val="auto"/>
                <w:sz w:val="24"/>
                <w:lang w:val="en-US" w:eastAsia="zh-CN"/>
              </w:rPr>
              <w:t xml:space="preserve">。 </w:t>
            </w:r>
          </w:p>
          <w:p>
            <w:pPr>
              <w:spacing w:line="360" w:lineRule="auto"/>
              <w:ind w:firstLine="480" w:firstLineChars="200"/>
              <w:rPr>
                <w:rFonts w:hint="eastAsia"/>
                <w:color w:val="auto"/>
                <w:sz w:val="24"/>
                <w:lang w:val="en-US" w:eastAsia="zh-CN"/>
              </w:rPr>
            </w:pPr>
            <w:r>
              <w:rPr>
                <w:rFonts w:hint="eastAsia"/>
                <w:color w:val="auto"/>
                <w:sz w:val="24"/>
                <w:lang w:val="en-US" w:eastAsia="zh-CN"/>
              </w:rPr>
              <w:t>对于原地面坡度大于等于</w:t>
            </w:r>
            <w:r>
              <w:rPr>
                <w:rFonts w:hint="default"/>
                <w:color w:val="auto"/>
                <w:sz w:val="24"/>
                <w:lang w:val="en-US" w:eastAsia="zh-CN"/>
              </w:rPr>
              <w:t xml:space="preserve">1:5 </w:t>
            </w:r>
            <w:r>
              <w:rPr>
                <w:rFonts w:hint="eastAsia"/>
                <w:color w:val="auto"/>
                <w:sz w:val="24"/>
                <w:lang w:val="en-US" w:eastAsia="zh-CN"/>
              </w:rPr>
              <w:t>的路段，需对原地面进行挖台阶处理，台阶宽度大于等于</w:t>
            </w:r>
            <w:r>
              <w:rPr>
                <w:rFonts w:hint="default"/>
                <w:color w:val="auto"/>
                <w:sz w:val="24"/>
                <w:lang w:val="en-US" w:eastAsia="zh-CN"/>
              </w:rPr>
              <w:t>2m</w:t>
            </w:r>
            <w:r>
              <w:rPr>
                <w:rFonts w:hint="eastAsia"/>
                <w:color w:val="auto"/>
                <w:sz w:val="24"/>
                <w:lang w:val="en-US" w:eastAsia="zh-CN"/>
              </w:rPr>
              <w:t>，台阶向内</w:t>
            </w:r>
            <w:r>
              <w:rPr>
                <w:rFonts w:hint="default"/>
                <w:color w:val="auto"/>
                <w:sz w:val="24"/>
                <w:lang w:val="en-US" w:eastAsia="zh-CN"/>
              </w:rPr>
              <w:t>4%</w:t>
            </w:r>
            <w:r>
              <w:rPr>
                <w:rFonts w:hint="eastAsia"/>
                <w:color w:val="auto"/>
                <w:sz w:val="24"/>
                <w:lang w:val="en-US" w:eastAsia="zh-CN"/>
              </w:rPr>
              <w:t>倾斜。</w:t>
            </w:r>
          </w:p>
          <w:p>
            <w:pPr>
              <w:spacing w:line="360" w:lineRule="auto"/>
              <w:ind w:firstLine="480" w:firstLineChars="200"/>
              <w:rPr>
                <w:color w:val="auto"/>
                <w:sz w:val="24"/>
              </w:rPr>
            </w:pPr>
            <w:r>
              <w:rPr>
                <w:rFonts w:hint="eastAsia"/>
                <w:color w:val="auto"/>
                <w:sz w:val="24"/>
                <w:lang w:val="en-US" w:eastAsia="zh-CN"/>
              </w:rPr>
              <w:t>填土路基必须根据设计断面分层填筑压实，其分层填筑厚度必须与压实机具功能相适应，一般每层松土厚度不应超过</w:t>
            </w:r>
            <w:r>
              <w:rPr>
                <w:rFonts w:hint="default"/>
                <w:color w:val="auto"/>
                <w:sz w:val="24"/>
                <w:lang w:val="en-US" w:eastAsia="zh-CN"/>
              </w:rPr>
              <w:t>30cm</w:t>
            </w:r>
            <w:r>
              <w:rPr>
                <w:rFonts w:hint="eastAsia"/>
                <w:color w:val="auto"/>
                <w:sz w:val="24"/>
                <w:lang w:val="en-US" w:eastAsia="zh-CN"/>
              </w:rPr>
              <w:t>（压实厚度约为</w:t>
            </w:r>
            <w:r>
              <w:rPr>
                <w:rFonts w:hint="default"/>
                <w:color w:val="auto"/>
                <w:sz w:val="24"/>
                <w:lang w:val="en-US" w:eastAsia="zh-CN"/>
              </w:rPr>
              <w:t>20cm</w:t>
            </w:r>
            <w:r>
              <w:rPr>
                <w:rFonts w:hint="eastAsia"/>
                <w:color w:val="auto"/>
                <w:sz w:val="24"/>
                <w:lang w:val="en-US" w:eastAsia="zh-CN"/>
              </w:rPr>
              <w:t xml:space="preserve">），若采用薄铺轻碾的方法，每层松土厚度可达 </w:t>
            </w:r>
            <w:r>
              <w:rPr>
                <w:rFonts w:hint="default"/>
                <w:color w:val="auto"/>
                <w:sz w:val="24"/>
                <w:lang w:val="en-US" w:eastAsia="zh-CN"/>
              </w:rPr>
              <w:t>15</w:t>
            </w:r>
            <w:r>
              <w:rPr>
                <w:rFonts w:hint="eastAsia"/>
                <w:color w:val="auto"/>
                <w:sz w:val="24"/>
                <w:lang w:val="en-US" w:eastAsia="zh-CN"/>
              </w:rPr>
              <w:t>～</w:t>
            </w:r>
            <w:r>
              <w:rPr>
                <w:rFonts w:hint="default"/>
                <w:color w:val="auto"/>
                <w:sz w:val="24"/>
                <w:lang w:val="en-US" w:eastAsia="zh-CN"/>
              </w:rPr>
              <w:t>20cm</w:t>
            </w:r>
            <w:r>
              <w:rPr>
                <w:rFonts w:hint="eastAsia"/>
                <w:color w:val="auto"/>
                <w:sz w:val="24"/>
                <w:lang w:val="en-US" w:eastAsia="zh-CN"/>
              </w:rPr>
              <w:t>，路基填筑压实宽度不得小于设计宽度，以便最后削坡，严禁贴坡。</w:t>
            </w:r>
          </w:p>
          <w:p>
            <w:pPr>
              <w:spacing w:line="360" w:lineRule="auto"/>
              <w:ind w:firstLine="480" w:firstLineChars="200"/>
              <w:rPr>
                <w:color w:val="auto"/>
                <w:sz w:val="24"/>
              </w:rPr>
            </w:pPr>
            <w:r>
              <w:rPr>
                <w:rFonts w:hint="eastAsia"/>
                <w:color w:val="auto"/>
                <w:sz w:val="24"/>
                <w:lang w:eastAsia="zh-CN"/>
              </w:rPr>
              <w:t>（</w:t>
            </w:r>
            <w:r>
              <w:rPr>
                <w:rFonts w:hint="eastAsia"/>
                <w:color w:val="auto"/>
                <w:sz w:val="24"/>
                <w:lang w:val="en-US" w:eastAsia="zh-CN"/>
              </w:rPr>
              <w:t>2</w:t>
            </w:r>
            <w:r>
              <w:rPr>
                <w:rFonts w:hint="eastAsia"/>
                <w:color w:val="auto"/>
                <w:sz w:val="24"/>
                <w:lang w:eastAsia="zh-CN"/>
              </w:rPr>
              <w:t>）</w:t>
            </w:r>
            <w:r>
              <w:rPr>
                <w:rFonts w:hint="eastAsia"/>
                <w:color w:val="auto"/>
                <w:sz w:val="24"/>
                <w:lang w:val="en-US" w:eastAsia="zh-CN"/>
              </w:rPr>
              <w:t xml:space="preserve">路桥（涵）过渡段 </w:t>
            </w:r>
          </w:p>
          <w:p>
            <w:pPr>
              <w:spacing w:line="360" w:lineRule="auto"/>
              <w:ind w:firstLine="480" w:firstLineChars="200"/>
              <w:rPr>
                <w:color w:val="auto"/>
                <w:sz w:val="24"/>
              </w:rPr>
            </w:pPr>
            <w:r>
              <w:rPr>
                <w:rFonts w:hint="eastAsia"/>
                <w:color w:val="auto"/>
                <w:sz w:val="24"/>
                <w:lang w:val="en-US" w:eastAsia="zh-CN"/>
              </w:rPr>
              <w:t>为控制桥（涵）台背填土的不均匀沉降，路基与桥（涵）台背连接处设置过渡段，过渡段采用原土掺拌</w:t>
            </w:r>
            <w:r>
              <w:rPr>
                <w:rFonts w:hint="default"/>
                <w:color w:val="auto"/>
                <w:sz w:val="24"/>
                <w:lang w:val="en-US" w:eastAsia="zh-CN"/>
              </w:rPr>
              <w:t>8%</w:t>
            </w:r>
            <w:r>
              <w:rPr>
                <w:rFonts w:hint="eastAsia"/>
                <w:color w:val="auto"/>
                <w:sz w:val="24"/>
                <w:lang w:val="en-US" w:eastAsia="zh-CN"/>
              </w:rPr>
              <w:t>水泥填筑处理，路基压实度不应小于</w:t>
            </w:r>
            <w:r>
              <w:rPr>
                <w:rFonts w:hint="default"/>
                <w:color w:val="auto"/>
                <w:sz w:val="24"/>
                <w:lang w:val="en-US" w:eastAsia="zh-CN"/>
              </w:rPr>
              <w:t>96%</w:t>
            </w:r>
            <w:r>
              <w:rPr>
                <w:rFonts w:hint="eastAsia"/>
                <w:color w:val="auto"/>
                <w:sz w:val="24"/>
                <w:lang w:val="en-US" w:eastAsia="zh-CN"/>
              </w:rPr>
              <w:t>。湿陷性黄土挖方桥头，对湿陷性黄土厚度不大的采用全部挖出，采用原土掺拌</w:t>
            </w:r>
            <w:r>
              <w:rPr>
                <w:rFonts w:hint="default"/>
                <w:color w:val="auto"/>
                <w:sz w:val="24"/>
                <w:lang w:val="en-US" w:eastAsia="zh-CN"/>
              </w:rPr>
              <w:t>8%</w:t>
            </w:r>
            <w:r>
              <w:rPr>
                <w:rFonts w:hint="eastAsia"/>
                <w:color w:val="auto"/>
                <w:sz w:val="24"/>
                <w:lang w:val="en-US" w:eastAsia="zh-CN"/>
              </w:rPr>
              <w:t>水泥换填处理，桥头处理长度一般为</w:t>
            </w:r>
            <w:r>
              <w:rPr>
                <w:rFonts w:hint="default"/>
                <w:color w:val="auto"/>
                <w:sz w:val="24"/>
                <w:lang w:val="en-US" w:eastAsia="zh-CN"/>
              </w:rPr>
              <w:t>25</w:t>
            </w:r>
            <w:r>
              <w:rPr>
                <w:rFonts w:hint="eastAsia"/>
                <w:color w:val="auto"/>
                <w:sz w:val="24"/>
                <w:lang w:val="en-US" w:eastAsia="zh-CN"/>
              </w:rPr>
              <w:t>～</w:t>
            </w:r>
            <w:r>
              <w:rPr>
                <w:rFonts w:hint="default"/>
                <w:color w:val="auto"/>
                <w:sz w:val="24"/>
                <w:lang w:val="en-US" w:eastAsia="zh-CN"/>
              </w:rPr>
              <w:t>50m</w:t>
            </w:r>
            <w:r>
              <w:rPr>
                <w:rFonts w:hint="eastAsia"/>
                <w:color w:val="auto"/>
                <w:sz w:val="24"/>
                <w:lang w:val="en-US" w:eastAsia="zh-CN"/>
              </w:rPr>
              <w:t>。涵洞台背原土掺拌</w:t>
            </w:r>
            <w:r>
              <w:rPr>
                <w:rFonts w:hint="default"/>
                <w:color w:val="auto"/>
                <w:sz w:val="24"/>
                <w:lang w:val="en-US" w:eastAsia="zh-CN"/>
              </w:rPr>
              <w:t>8%</w:t>
            </w:r>
            <w:r>
              <w:rPr>
                <w:rFonts w:hint="eastAsia"/>
                <w:color w:val="auto"/>
                <w:sz w:val="24"/>
                <w:lang w:val="en-US" w:eastAsia="zh-CN"/>
              </w:rPr>
              <w:t>水泥填筑回填，压实度不应小于</w:t>
            </w:r>
            <w:r>
              <w:rPr>
                <w:rFonts w:hint="default"/>
                <w:color w:val="auto"/>
                <w:sz w:val="24"/>
                <w:lang w:val="en-US" w:eastAsia="zh-CN"/>
              </w:rPr>
              <w:t>96%</w:t>
            </w:r>
            <w:r>
              <w:rPr>
                <w:rFonts w:hint="eastAsia"/>
                <w:color w:val="auto"/>
                <w:sz w:val="24"/>
                <w:lang w:val="en-US" w:eastAsia="zh-CN"/>
              </w:rPr>
              <w:t>。</w:t>
            </w:r>
          </w:p>
          <w:p>
            <w:pPr>
              <w:spacing w:line="360" w:lineRule="auto"/>
              <w:ind w:firstLine="480" w:firstLineChars="200"/>
              <w:rPr>
                <w:color w:val="auto"/>
                <w:sz w:val="24"/>
              </w:rPr>
            </w:pPr>
            <w:r>
              <w:rPr>
                <w:rFonts w:hint="eastAsia"/>
                <w:color w:val="auto"/>
                <w:sz w:val="24"/>
                <w:lang w:val="en-US" w:eastAsia="zh-CN"/>
              </w:rPr>
              <w:t xml:space="preserve">（3）新旧路基搭接 </w:t>
            </w:r>
          </w:p>
          <w:p>
            <w:pPr>
              <w:spacing w:line="360" w:lineRule="auto"/>
              <w:ind w:firstLine="480" w:firstLineChars="200"/>
              <w:rPr>
                <w:rFonts w:hint="eastAsia"/>
                <w:color w:val="auto"/>
                <w:sz w:val="24"/>
                <w:lang w:val="en-US" w:eastAsia="zh-CN"/>
              </w:rPr>
            </w:pPr>
            <w:r>
              <w:rPr>
                <w:rFonts w:hint="eastAsia"/>
                <w:color w:val="auto"/>
                <w:sz w:val="24"/>
                <w:lang w:val="en-US" w:eastAsia="zh-CN"/>
              </w:rPr>
              <w:t>新老路基交接处，应先将边坡挖成阶梯形，然后分层填筑压实，台阶宽度不小于</w:t>
            </w:r>
            <w:r>
              <w:rPr>
                <w:rFonts w:hint="default"/>
                <w:color w:val="auto"/>
                <w:sz w:val="24"/>
                <w:lang w:val="en-US" w:eastAsia="zh-CN"/>
              </w:rPr>
              <w:t>2.0m</w:t>
            </w:r>
            <w:r>
              <w:rPr>
                <w:rFonts w:hint="eastAsia"/>
                <w:color w:val="auto"/>
                <w:sz w:val="24"/>
                <w:lang w:val="en-US" w:eastAsia="zh-CN"/>
              </w:rPr>
              <w:t>，台阶地面按</w:t>
            </w:r>
            <w:r>
              <w:rPr>
                <w:rFonts w:hint="default"/>
                <w:color w:val="auto"/>
                <w:sz w:val="24"/>
                <w:lang w:val="en-US" w:eastAsia="zh-CN"/>
              </w:rPr>
              <w:t>2%</w:t>
            </w:r>
            <w:r>
              <w:rPr>
                <w:rFonts w:hint="eastAsia"/>
                <w:color w:val="auto"/>
                <w:sz w:val="24"/>
                <w:lang w:val="en-US" w:eastAsia="zh-CN"/>
              </w:rPr>
              <w:t>的横坡，向内倾斜。</w:t>
            </w:r>
          </w:p>
          <w:p>
            <w:pPr>
              <w:spacing w:line="360" w:lineRule="auto"/>
              <w:ind w:firstLine="480" w:firstLineChars="200"/>
              <w:rPr>
                <w:rFonts w:hint="eastAsia"/>
                <w:color w:val="auto"/>
                <w:sz w:val="24"/>
                <w:lang w:val="en-US" w:eastAsia="zh-CN"/>
              </w:rPr>
            </w:pPr>
            <w:r>
              <w:rPr>
                <w:rFonts w:hint="eastAsia"/>
                <w:color w:val="auto"/>
                <w:sz w:val="24"/>
                <w:lang w:val="en-US" w:eastAsia="zh-CN"/>
              </w:rPr>
              <w:t>3.4路面设计</w:t>
            </w:r>
          </w:p>
          <w:p>
            <w:pPr>
              <w:spacing w:line="360" w:lineRule="auto"/>
              <w:ind w:firstLine="480" w:firstLineChars="200"/>
              <w:rPr>
                <w:rFonts w:hint="eastAsia"/>
                <w:color w:val="auto"/>
                <w:sz w:val="24"/>
                <w:lang w:val="en-US" w:eastAsia="zh-CN"/>
              </w:rPr>
            </w:pPr>
            <w:r>
              <w:rPr>
                <w:rFonts w:hint="eastAsia"/>
                <w:color w:val="auto"/>
                <w:sz w:val="24"/>
                <w:lang w:val="en-US" w:eastAsia="zh-CN"/>
              </w:rPr>
              <w:t>（</w:t>
            </w:r>
            <w:r>
              <w:rPr>
                <w:rFonts w:hint="default"/>
                <w:color w:val="auto"/>
                <w:sz w:val="24"/>
                <w:lang w:val="en-US" w:eastAsia="zh-CN"/>
              </w:rPr>
              <w:t>1</w:t>
            </w:r>
            <w:r>
              <w:rPr>
                <w:rFonts w:hint="eastAsia"/>
                <w:color w:val="auto"/>
                <w:sz w:val="24"/>
                <w:lang w:val="en-US" w:eastAsia="zh-CN"/>
              </w:rPr>
              <w:t xml:space="preserve">）行车道路面结构 </w:t>
            </w:r>
          </w:p>
          <w:p>
            <w:pPr>
              <w:spacing w:line="360" w:lineRule="auto"/>
              <w:ind w:firstLine="480" w:firstLineChars="200"/>
              <w:rPr>
                <w:rFonts w:hint="eastAsia"/>
                <w:color w:val="auto"/>
                <w:sz w:val="24"/>
                <w:lang w:val="en-US" w:eastAsia="zh-CN"/>
              </w:rPr>
            </w:pPr>
            <w:r>
              <w:rPr>
                <w:rFonts w:hint="eastAsia"/>
                <w:color w:val="auto"/>
                <w:sz w:val="24"/>
                <w:lang w:val="en-US" w:eastAsia="zh-CN"/>
              </w:rPr>
              <w:t>本次设计采用沥青砼路面结构，中交通等级设计标准。</w:t>
            </w:r>
          </w:p>
          <w:p>
            <w:pPr>
              <w:pStyle w:val="51"/>
              <w:ind w:right="-1"/>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表</w:t>
            </w:r>
            <w:r>
              <w:rPr>
                <w:rFonts w:hint="eastAsia" w:ascii="Times New Roman" w:hAnsi="Times New Roman" w:eastAsia="宋体" w:cs="Times New Roman"/>
                <w:color w:val="auto"/>
                <w:lang w:val="en-US" w:eastAsia="zh-CN"/>
              </w:rPr>
              <w:t>2-</w:t>
            </w:r>
            <w:r>
              <w:rPr>
                <w:rFonts w:hint="eastAsia" w:cs="Times New Roman"/>
                <w:color w:val="auto"/>
                <w:lang w:val="en-US" w:eastAsia="zh-CN"/>
              </w:rPr>
              <w:t>10车行道路面结构</w:t>
            </w:r>
            <w:r>
              <w:rPr>
                <w:rFonts w:hint="eastAsia" w:ascii="Times New Roman" w:hAnsi="Times New Roman" w:eastAsia="宋体" w:cs="Times New Roman"/>
                <w:color w:val="auto"/>
                <w:lang w:eastAsia="zh-CN"/>
              </w:rPr>
              <w:t>一览表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6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widowControl/>
                    <w:jc w:val="center"/>
                    <w:rPr>
                      <w:rFonts w:hint="eastAsia"/>
                      <w:color w:val="auto"/>
                      <w:lang w:val="en-US" w:eastAsia="zh-CN"/>
                    </w:rPr>
                  </w:pPr>
                  <w:r>
                    <w:rPr>
                      <w:rFonts w:hint="eastAsia"/>
                      <w:color w:val="auto"/>
                      <w:lang w:val="en-US" w:eastAsia="zh-CN"/>
                    </w:rPr>
                    <w:t>面层</w:t>
                  </w:r>
                </w:p>
              </w:tc>
              <w:tc>
                <w:tcPr>
                  <w:tcW w:w="6773" w:type="dxa"/>
                </w:tcPr>
                <w:p>
                  <w:pPr>
                    <w:widowControl/>
                    <w:jc w:val="center"/>
                    <w:rPr>
                      <w:rFonts w:hint="eastAsia"/>
                      <w:color w:val="auto"/>
                      <w:lang w:val="en-US" w:eastAsia="zh-CN"/>
                    </w:rPr>
                  </w:pPr>
                  <w:r>
                    <w:rPr>
                      <w:rFonts w:hint="eastAsia"/>
                      <w:color w:val="auto"/>
                      <w:lang w:val="en-US" w:eastAsia="zh-CN"/>
                    </w:rPr>
                    <w:t>上面层 ：</w:t>
                  </w:r>
                  <w:r>
                    <w:rPr>
                      <w:rFonts w:hint="default"/>
                      <w:color w:val="auto"/>
                      <w:lang w:val="en-US" w:eastAsia="zh-CN"/>
                    </w:rPr>
                    <w:t>4cm</w:t>
                  </w:r>
                  <w:r>
                    <w:rPr>
                      <w:rFonts w:hint="eastAsia"/>
                      <w:color w:val="auto"/>
                      <w:lang w:val="en-US" w:eastAsia="zh-CN"/>
                    </w:rPr>
                    <w:t>厚细粒式沥青混凝土（</w:t>
                  </w:r>
                  <w:r>
                    <w:rPr>
                      <w:rFonts w:hint="default"/>
                      <w:color w:val="auto"/>
                      <w:lang w:val="en-US" w:eastAsia="zh-CN"/>
                    </w:rPr>
                    <w:t>AC-13C</w:t>
                  </w:r>
                  <w:r>
                    <w:rPr>
                      <w:rFonts w:hint="eastAsia"/>
                      <w:color w:val="auto"/>
                      <w:lang w:val="en-US" w:eastAsia="zh-CN"/>
                    </w:rPr>
                    <w:t>）</w:t>
                  </w:r>
                </w:p>
                <w:p>
                  <w:pPr>
                    <w:widowControl/>
                    <w:jc w:val="center"/>
                    <w:rPr>
                      <w:rFonts w:hint="eastAsia"/>
                      <w:color w:val="auto"/>
                      <w:lang w:val="en-US" w:eastAsia="zh-CN"/>
                    </w:rPr>
                  </w:pPr>
                  <w:r>
                    <w:rPr>
                      <w:rFonts w:hint="eastAsia"/>
                      <w:color w:val="auto"/>
                      <w:lang w:val="en-US" w:eastAsia="zh-CN"/>
                    </w:rPr>
                    <w:t>下面层：</w:t>
                  </w:r>
                  <w:r>
                    <w:rPr>
                      <w:rFonts w:hint="default"/>
                      <w:color w:val="auto"/>
                      <w:lang w:val="en-US" w:eastAsia="zh-CN"/>
                    </w:rPr>
                    <w:t>7cm</w:t>
                  </w:r>
                  <w:r>
                    <w:rPr>
                      <w:rFonts w:hint="eastAsia"/>
                      <w:color w:val="auto"/>
                      <w:lang w:val="en-US" w:eastAsia="zh-CN"/>
                    </w:rPr>
                    <w:t>厚中粒式沥青混凝土（</w:t>
                  </w:r>
                  <w:r>
                    <w:rPr>
                      <w:rFonts w:hint="default"/>
                      <w:color w:val="auto"/>
                      <w:lang w:val="en-US" w:eastAsia="zh-CN"/>
                    </w:rPr>
                    <w:t>AC-16</w:t>
                  </w:r>
                  <w:r>
                    <w:rPr>
                      <w:rFonts w:hint="eastAsia"/>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widowControl/>
                    <w:jc w:val="center"/>
                    <w:rPr>
                      <w:rFonts w:hint="eastAsia"/>
                      <w:color w:val="auto"/>
                      <w:lang w:val="en-US" w:eastAsia="zh-CN"/>
                    </w:rPr>
                  </w:pPr>
                  <w:r>
                    <w:rPr>
                      <w:rFonts w:hint="eastAsia"/>
                      <w:color w:val="auto"/>
                      <w:lang w:val="en-US" w:eastAsia="zh-CN"/>
                    </w:rPr>
                    <w:t>封层</w:t>
                  </w:r>
                </w:p>
              </w:tc>
              <w:tc>
                <w:tcPr>
                  <w:tcW w:w="6773" w:type="dxa"/>
                </w:tcPr>
                <w:p>
                  <w:pPr>
                    <w:widowControl/>
                    <w:jc w:val="center"/>
                    <w:rPr>
                      <w:rFonts w:hint="eastAsia"/>
                      <w:color w:val="auto"/>
                      <w:lang w:val="en-US" w:eastAsia="zh-CN"/>
                    </w:rPr>
                  </w:pPr>
                  <w:r>
                    <w:rPr>
                      <w:rFonts w:hint="default"/>
                      <w:color w:val="auto"/>
                      <w:lang w:val="en-US" w:eastAsia="zh-CN"/>
                    </w:rPr>
                    <w:t xml:space="preserve">1cm </w:t>
                  </w:r>
                  <w:r>
                    <w:rPr>
                      <w:rFonts w:hint="eastAsia"/>
                      <w:color w:val="auto"/>
                      <w:lang w:val="en-US" w:eastAsia="zh-CN"/>
                    </w:rPr>
                    <w:t>乳化沥青碎石封层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widowControl/>
                    <w:jc w:val="center"/>
                    <w:rPr>
                      <w:rFonts w:hint="eastAsia"/>
                      <w:color w:val="auto"/>
                      <w:lang w:val="en-US" w:eastAsia="zh-CN"/>
                    </w:rPr>
                  </w:pPr>
                  <w:r>
                    <w:rPr>
                      <w:rFonts w:hint="eastAsia"/>
                      <w:color w:val="auto"/>
                      <w:lang w:val="en-US" w:eastAsia="zh-CN"/>
                    </w:rPr>
                    <w:t>基层</w:t>
                  </w:r>
                </w:p>
              </w:tc>
              <w:tc>
                <w:tcPr>
                  <w:tcW w:w="6773" w:type="dxa"/>
                </w:tcPr>
                <w:p>
                  <w:pPr>
                    <w:widowControl/>
                    <w:jc w:val="center"/>
                    <w:rPr>
                      <w:rFonts w:hint="eastAsia"/>
                      <w:color w:val="auto"/>
                      <w:lang w:val="en-US" w:eastAsia="zh-CN"/>
                    </w:rPr>
                  </w:pPr>
                  <w:r>
                    <w:rPr>
                      <w:rFonts w:hint="eastAsia"/>
                      <w:color w:val="auto"/>
                      <w:lang w:val="en-US" w:eastAsia="zh-CN"/>
                    </w:rPr>
                    <w:t>上基层：</w:t>
                  </w:r>
                  <w:r>
                    <w:rPr>
                      <w:rFonts w:hint="default"/>
                      <w:color w:val="auto"/>
                      <w:lang w:val="en-US" w:eastAsia="zh-CN"/>
                    </w:rPr>
                    <w:t>18cm</w:t>
                  </w:r>
                  <w:r>
                    <w:rPr>
                      <w:rFonts w:hint="eastAsia"/>
                      <w:color w:val="auto"/>
                      <w:lang w:val="en-US" w:eastAsia="zh-CN"/>
                    </w:rPr>
                    <w:t>水泥稳定碎石（</w:t>
                  </w:r>
                  <w:r>
                    <w:rPr>
                      <w:rFonts w:hint="default"/>
                      <w:color w:val="auto"/>
                      <w:lang w:val="en-US" w:eastAsia="zh-CN"/>
                    </w:rPr>
                    <w:t>5%)</w:t>
                  </w:r>
                </w:p>
                <w:p>
                  <w:pPr>
                    <w:widowControl/>
                    <w:jc w:val="center"/>
                    <w:rPr>
                      <w:rFonts w:hint="eastAsia"/>
                      <w:color w:val="auto"/>
                      <w:lang w:val="en-US" w:eastAsia="zh-CN"/>
                    </w:rPr>
                  </w:pPr>
                  <w:r>
                    <w:rPr>
                      <w:rFonts w:hint="eastAsia"/>
                      <w:color w:val="auto"/>
                      <w:lang w:val="en-US" w:eastAsia="zh-CN"/>
                    </w:rPr>
                    <w:t>下基层：</w:t>
                  </w:r>
                  <w:r>
                    <w:rPr>
                      <w:rFonts w:hint="default"/>
                      <w:color w:val="auto"/>
                      <w:lang w:val="en-US" w:eastAsia="zh-CN"/>
                    </w:rPr>
                    <w:t>18cm</w:t>
                  </w:r>
                  <w:r>
                    <w:rPr>
                      <w:rFonts w:hint="eastAsia"/>
                      <w:color w:val="auto"/>
                      <w:lang w:val="en-US" w:eastAsia="zh-CN"/>
                    </w:rPr>
                    <w:t>水泥稳定碎石（</w:t>
                  </w:r>
                  <w:r>
                    <w:rPr>
                      <w:rFonts w:hint="default"/>
                      <w:color w:val="auto"/>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widowControl/>
                    <w:jc w:val="center"/>
                    <w:rPr>
                      <w:rFonts w:hint="eastAsia"/>
                      <w:color w:val="auto"/>
                      <w:lang w:val="en-US" w:eastAsia="zh-CN"/>
                    </w:rPr>
                  </w:pPr>
                  <w:r>
                    <w:rPr>
                      <w:rFonts w:hint="eastAsia"/>
                      <w:color w:val="auto"/>
                      <w:lang w:val="en-US" w:eastAsia="zh-CN"/>
                    </w:rPr>
                    <w:t>垫层</w:t>
                  </w:r>
                </w:p>
              </w:tc>
              <w:tc>
                <w:tcPr>
                  <w:tcW w:w="6773" w:type="dxa"/>
                </w:tcPr>
                <w:p>
                  <w:pPr>
                    <w:widowControl/>
                    <w:jc w:val="center"/>
                    <w:rPr>
                      <w:rFonts w:hint="eastAsia"/>
                      <w:color w:val="auto"/>
                      <w:lang w:val="en-US" w:eastAsia="zh-CN"/>
                    </w:rPr>
                  </w:pPr>
                  <w:r>
                    <w:rPr>
                      <w:rFonts w:hint="default"/>
                      <w:color w:val="auto"/>
                      <w:lang w:val="en-US" w:eastAsia="zh-CN"/>
                    </w:rPr>
                    <w:t>20cm</w:t>
                  </w:r>
                  <w:r>
                    <w:rPr>
                      <w:rFonts w:hint="eastAsia"/>
                      <w:color w:val="auto"/>
                      <w:lang w:val="en-US" w:eastAsia="zh-CN"/>
                    </w:rPr>
                    <w:t>天然砂砾</w:t>
                  </w:r>
                </w:p>
              </w:tc>
            </w:tr>
          </w:tbl>
          <w:p>
            <w:pPr>
              <w:spacing w:line="360" w:lineRule="auto"/>
              <w:ind w:firstLine="480" w:firstLineChars="200"/>
              <w:rPr>
                <w:rFonts w:hint="eastAsia"/>
                <w:color w:val="auto"/>
                <w:sz w:val="24"/>
                <w:lang w:val="en-US" w:eastAsia="zh-CN"/>
              </w:rPr>
            </w:pPr>
            <w:r>
              <w:rPr>
                <w:rFonts w:hint="eastAsia"/>
                <w:color w:val="auto"/>
                <w:sz w:val="24"/>
                <w:lang w:val="en-US" w:eastAsia="zh-CN"/>
              </w:rPr>
              <w:t xml:space="preserve">（2）人行道路面结构 </w:t>
            </w:r>
          </w:p>
          <w:p>
            <w:pPr>
              <w:spacing w:line="360" w:lineRule="auto"/>
              <w:ind w:firstLine="480" w:firstLineChars="200"/>
              <w:rPr>
                <w:rFonts w:hint="eastAsia"/>
                <w:color w:val="auto"/>
                <w:sz w:val="24"/>
                <w:lang w:val="en-US" w:eastAsia="zh-CN"/>
              </w:rPr>
            </w:pPr>
            <w:r>
              <w:rPr>
                <w:rFonts w:hint="eastAsia"/>
                <w:color w:val="auto"/>
                <w:sz w:val="24"/>
                <w:lang w:val="en-US" w:eastAsia="zh-CN"/>
              </w:rPr>
              <w:t>人行道设计结合工程建设条件及道路服务功能，人行道砖选取花岗岩人行道砖。在人行道设计中考虑方便残疾人出行的盲道和缘石坡道。</w:t>
            </w:r>
          </w:p>
          <w:p>
            <w:pPr>
              <w:pStyle w:val="51"/>
              <w:ind w:right="-1"/>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表</w:t>
            </w:r>
            <w:r>
              <w:rPr>
                <w:rFonts w:hint="eastAsia" w:ascii="Times New Roman" w:hAnsi="Times New Roman" w:eastAsia="宋体" w:cs="Times New Roman"/>
                <w:color w:val="auto"/>
                <w:lang w:val="en-US" w:eastAsia="zh-CN"/>
              </w:rPr>
              <w:t>2-</w:t>
            </w:r>
            <w:r>
              <w:rPr>
                <w:rFonts w:hint="eastAsia" w:cs="Times New Roman"/>
                <w:color w:val="auto"/>
                <w:lang w:val="en-US" w:eastAsia="zh-CN"/>
              </w:rPr>
              <w:t>11车行道路面结构</w:t>
            </w:r>
            <w:r>
              <w:rPr>
                <w:rFonts w:hint="eastAsia" w:ascii="Times New Roman" w:hAnsi="Times New Roman" w:eastAsia="宋体" w:cs="Times New Roman"/>
                <w:color w:val="auto"/>
                <w:lang w:eastAsia="zh-CN"/>
              </w:rPr>
              <w:t>一览表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4"/>
              <w:gridCol w:w="6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dxa"/>
                </w:tcPr>
                <w:p>
                  <w:pPr>
                    <w:widowControl/>
                    <w:jc w:val="center"/>
                    <w:rPr>
                      <w:rFonts w:hint="eastAsia"/>
                      <w:color w:val="auto"/>
                      <w:lang w:val="en-US" w:eastAsia="zh-CN"/>
                    </w:rPr>
                  </w:pPr>
                  <w:r>
                    <w:rPr>
                      <w:rFonts w:hint="eastAsia"/>
                      <w:color w:val="auto"/>
                      <w:lang w:val="en-US" w:eastAsia="zh-CN"/>
                    </w:rPr>
                    <w:t>面层</w:t>
                  </w:r>
                </w:p>
              </w:tc>
              <w:tc>
                <w:tcPr>
                  <w:tcW w:w="6038" w:type="dxa"/>
                </w:tcPr>
                <w:p>
                  <w:pPr>
                    <w:widowControl/>
                    <w:jc w:val="center"/>
                    <w:rPr>
                      <w:rFonts w:hint="eastAsia"/>
                      <w:color w:val="auto"/>
                      <w:lang w:val="en-US" w:eastAsia="zh-CN"/>
                    </w:rPr>
                  </w:pPr>
                  <w:r>
                    <w:rPr>
                      <w:rFonts w:hint="default"/>
                      <w:color w:val="auto"/>
                      <w:lang w:val="en-US" w:eastAsia="zh-CN"/>
                    </w:rPr>
                    <w:t xml:space="preserve">4cm </w:t>
                  </w:r>
                  <w:r>
                    <w:rPr>
                      <w:rFonts w:hint="eastAsia"/>
                      <w:color w:val="auto"/>
                      <w:lang w:val="en-US" w:eastAsia="zh-CN"/>
                    </w:rPr>
                    <w:t>花岗岩人行道砖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dxa"/>
                </w:tcPr>
                <w:p>
                  <w:pPr>
                    <w:widowControl/>
                    <w:jc w:val="center"/>
                    <w:rPr>
                      <w:rFonts w:hint="eastAsia"/>
                      <w:color w:val="auto"/>
                      <w:lang w:val="en-US" w:eastAsia="zh-CN"/>
                    </w:rPr>
                  </w:pPr>
                  <w:r>
                    <w:rPr>
                      <w:rFonts w:hint="eastAsia"/>
                      <w:color w:val="auto"/>
                      <w:lang w:val="en-US" w:eastAsia="zh-CN"/>
                    </w:rPr>
                    <w:t>卧层</w:t>
                  </w:r>
                </w:p>
              </w:tc>
              <w:tc>
                <w:tcPr>
                  <w:tcW w:w="6038" w:type="dxa"/>
                </w:tcPr>
                <w:p>
                  <w:pPr>
                    <w:widowControl/>
                    <w:jc w:val="center"/>
                    <w:rPr>
                      <w:rFonts w:hint="eastAsia"/>
                      <w:color w:val="auto"/>
                      <w:lang w:val="en-US" w:eastAsia="zh-CN"/>
                    </w:rPr>
                  </w:pPr>
                  <w:r>
                    <w:rPr>
                      <w:rFonts w:hint="default"/>
                      <w:color w:val="auto"/>
                      <w:lang w:val="en-US" w:eastAsia="zh-CN"/>
                    </w:rPr>
                    <w:t>3cm 1</w:t>
                  </w:r>
                  <w:r>
                    <w:rPr>
                      <w:rFonts w:hint="eastAsia"/>
                      <w:color w:val="auto"/>
                      <w:lang w:val="en-US" w:eastAsia="zh-CN"/>
                    </w:rPr>
                    <w:t>：</w:t>
                  </w:r>
                  <w:r>
                    <w:rPr>
                      <w:rFonts w:hint="default"/>
                      <w:color w:val="auto"/>
                      <w:lang w:val="en-US" w:eastAsia="zh-CN"/>
                    </w:rPr>
                    <w:t xml:space="preserve">2 </w:t>
                  </w:r>
                  <w:r>
                    <w:rPr>
                      <w:rFonts w:hint="eastAsia"/>
                      <w:color w:val="auto"/>
                      <w:lang w:val="en-US" w:eastAsia="zh-CN"/>
                    </w:rPr>
                    <w:t>水泥砂浆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dxa"/>
                </w:tcPr>
                <w:p>
                  <w:pPr>
                    <w:widowControl/>
                    <w:jc w:val="center"/>
                    <w:rPr>
                      <w:rFonts w:hint="eastAsia"/>
                      <w:color w:val="auto"/>
                      <w:lang w:val="en-US" w:eastAsia="zh-CN"/>
                    </w:rPr>
                  </w:pPr>
                  <w:r>
                    <w:rPr>
                      <w:rFonts w:hint="eastAsia"/>
                      <w:color w:val="auto"/>
                      <w:lang w:val="en-US" w:eastAsia="zh-CN"/>
                    </w:rPr>
                    <w:t>基层</w:t>
                  </w:r>
                </w:p>
              </w:tc>
              <w:tc>
                <w:tcPr>
                  <w:tcW w:w="6038" w:type="dxa"/>
                </w:tcPr>
                <w:p>
                  <w:pPr>
                    <w:widowControl/>
                    <w:jc w:val="center"/>
                    <w:rPr>
                      <w:rFonts w:hint="eastAsia"/>
                      <w:color w:val="auto"/>
                      <w:lang w:val="en-US" w:eastAsia="zh-CN"/>
                    </w:rPr>
                  </w:pPr>
                  <w:r>
                    <w:rPr>
                      <w:rFonts w:hint="default"/>
                      <w:color w:val="auto"/>
                      <w:lang w:val="en-US" w:eastAsia="zh-CN"/>
                    </w:rPr>
                    <w:t xml:space="preserve">10cm C20 </w:t>
                  </w:r>
                  <w:r>
                    <w:rPr>
                      <w:rFonts w:hint="eastAsia"/>
                      <w:color w:val="auto"/>
                      <w:lang w:val="en-US" w:eastAsia="zh-CN"/>
                    </w:rPr>
                    <w:t>水泥混凝土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dxa"/>
                </w:tcPr>
                <w:p>
                  <w:pPr>
                    <w:widowControl/>
                    <w:jc w:val="center"/>
                    <w:rPr>
                      <w:rFonts w:hint="eastAsia"/>
                      <w:color w:val="auto"/>
                      <w:lang w:val="en-US" w:eastAsia="zh-CN"/>
                    </w:rPr>
                  </w:pPr>
                  <w:r>
                    <w:rPr>
                      <w:rFonts w:hint="eastAsia"/>
                      <w:color w:val="auto"/>
                      <w:lang w:val="en-US" w:eastAsia="zh-CN"/>
                    </w:rPr>
                    <w:t>垫层</w:t>
                  </w:r>
                </w:p>
              </w:tc>
              <w:tc>
                <w:tcPr>
                  <w:tcW w:w="6038" w:type="dxa"/>
                </w:tcPr>
                <w:p>
                  <w:pPr>
                    <w:widowControl/>
                    <w:jc w:val="center"/>
                    <w:rPr>
                      <w:rFonts w:hint="eastAsia"/>
                      <w:color w:val="auto"/>
                      <w:lang w:val="en-US" w:eastAsia="zh-CN"/>
                    </w:rPr>
                  </w:pPr>
                  <w:r>
                    <w:rPr>
                      <w:rFonts w:hint="default"/>
                      <w:color w:val="auto"/>
                      <w:lang w:val="en-US" w:eastAsia="zh-CN"/>
                    </w:rPr>
                    <w:t>15cm5%</w:t>
                  </w:r>
                  <w:r>
                    <w:rPr>
                      <w:rFonts w:hint="eastAsia"/>
                      <w:color w:val="auto"/>
                      <w:lang w:val="en-US" w:eastAsia="zh-CN"/>
                    </w:rPr>
                    <w:t>水泥稳定碎石</w:t>
                  </w:r>
                </w:p>
              </w:tc>
            </w:tr>
          </w:tbl>
          <w:p>
            <w:pPr>
              <w:spacing w:line="360" w:lineRule="auto"/>
              <w:ind w:firstLine="480" w:firstLineChars="200"/>
              <w:rPr>
                <w:rFonts w:hint="eastAsia"/>
                <w:color w:val="auto"/>
                <w:sz w:val="24"/>
                <w:lang w:val="en-US" w:eastAsia="zh-CN"/>
              </w:rPr>
            </w:pPr>
            <w:r>
              <w:rPr>
                <w:rFonts w:hint="eastAsia"/>
                <w:color w:val="auto"/>
                <w:sz w:val="24"/>
                <w:lang w:val="en-US" w:eastAsia="zh-CN"/>
              </w:rPr>
              <w:t xml:space="preserve">（3）道牙 </w:t>
            </w:r>
          </w:p>
          <w:p>
            <w:pPr>
              <w:spacing w:line="360" w:lineRule="auto"/>
              <w:ind w:firstLine="480" w:firstLineChars="200"/>
              <w:rPr>
                <w:rFonts w:hint="eastAsia"/>
                <w:color w:val="auto"/>
                <w:sz w:val="24"/>
                <w:lang w:val="en-US" w:eastAsia="zh-CN"/>
              </w:rPr>
            </w:pPr>
            <w:r>
              <w:rPr>
                <w:rFonts w:hint="eastAsia"/>
                <w:color w:val="auto"/>
                <w:sz w:val="24"/>
                <w:lang w:val="en-US" w:eastAsia="zh-CN"/>
              </w:rPr>
              <w:t>机动车道外侧采用甲型道牙，人行道外侧采用乙型道牙；甲型道牙、乙型道牙均采用花岗岩道牙。</w:t>
            </w:r>
          </w:p>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3.</w:t>
            </w:r>
            <w:r>
              <w:rPr>
                <w:rFonts w:hint="eastAsia" w:cs="Times New Roman"/>
                <w:color w:val="auto"/>
                <w:sz w:val="24"/>
                <w:lang w:val="en-US" w:eastAsia="zh-CN"/>
              </w:rPr>
              <w:t>5桥梁工程</w:t>
            </w:r>
          </w:p>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（1）上部结构</w:t>
            </w:r>
          </w:p>
          <w:p>
            <w:pPr>
              <w:spacing w:line="360" w:lineRule="auto"/>
              <w:ind w:firstLine="480" w:firstLineChars="200"/>
              <w:rPr>
                <w:rFonts w:hint="eastAsia" w:ascii="Times New Roman" w:hAnsi="Times New Roman" w:eastAsia="宋体" w:cs="Times New Roman"/>
                <w:color w:val="auto"/>
                <w:sz w:val="24"/>
              </w:rPr>
            </w:pPr>
            <w:r>
              <w:rPr>
                <w:rFonts w:ascii="Times New Roman" w:hAnsi="Times New Roman" w:eastAsia="宋体" w:cs="Times New Roman"/>
                <w:color w:val="auto"/>
                <w:sz w:val="24"/>
              </w:rPr>
              <w:fldChar w:fldCharType="begin"/>
            </w:r>
            <w:r>
              <w:rPr>
                <w:rFonts w:ascii="Times New Roman" w:hAnsi="Times New Roman" w:eastAsia="宋体" w:cs="Times New Roman"/>
                <w:color w:val="auto"/>
                <w:sz w:val="24"/>
              </w:rPr>
              <w:instrText xml:space="preserve"> </w:instrText>
            </w:r>
            <w:r>
              <w:rPr>
                <w:rFonts w:hint="eastAsia" w:ascii="Times New Roman" w:hAnsi="Times New Roman" w:eastAsia="宋体" w:cs="Times New Roman"/>
                <w:color w:val="auto"/>
                <w:sz w:val="24"/>
              </w:rPr>
              <w:instrText xml:space="preserve">= 1 \* GB3</w:instrText>
            </w:r>
            <w:r>
              <w:rPr>
                <w:rFonts w:ascii="Times New Roman" w:hAnsi="Times New Roman" w:eastAsia="宋体" w:cs="Times New Roman"/>
                <w:color w:val="auto"/>
                <w:sz w:val="24"/>
              </w:rPr>
              <w:instrText xml:space="preserve"> </w:instrText>
            </w:r>
            <w:r>
              <w:rPr>
                <w:rFonts w:ascii="Times New Roman" w:hAnsi="Times New Roman" w:eastAsia="宋体" w:cs="Times New Roman"/>
                <w:color w:val="auto"/>
                <w:sz w:val="24"/>
              </w:rPr>
              <w:fldChar w:fldCharType="separate"/>
            </w:r>
            <w:r>
              <w:rPr>
                <w:rFonts w:hint="eastAsia" w:ascii="Times New Roman" w:hAnsi="Times New Roman" w:eastAsia="宋体" w:cs="Times New Roman"/>
                <w:color w:val="auto"/>
                <w:sz w:val="24"/>
              </w:rPr>
              <w:t>①</w:t>
            </w:r>
            <w:r>
              <w:rPr>
                <w:rFonts w:ascii="Times New Roman" w:hAnsi="Times New Roman" w:eastAsia="宋体" w:cs="Times New Roman"/>
                <w:color w:val="auto"/>
                <w:sz w:val="24"/>
              </w:rPr>
              <w:fldChar w:fldCharType="end"/>
            </w:r>
            <w:r>
              <w:rPr>
                <w:rFonts w:hint="eastAsia" w:ascii="Times New Roman" w:hAnsi="Times New Roman" w:eastAsia="宋体" w:cs="Times New Roman"/>
                <w:color w:val="auto"/>
                <w:sz w:val="24"/>
              </w:rPr>
              <w:t>上部</w:t>
            </w:r>
            <w:r>
              <w:rPr>
                <w:rFonts w:ascii="Times New Roman" w:hAnsi="Times New Roman" w:eastAsia="宋体" w:cs="Times New Roman"/>
                <w:color w:val="auto"/>
                <w:sz w:val="24"/>
              </w:rPr>
              <w:t>结构</w:t>
            </w:r>
            <w:r>
              <w:rPr>
                <w:rFonts w:hint="eastAsia" w:ascii="Times New Roman" w:hAnsi="Times New Roman" w:eastAsia="宋体" w:cs="Times New Roman"/>
                <w:color w:val="auto"/>
                <w:sz w:val="24"/>
              </w:rPr>
              <w:t>共</w:t>
            </w:r>
            <w:r>
              <w:rPr>
                <w:rFonts w:hint="eastAsia"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rPr>
              <w:t>联：2×</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3×40</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m</w:t>
            </w:r>
            <w:r>
              <w:rPr>
                <w:rFonts w:hint="eastAsia" w:ascii="Times New Roman" w:hAnsi="Times New Roman" w:eastAsia="宋体" w:cs="Times New Roman"/>
                <w:color w:val="auto"/>
                <w:sz w:val="24"/>
              </w:rPr>
              <w:t>预应力混凝土小箱梁。</w:t>
            </w:r>
          </w:p>
          <w:p>
            <w:pPr>
              <w:spacing w:line="360" w:lineRule="auto"/>
              <w:ind w:firstLine="480" w:firstLineChars="200"/>
              <w:rPr>
                <w:rFonts w:hint="eastAsia" w:ascii="Times New Roman" w:hAnsi="Times New Roman" w:eastAsia="宋体" w:cs="Times New Roman"/>
                <w:color w:val="auto"/>
                <w:sz w:val="24"/>
              </w:rPr>
            </w:pPr>
            <w:r>
              <w:rPr>
                <w:rFonts w:ascii="Times New Roman" w:hAnsi="Times New Roman" w:eastAsia="宋体" w:cs="Times New Roman"/>
                <w:color w:val="auto"/>
                <w:sz w:val="24"/>
              </w:rPr>
              <w:fldChar w:fldCharType="begin"/>
            </w:r>
            <w:r>
              <w:rPr>
                <w:rFonts w:ascii="Times New Roman" w:hAnsi="Times New Roman" w:eastAsia="宋体" w:cs="Times New Roman"/>
                <w:color w:val="auto"/>
                <w:sz w:val="24"/>
              </w:rPr>
              <w:instrText xml:space="preserve"> </w:instrText>
            </w:r>
            <w:r>
              <w:rPr>
                <w:rFonts w:hint="eastAsia" w:ascii="Times New Roman" w:hAnsi="Times New Roman" w:eastAsia="宋体" w:cs="Times New Roman"/>
                <w:color w:val="auto"/>
                <w:sz w:val="24"/>
              </w:rPr>
              <w:instrText xml:space="preserve">= 2 \* GB3</w:instrText>
            </w:r>
            <w:r>
              <w:rPr>
                <w:rFonts w:ascii="Times New Roman" w:hAnsi="Times New Roman" w:eastAsia="宋体" w:cs="Times New Roman"/>
                <w:color w:val="auto"/>
                <w:sz w:val="24"/>
              </w:rPr>
              <w:instrText xml:space="preserve"> </w:instrText>
            </w:r>
            <w:r>
              <w:rPr>
                <w:rFonts w:ascii="Times New Roman" w:hAnsi="Times New Roman" w:eastAsia="宋体" w:cs="Times New Roman"/>
                <w:color w:val="auto"/>
                <w:sz w:val="24"/>
              </w:rPr>
              <w:fldChar w:fldCharType="separate"/>
            </w:r>
            <w:r>
              <w:rPr>
                <w:rFonts w:hint="eastAsia" w:ascii="Times New Roman" w:hAnsi="Times New Roman" w:eastAsia="宋体" w:cs="Times New Roman"/>
                <w:color w:val="auto"/>
                <w:sz w:val="24"/>
              </w:rPr>
              <w:t>②</w:t>
            </w:r>
            <w:r>
              <w:rPr>
                <w:rFonts w:ascii="Times New Roman" w:hAnsi="Times New Roman" w:eastAsia="宋体" w:cs="Times New Roman"/>
                <w:color w:val="auto"/>
                <w:sz w:val="24"/>
              </w:rPr>
              <w:fldChar w:fldCharType="end"/>
            </w:r>
            <w:r>
              <w:rPr>
                <w:rFonts w:hint="eastAsia" w:ascii="Times New Roman" w:hAnsi="Times New Roman" w:eastAsia="宋体" w:cs="Times New Roman"/>
                <w:color w:val="auto"/>
                <w:sz w:val="24"/>
              </w:rPr>
              <w:t>本桥上部结构预应力混凝土小箱梁采用桥面连续结构，按A类预应力混凝土构件设计，梁高</w:t>
            </w:r>
            <w:r>
              <w:rPr>
                <w:rFonts w:hint="eastAsia" w:ascii="Times New Roman" w:hAnsi="Times New Roman" w:eastAsia="宋体" w:cs="Times New Roman"/>
                <w:color w:val="auto"/>
                <w:sz w:val="24"/>
                <w:lang w:val="en-US" w:eastAsia="zh-CN"/>
              </w:rPr>
              <w:t>2.0</w:t>
            </w:r>
            <w:r>
              <w:rPr>
                <w:rFonts w:hint="eastAsia" w:ascii="Times New Roman" w:hAnsi="Times New Roman" w:eastAsia="宋体" w:cs="Times New Roman"/>
                <w:color w:val="auto"/>
                <w:sz w:val="24"/>
              </w:rPr>
              <w:t>米，每跨横向布置</w:t>
            </w:r>
            <w:r>
              <w:rPr>
                <w:rFonts w:hint="eastAsia" w:ascii="Times New Roman" w:hAnsi="Times New Roman" w:eastAsia="宋体" w:cs="Times New Roman"/>
                <w:color w:val="auto"/>
                <w:sz w:val="24"/>
                <w:lang w:val="en-US" w:eastAsia="zh-CN"/>
              </w:rPr>
              <w:t>9</w:t>
            </w:r>
            <w:r>
              <w:rPr>
                <w:rFonts w:hint="eastAsia" w:ascii="Times New Roman" w:hAnsi="Times New Roman" w:eastAsia="宋体" w:cs="Times New Roman"/>
                <w:color w:val="auto"/>
                <w:sz w:val="24"/>
              </w:rPr>
              <w:t>片小箱梁，其中中梁</w:t>
            </w:r>
            <w:r>
              <w:rPr>
                <w:rFonts w:hint="eastAsia" w:ascii="Times New Roman" w:hAnsi="Times New Roman" w:eastAsia="宋体" w:cs="Times New Roman"/>
                <w:color w:val="auto"/>
                <w:sz w:val="24"/>
                <w:lang w:val="en-US" w:eastAsia="zh-CN"/>
              </w:rPr>
              <w:t>7</w:t>
            </w:r>
            <w:r>
              <w:rPr>
                <w:rFonts w:hint="eastAsia" w:ascii="Times New Roman" w:hAnsi="Times New Roman" w:eastAsia="宋体" w:cs="Times New Roman"/>
                <w:color w:val="auto"/>
                <w:sz w:val="24"/>
              </w:rPr>
              <w:t>片，边梁2片，梁距</w:t>
            </w:r>
            <w:r>
              <w:rPr>
                <w:rFonts w:hint="eastAsia" w:ascii="Times New Roman" w:hAnsi="Times New Roman" w:eastAsia="宋体" w:cs="Times New Roman"/>
                <w:color w:val="auto"/>
                <w:sz w:val="24"/>
                <w:lang w:val="en-US" w:eastAsia="zh-CN"/>
              </w:rPr>
              <w:t>2.84</w:t>
            </w:r>
            <w:r>
              <w:rPr>
                <w:rFonts w:hint="eastAsia" w:ascii="Times New Roman" w:hAnsi="Times New Roman" w:eastAsia="宋体" w:cs="Times New Roman"/>
                <w:color w:val="auto"/>
                <w:sz w:val="24"/>
              </w:rPr>
              <w:t>m，梁间横向采用</w:t>
            </w:r>
            <w:r>
              <w:rPr>
                <w:rFonts w:hint="eastAsia" w:ascii="Times New Roman" w:hAnsi="Times New Roman" w:eastAsia="宋体" w:cs="Times New Roman"/>
                <w:color w:val="auto"/>
                <w:sz w:val="24"/>
                <w:lang w:val="en-US" w:eastAsia="zh-CN"/>
              </w:rPr>
              <w:t>43.75</w:t>
            </w:r>
            <w:r>
              <w:rPr>
                <w:rFonts w:hint="eastAsia" w:ascii="Times New Roman" w:hAnsi="Times New Roman" w:eastAsia="宋体" w:cs="Times New Roman"/>
                <w:color w:val="auto"/>
                <w:sz w:val="24"/>
              </w:rPr>
              <w:t>cm宽湿接头连接；上部构造采用40m</w:t>
            </w:r>
            <w:r>
              <w:rPr>
                <w:rFonts w:hint="eastAsia" w:ascii="Times New Roman" w:hAnsi="Times New Roman" w:eastAsia="宋体" w:cs="Times New Roman"/>
                <w:color w:val="auto"/>
                <w:sz w:val="24"/>
                <w:lang w:val="en-US" w:eastAsia="zh-CN"/>
              </w:rPr>
              <w:t>预应力混凝土小箱梁</w:t>
            </w:r>
            <w:r>
              <w:rPr>
                <w:rFonts w:hint="eastAsia" w:ascii="Times New Roman" w:hAnsi="Times New Roman" w:eastAsia="宋体" w:cs="Times New Roman"/>
                <w:color w:val="auto"/>
                <w:sz w:val="24"/>
              </w:rPr>
              <w:t>。</w:t>
            </w:r>
          </w:p>
          <w:p>
            <w:pPr>
              <w:spacing w:line="360" w:lineRule="auto"/>
              <w:ind w:firstLine="480" w:firstLineChars="200"/>
              <w:rPr>
                <w:rFonts w:hint="eastAsia" w:ascii="Times New Roman" w:hAnsi="Times New Roman" w:eastAsia="宋体" w:cs="Times New Roman"/>
                <w:color w:val="auto"/>
                <w:sz w:val="24"/>
              </w:rPr>
            </w:pPr>
            <w:r>
              <w:rPr>
                <w:rFonts w:ascii="Times New Roman" w:hAnsi="Times New Roman" w:eastAsia="宋体" w:cs="Times New Roman"/>
                <w:color w:val="auto"/>
                <w:sz w:val="24"/>
              </w:rPr>
              <w:fldChar w:fldCharType="begin"/>
            </w:r>
            <w:r>
              <w:rPr>
                <w:rFonts w:ascii="Times New Roman" w:hAnsi="Times New Roman" w:eastAsia="宋体" w:cs="Times New Roman"/>
                <w:color w:val="auto"/>
                <w:sz w:val="24"/>
              </w:rPr>
              <w:instrText xml:space="preserve"> </w:instrText>
            </w:r>
            <w:r>
              <w:rPr>
                <w:rFonts w:hint="eastAsia" w:ascii="Times New Roman" w:hAnsi="Times New Roman" w:eastAsia="宋体" w:cs="Times New Roman"/>
                <w:color w:val="auto"/>
                <w:sz w:val="24"/>
              </w:rPr>
              <w:instrText xml:space="preserve">= 3 \* GB3</w:instrText>
            </w:r>
            <w:r>
              <w:rPr>
                <w:rFonts w:ascii="Times New Roman" w:hAnsi="Times New Roman" w:eastAsia="宋体" w:cs="Times New Roman"/>
                <w:color w:val="auto"/>
                <w:sz w:val="24"/>
              </w:rPr>
              <w:instrText xml:space="preserve"> </w:instrText>
            </w:r>
            <w:r>
              <w:rPr>
                <w:rFonts w:ascii="Times New Roman" w:hAnsi="Times New Roman" w:eastAsia="宋体" w:cs="Times New Roman"/>
                <w:color w:val="auto"/>
                <w:sz w:val="24"/>
              </w:rPr>
              <w:fldChar w:fldCharType="separate"/>
            </w:r>
            <w:r>
              <w:rPr>
                <w:rFonts w:hint="eastAsia" w:ascii="Times New Roman" w:hAnsi="Times New Roman" w:eastAsia="宋体" w:cs="Times New Roman"/>
                <w:color w:val="auto"/>
                <w:sz w:val="24"/>
              </w:rPr>
              <w:t>③</w:t>
            </w:r>
            <w:r>
              <w:rPr>
                <w:rFonts w:ascii="Times New Roman" w:hAnsi="Times New Roman" w:eastAsia="宋体" w:cs="Times New Roman"/>
                <w:color w:val="auto"/>
                <w:sz w:val="24"/>
              </w:rPr>
              <w:fldChar w:fldCharType="end"/>
            </w:r>
            <w:r>
              <w:rPr>
                <w:rFonts w:hint="eastAsia" w:ascii="Times New Roman" w:hAnsi="Times New Roman" w:eastAsia="宋体" w:cs="Times New Roman"/>
                <w:color w:val="auto"/>
                <w:sz w:val="24"/>
              </w:rPr>
              <w:t>桥面横坡由台帽弯折形成。</w:t>
            </w:r>
          </w:p>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（2）下部结构</w:t>
            </w:r>
          </w:p>
          <w:p>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桥梁下部结构桥墩采用桩柱式桥墩，桥墩</w:t>
            </w:r>
            <w:r>
              <w:rPr>
                <w:rFonts w:ascii="Times New Roman" w:hAnsi="Times New Roman" w:eastAsia="宋体" w:cs="Times New Roman"/>
                <w:color w:val="auto"/>
                <w:sz w:val="24"/>
              </w:rPr>
              <w:t>设</w:t>
            </w:r>
            <w:r>
              <w:rPr>
                <w:rFonts w:hint="eastAsia" w:ascii="Times New Roman" w:hAnsi="Times New Roman" w:eastAsia="宋体" w:cs="Times New Roman"/>
                <w:color w:val="auto"/>
                <w:sz w:val="24"/>
              </w:rPr>
              <w:t>4</w:t>
            </w:r>
            <w:r>
              <w:rPr>
                <w:rFonts w:ascii="Times New Roman" w:hAnsi="Times New Roman" w:eastAsia="宋体" w:cs="Times New Roman"/>
                <w:color w:val="auto"/>
                <w:sz w:val="24"/>
              </w:rPr>
              <w:t>个墩柱，墩柱直径</w:t>
            </w:r>
            <w:r>
              <w:rPr>
                <w:rFonts w:hint="eastAsia" w:ascii="Times New Roman" w:hAnsi="Times New Roman" w:eastAsia="宋体" w:cs="Times New Roman"/>
                <w:color w:val="auto"/>
                <w:sz w:val="24"/>
              </w:rPr>
              <w:t>1.</w:t>
            </w:r>
            <w:r>
              <w:rPr>
                <w:rFonts w:hint="eastAsia" w:ascii="Times New Roman" w:hAnsi="Times New Roman" w:eastAsia="宋体" w:cs="Times New Roman"/>
                <w:color w:val="auto"/>
                <w:sz w:val="24"/>
                <w:lang w:val="en-US" w:eastAsia="zh-CN"/>
              </w:rPr>
              <w:t>6</w:t>
            </w:r>
            <w:r>
              <w:rPr>
                <w:rFonts w:hint="eastAsia" w:ascii="Times New Roman" w:hAnsi="Times New Roman" w:eastAsia="宋体" w:cs="Times New Roman"/>
                <w:color w:val="auto"/>
                <w:sz w:val="24"/>
              </w:rPr>
              <w:t>米，</w:t>
            </w:r>
            <w:r>
              <w:rPr>
                <w:rFonts w:ascii="Times New Roman" w:hAnsi="Times New Roman" w:eastAsia="宋体" w:cs="Times New Roman"/>
                <w:color w:val="auto"/>
                <w:sz w:val="24"/>
              </w:rPr>
              <w:t>墩柱高度</w:t>
            </w:r>
            <w:r>
              <w:rPr>
                <w:rFonts w:hint="eastAsia" w:ascii="Times New Roman" w:hAnsi="Times New Roman" w:eastAsia="宋体" w:cs="Times New Roman"/>
                <w:color w:val="auto"/>
                <w:sz w:val="24"/>
                <w:lang w:val="en-US" w:eastAsia="zh-CN"/>
              </w:rPr>
              <w:t>10.5</w:t>
            </w:r>
            <w:r>
              <w:rPr>
                <w:rFonts w:hint="eastAsia" w:ascii="Times New Roman" w:hAnsi="Times New Roman" w:eastAsia="宋体" w:cs="Times New Roman"/>
                <w:color w:val="auto"/>
                <w:sz w:val="24"/>
              </w:rPr>
              <w:t>米，桥墩基础采用钻孔灌注桩基础，基桩直径</w:t>
            </w:r>
            <w:r>
              <w:rPr>
                <w:rFonts w:hint="eastAsia" w:ascii="Times New Roman" w:hAnsi="Times New Roman" w:eastAsia="宋体" w:cs="Times New Roman"/>
                <w:color w:val="auto"/>
                <w:sz w:val="24"/>
                <w:lang w:val="en-US" w:eastAsia="zh-CN"/>
              </w:rPr>
              <w:t>1.8</w:t>
            </w:r>
            <w:r>
              <w:rPr>
                <w:rFonts w:hint="eastAsia" w:ascii="Times New Roman" w:hAnsi="Times New Roman" w:eastAsia="宋体" w:cs="Times New Roman"/>
                <w:color w:val="auto"/>
                <w:sz w:val="24"/>
              </w:rPr>
              <w:t>米，桩基长度</w:t>
            </w:r>
            <w:r>
              <w:rPr>
                <w:rFonts w:hint="eastAsia" w:ascii="Times New Roman" w:hAnsi="Times New Roman" w:eastAsia="宋体" w:cs="Times New Roman"/>
                <w:color w:val="auto"/>
                <w:sz w:val="24"/>
                <w:lang w:val="en-US" w:eastAsia="zh-CN"/>
              </w:rPr>
              <w:t>20</w:t>
            </w:r>
            <w:r>
              <w:rPr>
                <w:rFonts w:hint="eastAsia" w:ascii="Times New Roman" w:hAnsi="Times New Roman" w:eastAsia="宋体" w:cs="Times New Roman"/>
                <w:color w:val="auto"/>
                <w:sz w:val="24"/>
              </w:rPr>
              <w:t>米；</w:t>
            </w:r>
            <w:r>
              <w:rPr>
                <w:rFonts w:hint="eastAsia" w:ascii="Times New Roman" w:hAnsi="Times New Roman" w:eastAsia="宋体" w:cs="Times New Roman"/>
                <w:color w:val="auto"/>
                <w:sz w:val="24"/>
                <w:lang w:val="en-US" w:eastAsia="zh-CN"/>
              </w:rPr>
              <w:t>0#</w:t>
            </w:r>
            <w:r>
              <w:rPr>
                <w:rFonts w:hint="eastAsia" w:ascii="Times New Roman" w:hAnsi="Times New Roman" w:eastAsia="宋体" w:cs="Times New Roman"/>
                <w:color w:val="auto"/>
                <w:sz w:val="24"/>
              </w:rPr>
              <w:t>桥台采用</w:t>
            </w:r>
            <w:r>
              <w:rPr>
                <w:rFonts w:hint="eastAsia" w:ascii="Times New Roman" w:hAnsi="Times New Roman" w:eastAsia="宋体" w:cs="Times New Roman"/>
                <w:color w:val="auto"/>
                <w:sz w:val="24"/>
                <w:lang w:val="en-US" w:eastAsia="zh-CN"/>
              </w:rPr>
              <w:t>重力式桥台，承台桩基础，纵向设置3排桩，横向设置6排桩，桩径1.2m，桩长15m；6#桥台采用桩接盖梁式桥台</w:t>
            </w:r>
            <w:r>
              <w:rPr>
                <w:rFonts w:hint="eastAsia" w:ascii="Times New Roman" w:hAnsi="Times New Roman" w:eastAsia="宋体" w:cs="Times New Roman"/>
                <w:color w:val="auto"/>
                <w:sz w:val="24"/>
              </w:rPr>
              <w:t>，桩基直径1.</w:t>
            </w:r>
            <w:r>
              <w:rPr>
                <w:rFonts w:hint="eastAsia" w:ascii="Times New Roman" w:hAnsi="Times New Roman" w:eastAsia="宋体" w:cs="Times New Roman"/>
                <w:color w:val="auto"/>
                <w:sz w:val="24"/>
                <w:lang w:val="en-US" w:eastAsia="zh-CN"/>
              </w:rPr>
              <w:t>6</w:t>
            </w:r>
            <w:r>
              <w:rPr>
                <w:rFonts w:hint="eastAsia" w:ascii="Times New Roman" w:hAnsi="Times New Roman" w:eastAsia="宋体" w:cs="Times New Roman"/>
                <w:color w:val="auto"/>
                <w:sz w:val="24"/>
              </w:rPr>
              <w:t>m</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桩长25m</w:t>
            </w:r>
            <w:r>
              <w:rPr>
                <w:rFonts w:hint="eastAsia" w:ascii="Times New Roman" w:hAnsi="Times New Roman" w:eastAsia="宋体" w:cs="Times New Roman"/>
                <w:color w:val="auto"/>
                <w:sz w:val="24"/>
              </w:rPr>
              <w:t>。</w:t>
            </w:r>
          </w:p>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（3）附属构造</w:t>
            </w:r>
          </w:p>
          <w:p>
            <w:pPr>
              <w:spacing w:line="360" w:lineRule="auto"/>
              <w:ind w:firstLine="480" w:firstLineChars="200"/>
              <w:rPr>
                <w:rFonts w:ascii="Times New Roman" w:hAnsi="Times New Roman" w:eastAsia="宋体" w:cs="Times New Roman"/>
                <w:color w:val="auto"/>
                <w:sz w:val="24"/>
              </w:rPr>
            </w:pPr>
            <w:bookmarkStart w:id="16" w:name="_Toc3682"/>
            <w:bookmarkStart w:id="17" w:name="_Toc12839"/>
            <w:r>
              <w:rPr>
                <w:rFonts w:hint="eastAsia" w:ascii="Times New Roman" w:hAnsi="Times New Roman" w:eastAsia="宋体" w:cs="Times New Roman"/>
                <w:color w:val="auto"/>
                <w:sz w:val="24"/>
              </w:rPr>
              <w:t>桥头人行</w:t>
            </w:r>
            <w:r>
              <w:rPr>
                <w:rFonts w:ascii="Times New Roman" w:hAnsi="Times New Roman" w:eastAsia="宋体" w:cs="Times New Roman"/>
                <w:color w:val="auto"/>
                <w:sz w:val="24"/>
              </w:rPr>
              <w:t>道设计</w:t>
            </w:r>
            <w:bookmarkEnd w:id="16"/>
            <w:bookmarkEnd w:id="17"/>
          </w:p>
          <w:p>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本次</w:t>
            </w:r>
            <w:r>
              <w:rPr>
                <w:rFonts w:ascii="Times New Roman" w:hAnsi="Times New Roman" w:eastAsia="宋体" w:cs="Times New Roman"/>
                <w:color w:val="auto"/>
                <w:sz w:val="24"/>
              </w:rPr>
              <w:t>设计</w:t>
            </w:r>
            <w:r>
              <w:rPr>
                <w:rFonts w:hint="eastAsia" w:ascii="Times New Roman" w:hAnsi="Times New Roman" w:eastAsia="宋体" w:cs="Times New Roman"/>
                <w:color w:val="auto"/>
                <w:sz w:val="24"/>
                <w:lang w:val="en-US" w:eastAsia="zh-CN"/>
              </w:rPr>
              <w:t>宁县滨河大桥桥头人行道衔接处，因滨河东西路抬高1.7m左右，人行道外侧属于临空面，故为保证行人安全通行，在人行道临空侧采用挡墙加栏杆设计。</w:t>
            </w:r>
          </w:p>
          <w:p>
            <w:pPr>
              <w:spacing w:line="360" w:lineRule="auto"/>
              <w:ind w:firstLine="480" w:firstLineChars="200"/>
              <w:rPr>
                <w:rFonts w:ascii="Times New Roman" w:hAnsi="Times New Roman" w:eastAsia="宋体" w:cs="Times New Roman"/>
                <w:color w:val="auto"/>
                <w:sz w:val="24"/>
              </w:rPr>
            </w:pPr>
            <w:bookmarkStart w:id="18" w:name="_Toc957"/>
            <w:bookmarkStart w:id="19" w:name="_Toc17988"/>
            <w:r>
              <w:rPr>
                <w:rFonts w:hint="eastAsia" w:ascii="Times New Roman" w:hAnsi="Times New Roman" w:eastAsia="宋体" w:cs="Times New Roman"/>
                <w:color w:val="auto"/>
                <w:sz w:val="24"/>
              </w:rPr>
              <w:t>挡土墙</w:t>
            </w:r>
            <w:r>
              <w:rPr>
                <w:rFonts w:ascii="Times New Roman" w:hAnsi="Times New Roman" w:eastAsia="宋体" w:cs="Times New Roman"/>
                <w:color w:val="auto"/>
                <w:sz w:val="24"/>
              </w:rPr>
              <w:t>设计</w:t>
            </w:r>
            <w:bookmarkEnd w:id="18"/>
            <w:bookmarkEnd w:id="19"/>
          </w:p>
          <w:p>
            <w:pPr>
              <w:spacing w:line="360" w:lineRule="auto"/>
              <w:ind w:firstLine="480" w:firstLineChars="200"/>
              <w:rPr>
                <w:rFonts w:hint="eastAsia" w:ascii="Times New Roman" w:hAnsi="Times New Roman" w:eastAsia="宋体" w:cs="Times New Roman"/>
                <w:color w:val="auto"/>
                <w:sz w:val="24"/>
              </w:rPr>
            </w:pPr>
            <w:bookmarkStart w:id="20" w:name="_Toc9829"/>
            <w:r>
              <w:rPr>
                <w:rFonts w:hint="eastAsia" w:ascii="Times New Roman" w:hAnsi="Times New Roman" w:eastAsia="宋体" w:cs="Times New Roman"/>
                <w:color w:val="auto"/>
                <w:sz w:val="24"/>
              </w:rPr>
              <w:t>1挡墙设计标准及参数</w:t>
            </w:r>
            <w:bookmarkEnd w:id="20"/>
          </w:p>
          <w:p>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结构安全等级：二级；</w:t>
            </w:r>
          </w:p>
          <w:p>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结构重要性系数：γ0=1；</w:t>
            </w:r>
          </w:p>
          <w:p>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抗震设计：地震设防烈度</w:t>
            </w:r>
            <w:r>
              <w:rPr>
                <w:rFonts w:hint="eastAsia" w:ascii="Times New Roman" w:hAnsi="Times New Roman" w:eastAsia="宋体" w:cs="Times New Roman"/>
                <w:color w:val="auto"/>
                <w:sz w:val="24"/>
                <w:lang w:val="en-US" w:eastAsia="zh-CN"/>
              </w:rPr>
              <w:t>6</w:t>
            </w:r>
            <w:r>
              <w:rPr>
                <w:rFonts w:hint="eastAsia" w:ascii="Times New Roman" w:hAnsi="Times New Roman" w:eastAsia="宋体" w:cs="Times New Roman"/>
                <w:color w:val="auto"/>
                <w:sz w:val="24"/>
              </w:rPr>
              <w:t>度，地震动峰值加速度为0.</w:t>
            </w:r>
            <w:r>
              <w:rPr>
                <w:rFonts w:hint="eastAsia" w:ascii="Times New Roman" w:hAnsi="Times New Roman" w:eastAsia="宋体" w:cs="Times New Roman"/>
                <w:color w:val="auto"/>
                <w:sz w:val="24"/>
                <w:lang w:val="en-US" w:eastAsia="zh-CN"/>
              </w:rPr>
              <w:t>05</w:t>
            </w:r>
            <w:r>
              <w:rPr>
                <w:rFonts w:hint="eastAsia" w:ascii="Times New Roman" w:hAnsi="Times New Roman" w:eastAsia="宋体" w:cs="Times New Roman"/>
                <w:color w:val="auto"/>
                <w:sz w:val="24"/>
              </w:rPr>
              <w:t>g。</w:t>
            </w:r>
          </w:p>
          <w:p>
            <w:pPr>
              <w:spacing w:line="360" w:lineRule="auto"/>
              <w:ind w:firstLine="480" w:firstLineChars="200"/>
              <w:rPr>
                <w:rFonts w:hint="eastAsia" w:ascii="Times New Roman" w:hAnsi="Times New Roman" w:eastAsia="宋体" w:cs="Times New Roman"/>
                <w:color w:val="auto"/>
                <w:sz w:val="24"/>
              </w:rPr>
            </w:pPr>
            <w:bookmarkStart w:id="21" w:name="_Toc9074"/>
            <w:r>
              <w:rPr>
                <w:rFonts w:hint="eastAsia" w:ascii="Times New Roman" w:hAnsi="Times New Roman" w:eastAsia="宋体" w:cs="Times New Roman"/>
                <w:color w:val="auto"/>
                <w:sz w:val="24"/>
              </w:rPr>
              <w:t>2设计内容</w:t>
            </w:r>
            <w:bookmarkEnd w:id="21"/>
          </w:p>
          <w:p>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桥梁东</w:t>
            </w:r>
            <w:r>
              <w:rPr>
                <w:rFonts w:hint="eastAsia" w:ascii="Times New Roman" w:hAnsi="Times New Roman" w:eastAsia="宋体" w:cs="Times New Roman"/>
                <w:color w:val="auto"/>
                <w:sz w:val="24"/>
                <w:lang w:val="en-US" w:eastAsia="zh-CN"/>
              </w:rPr>
              <w:t>西</w:t>
            </w:r>
            <w:r>
              <w:rPr>
                <w:rFonts w:ascii="Times New Roman" w:hAnsi="Times New Roman" w:eastAsia="宋体" w:cs="Times New Roman"/>
                <w:color w:val="auto"/>
                <w:sz w:val="24"/>
              </w:rPr>
              <w:t>侧</w:t>
            </w:r>
            <w:r>
              <w:rPr>
                <w:rFonts w:hint="eastAsia" w:ascii="Times New Roman" w:hAnsi="Times New Roman" w:eastAsia="宋体" w:cs="Times New Roman"/>
                <w:color w:val="auto"/>
                <w:sz w:val="24"/>
                <w:lang w:val="en-US" w:eastAsia="zh-CN"/>
              </w:rPr>
              <w:t>人行道衔接处设置</w:t>
            </w:r>
            <w:r>
              <w:rPr>
                <w:rFonts w:hint="eastAsia" w:ascii="Times New Roman" w:hAnsi="Times New Roman" w:eastAsia="宋体" w:cs="Times New Roman"/>
                <w:color w:val="auto"/>
                <w:sz w:val="24"/>
              </w:rPr>
              <w:t>3米</w:t>
            </w:r>
            <w:r>
              <w:rPr>
                <w:rFonts w:ascii="Times New Roman" w:hAnsi="Times New Roman" w:eastAsia="宋体" w:cs="Times New Roman"/>
                <w:color w:val="auto"/>
                <w:sz w:val="24"/>
              </w:rPr>
              <w:t>高悬臂式挡土墙。</w:t>
            </w:r>
            <w:r>
              <w:rPr>
                <w:rFonts w:hint="eastAsia" w:ascii="Times New Roman" w:hAnsi="Times New Roman" w:eastAsia="宋体" w:cs="Times New Roman"/>
                <w:color w:val="auto"/>
                <w:sz w:val="24"/>
              </w:rPr>
              <w:t>挡墙基底落于砾砂层，</w:t>
            </w:r>
            <w:r>
              <w:rPr>
                <w:rFonts w:ascii="Times New Roman" w:hAnsi="Times New Roman" w:eastAsia="宋体" w:cs="Times New Roman"/>
                <w:color w:val="auto"/>
                <w:sz w:val="24"/>
              </w:rPr>
              <w:t>对地基进行夯实处理</w:t>
            </w:r>
            <w:r>
              <w:rPr>
                <w:rFonts w:hint="eastAsia" w:ascii="Times New Roman" w:hAnsi="Times New Roman" w:eastAsia="宋体" w:cs="Times New Roman"/>
                <w:color w:val="auto"/>
                <w:sz w:val="24"/>
              </w:rPr>
              <w:t>，要求</w:t>
            </w:r>
            <w:r>
              <w:rPr>
                <w:rFonts w:ascii="Times New Roman" w:hAnsi="Times New Roman" w:eastAsia="宋体" w:cs="Times New Roman"/>
                <w:color w:val="auto"/>
                <w:sz w:val="24"/>
              </w:rPr>
              <w:t>地基承载力达到</w:t>
            </w:r>
            <w:r>
              <w:rPr>
                <w:rFonts w:hint="eastAsia" w:ascii="Times New Roman" w:hAnsi="Times New Roman" w:eastAsia="宋体" w:cs="Times New Roman"/>
                <w:color w:val="auto"/>
                <w:sz w:val="24"/>
              </w:rPr>
              <w:t>150</w:t>
            </w:r>
            <w:r>
              <w:rPr>
                <w:rFonts w:ascii="Times New Roman" w:hAnsi="Times New Roman" w:eastAsia="宋体" w:cs="Times New Roman"/>
                <w:color w:val="auto"/>
                <w:sz w:val="24"/>
              </w:rPr>
              <w:t>kPa。</w:t>
            </w:r>
          </w:p>
          <w:p>
            <w:pPr>
              <w:spacing w:line="360" w:lineRule="auto"/>
              <w:ind w:firstLine="480" w:firstLineChars="200"/>
              <w:rPr>
                <w:rFonts w:hint="eastAsia" w:ascii="Times New Roman" w:hAnsi="Times New Roman" w:eastAsia="宋体" w:cs="Times New Roman"/>
                <w:color w:val="auto"/>
                <w:sz w:val="24"/>
                <w:lang w:val="en-US" w:eastAsia="zh-CN"/>
              </w:rPr>
            </w:pPr>
            <w:bookmarkStart w:id="22" w:name="_Toc30128"/>
            <w:bookmarkStart w:id="23" w:name="_Toc6884"/>
            <w:r>
              <w:rPr>
                <w:rFonts w:hint="eastAsia" w:ascii="Times New Roman" w:hAnsi="Times New Roman" w:eastAsia="宋体" w:cs="Times New Roman"/>
                <w:color w:val="auto"/>
                <w:sz w:val="24"/>
                <w:lang w:val="en-US" w:eastAsia="zh-CN"/>
              </w:rPr>
              <w:t>排水工程设计</w:t>
            </w:r>
            <w:bookmarkEnd w:id="22"/>
            <w:bookmarkEnd w:id="23"/>
          </w:p>
          <w:p>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桥面两侧设置泄水孔，间距5米，泄水管采用</w:t>
            </w:r>
            <w:r>
              <w:rPr>
                <w:rFonts w:ascii="Times New Roman" w:hAnsi="Times New Roman" w:eastAsia="宋体" w:cs="Times New Roman"/>
                <w:color w:val="auto"/>
                <w:sz w:val="24"/>
              </w:rPr>
              <w:t>铸铁管</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泄水孔从边跨湿接缝处直排至河道</w:t>
            </w:r>
            <w:r>
              <w:rPr>
                <w:rFonts w:hint="eastAsia" w:ascii="Times New Roman" w:hAnsi="Times New Roman" w:eastAsia="宋体" w:cs="Times New Roman"/>
                <w:color w:val="auto"/>
                <w:sz w:val="24"/>
              </w:rPr>
              <w:t>。</w:t>
            </w:r>
          </w:p>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防撞设施</w:t>
            </w:r>
          </w:p>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本次设计宁县滨河大桥为城市主干路桥梁，桥梁跨越马莲河，属临空路段，根据《城市道路交通设施设计规范》（GB 50688-2011）（2019年版）7.2.4的规定，为避免车辆越出路外可能发生二次事故，本次在机动车道外侧设置防撞护栏，将机动车与非机动车进行隔离。防撞护栏采用金属梁柱式护栏，防撞等级采用SA级。</w:t>
            </w:r>
          </w:p>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3.</w:t>
            </w:r>
            <w:r>
              <w:rPr>
                <w:rFonts w:hint="eastAsia" w:cs="Times New Roman"/>
                <w:color w:val="auto"/>
                <w:sz w:val="24"/>
                <w:lang w:val="en-US" w:eastAsia="zh-CN"/>
              </w:rPr>
              <w:t>6交通工程</w:t>
            </w:r>
          </w:p>
          <w:p>
            <w:pPr>
              <w:pStyle w:val="33"/>
              <w:rPr>
                <w:rFonts w:hint="default"/>
                <w:color w:val="auto"/>
                <w:lang w:val="en-US" w:eastAsia="zh-CN"/>
              </w:rPr>
            </w:pPr>
            <w:r>
              <w:rPr>
                <w:rFonts w:hint="eastAsia"/>
                <w:color w:val="auto"/>
                <w:lang w:val="en-US" w:eastAsia="zh-CN"/>
              </w:rPr>
              <w:t>（1）交通标志</w:t>
            </w:r>
          </w:p>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本次设计设置禁令、桥梁名称牌、指路标志牌等常用交通标志。标志板图案及衬底文字依据均采用Ⅳ类反光膜。标杆经热浸锌处理。</w:t>
            </w:r>
          </w:p>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（2）交通标线</w:t>
            </w:r>
          </w:p>
          <w:p>
            <w:pPr>
              <w:spacing w:line="360" w:lineRule="auto"/>
              <w:ind w:firstLine="480" w:firstLineChars="200"/>
              <w:rPr>
                <w:rFonts w:hint="default" w:ascii="Times New Roman" w:hAnsi="Times New Roman" w:eastAsia="宋体" w:cs="Times New Roman"/>
                <w:color w:val="auto"/>
                <w:sz w:val="24"/>
                <w:lang w:val="en-US" w:eastAsia="zh-CN"/>
              </w:rPr>
            </w:pPr>
            <w:r>
              <w:rPr>
                <w:rFonts w:ascii="Times New Roman" w:hAnsi="Times New Roman" w:eastAsia="宋体" w:cs="Times New Roman"/>
                <w:color w:val="auto"/>
                <w:sz w:val="24"/>
              </w:rPr>
              <w:fldChar w:fldCharType="begin"/>
            </w:r>
            <w:r>
              <w:rPr>
                <w:rFonts w:ascii="Times New Roman" w:hAnsi="Times New Roman" w:eastAsia="宋体" w:cs="Times New Roman"/>
                <w:color w:val="auto"/>
                <w:sz w:val="24"/>
              </w:rPr>
              <w:instrText xml:space="preserve"> </w:instrText>
            </w:r>
            <w:r>
              <w:rPr>
                <w:rFonts w:hint="eastAsia" w:ascii="Times New Roman" w:hAnsi="Times New Roman" w:eastAsia="宋体" w:cs="Times New Roman"/>
                <w:color w:val="auto"/>
                <w:sz w:val="24"/>
              </w:rPr>
              <w:instrText xml:space="preserve">= 1 \* GB3</w:instrText>
            </w:r>
            <w:r>
              <w:rPr>
                <w:rFonts w:ascii="Times New Roman" w:hAnsi="Times New Roman" w:eastAsia="宋体" w:cs="Times New Roman"/>
                <w:color w:val="auto"/>
                <w:sz w:val="24"/>
              </w:rPr>
              <w:instrText xml:space="preserve"> </w:instrText>
            </w:r>
            <w:r>
              <w:rPr>
                <w:rFonts w:ascii="Times New Roman" w:hAnsi="Times New Roman" w:eastAsia="宋体" w:cs="Times New Roman"/>
                <w:color w:val="auto"/>
                <w:sz w:val="24"/>
              </w:rPr>
              <w:fldChar w:fldCharType="separate"/>
            </w:r>
            <w:r>
              <w:rPr>
                <w:rFonts w:hint="eastAsia" w:ascii="Times New Roman" w:hAnsi="Times New Roman" w:eastAsia="宋体" w:cs="Times New Roman"/>
                <w:color w:val="auto"/>
                <w:sz w:val="24"/>
              </w:rPr>
              <w:t>①</w:t>
            </w:r>
            <w:r>
              <w:rPr>
                <w:rFonts w:ascii="Times New Roman" w:hAnsi="Times New Roman" w:eastAsia="宋体" w:cs="Times New Roman"/>
                <w:color w:val="auto"/>
                <w:sz w:val="24"/>
              </w:rPr>
              <w:fldChar w:fldCharType="end"/>
            </w:r>
            <w:r>
              <w:rPr>
                <w:rFonts w:hint="default" w:ascii="Times New Roman" w:hAnsi="Times New Roman" w:eastAsia="宋体" w:cs="Times New Roman"/>
                <w:color w:val="auto"/>
                <w:sz w:val="24"/>
                <w:lang w:val="en-US" w:eastAsia="zh-CN"/>
              </w:rPr>
              <w:t>车行道分界线、边缘线</w:t>
            </w:r>
          </w:p>
          <w:p>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车行道对向分界线为黄色双实线，分隔对向行使的车道。线宽为1</w:t>
            </w:r>
            <w:r>
              <w:rPr>
                <w:rFonts w:hint="eastAsia"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lang w:val="en-US" w:eastAsia="zh-CN"/>
              </w:rPr>
              <w:t>cm。</w:t>
            </w:r>
          </w:p>
          <w:p>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车行道同向分界线为白色虚线，分隔同向行使的车道。线宽为1</w:t>
            </w:r>
            <w:r>
              <w:rPr>
                <w:rFonts w:hint="eastAsia"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lang w:val="en-US" w:eastAsia="zh-CN"/>
              </w:rPr>
              <w:t>cm。</w:t>
            </w:r>
          </w:p>
          <w:p>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车行道边缘线为白色实线，用来表示车行道的边线，线宽</w:t>
            </w:r>
            <w:r>
              <w:rPr>
                <w:rFonts w:hint="eastAsia" w:ascii="Times New Roman" w:hAnsi="Times New Roman" w:eastAsia="宋体" w:cs="Times New Roman"/>
                <w:color w:val="auto"/>
                <w:sz w:val="24"/>
                <w:lang w:val="en-US" w:eastAsia="zh-CN"/>
              </w:rPr>
              <w:t>为</w:t>
            </w:r>
            <w:r>
              <w:rPr>
                <w:rFonts w:hint="default"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lang w:val="en-US" w:eastAsia="zh-CN"/>
              </w:rPr>
              <w:t>cm。</w:t>
            </w:r>
          </w:p>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停止线设置在人行横道前，为白实线，线宽30cm。</w:t>
            </w:r>
          </w:p>
          <w:p>
            <w:pPr>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导向车道线为指示车辆按导向方向行驶。导向车道线为白实线，线宽10cm，导向线长40m。</w:t>
            </w:r>
          </w:p>
          <w:p>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连续设置的纵向和横向交通标线，应根据需要每隔10~15设置排水缝，其他标线有可能阻水时，应沿排水方向设置排水缝，排水缝宽度一般为3~5cm。</w:t>
            </w:r>
          </w:p>
          <w:p>
            <w:pPr>
              <w:spacing w:line="360" w:lineRule="auto"/>
              <w:ind w:firstLine="480" w:firstLineChars="200"/>
              <w:rPr>
                <w:rFonts w:hint="default" w:ascii="Times New Roman" w:hAnsi="Times New Roman" w:eastAsia="宋体" w:cs="Times New Roman"/>
                <w:color w:val="auto"/>
                <w:sz w:val="24"/>
                <w:lang w:val="en-US" w:eastAsia="zh-CN"/>
              </w:rPr>
            </w:pPr>
            <w:r>
              <w:rPr>
                <w:rFonts w:ascii="Times New Roman" w:hAnsi="Times New Roman" w:eastAsia="宋体" w:cs="Times New Roman"/>
                <w:color w:val="auto"/>
                <w:sz w:val="24"/>
              </w:rPr>
              <w:fldChar w:fldCharType="begin"/>
            </w:r>
            <w:r>
              <w:rPr>
                <w:rFonts w:ascii="Times New Roman" w:hAnsi="Times New Roman" w:eastAsia="宋体" w:cs="Times New Roman"/>
                <w:color w:val="auto"/>
                <w:sz w:val="24"/>
              </w:rPr>
              <w:instrText xml:space="preserve"> </w:instrText>
            </w:r>
            <w:r>
              <w:rPr>
                <w:rFonts w:hint="eastAsia" w:ascii="Times New Roman" w:hAnsi="Times New Roman" w:eastAsia="宋体" w:cs="Times New Roman"/>
                <w:color w:val="auto"/>
                <w:sz w:val="24"/>
              </w:rPr>
              <w:instrText xml:space="preserve">= 2 \* GB3</w:instrText>
            </w:r>
            <w:r>
              <w:rPr>
                <w:rFonts w:ascii="Times New Roman" w:hAnsi="Times New Roman" w:eastAsia="宋体" w:cs="Times New Roman"/>
                <w:color w:val="auto"/>
                <w:sz w:val="24"/>
              </w:rPr>
              <w:instrText xml:space="preserve"> </w:instrText>
            </w:r>
            <w:r>
              <w:rPr>
                <w:rFonts w:ascii="Times New Roman" w:hAnsi="Times New Roman" w:eastAsia="宋体" w:cs="Times New Roman"/>
                <w:color w:val="auto"/>
                <w:sz w:val="24"/>
              </w:rPr>
              <w:fldChar w:fldCharType="separate"/>
            </w:r>
            <w:r>
              <w:rPr>
                <w:rFonts w:hint="eastAsia" w:ascii="Times New Roman" w:hAnsi="Times New Roman" w:eastAsia="宋体" w:cs="Times New Roman"/>
                <w:color w:val="auto"/>
                <w:sz w:val="24"/>
              </w:rPr>
              <w:t>②</w:t>
            </w:r>
            <w:r>
              <w:rPr>
                <w:rFonts w:ascii="Times New Roman" w:hAnsi="Times New Roman" w:eastAsia="宋体" w:cs="Times New Roman"/>
                <w:color w:val="auto"/>
                <w:sz w:val="24"/>
              </w:rPr>
              <w:fldChar w:fldCharType="end"/>
            </w:r>
            <w:r>
              <w:rPr>
                <w:rFonts w:hint="default" w:ascii="Times New Roman" w:hAnsi="Times New Roman" w:eastAsia="宋体" w:cs="Times New Roman"/>
                <w:color w:val="auto"/>
                <w:sz w:val="24"/>
                <w:lang w:val="en-US" w:eastAsia="zh-CN"/>
              </w:rPr>
              <w:t>导向箭头</w:t>
            </w:r>
          </w:p>
          <w:p>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本工程各类导向箭头采用</w:t>
            </w:r>
            <w:r>
              <w:rPr>
                <w:rFonts w:hint="eastAsia" w:ascii="Times New Roman" w:hAnsi="Times New Roman" w:eastAsia="宋体" w:cs="Times New Roman"/>
                <w:color w:val="auto"/>
                <w:sz w:val="24"/>
                <w:lang w:val="en-US" w:eastAsia="zh-CN"/>
              </w:rPr>
              <w:t>4.5</w:t>
            </w:r>
            <w:r>
              <w:rPr>
                <w:rFonts w:hint="default" w:ascii="Times New Roman" w:hAnsi="Times New Roman" w:eastAsia="宋体" w:cs="Times New Roman"/>
                <w:color w:val="auto"/>
                <w:sz w:val="24"/>
                <w:lang w:val="en-US" w:eastAsia="zh-CN"/>
              </w:rPr>
              <w:t>m箭头，停止线设置于人行横道线后</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lang w:val="en-US" w:eastAsia="zh-CN"/>
              </w:rPr>
              <w:t>m，</w:t>
            </w:r>
            <w:r>
              <w:rPr>
                <w:rFonts w:hint="eastAsia" w:ascii="Times New Roman" w:hAnsi="Times New Roman" w:eastAsia="宋体" w:cs="Times New Roman"/>
                <w:color w:val="auto"/>
                <w:sz w:val="24"/>
                <w:lang w:val="en-US" w:eastAsia="zh-CN"/>
              </w:rPr>
              <w:t>本工程工设置两组导向箭头，</w:t>
            </w:r>
            <w:r>
              <w:rPr>
                <w:rFonts w:hint="default" w:ascii="Times New Roman" w:hAnsi="Times New Roman" w:eastAsia="宋体" w:cs="Times New Roman"/>
                <w:color w:val="auto"/>
                <w:sz w:val="24"/>
                <w:lang w:val="en-US" w:eastAsia="zh-CN"/>
              </w:rPr>
              <w:t>第一组导向箭头距离停止线</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val="en-US" w:eastAsia="zh-CN"/>
              </w:rPr>
              <w:t>m，第二组导向箭头</w:t>
            </w:r>
            <w:r>
              <w:rPr>
                <w:rFonts w:hint="eastAsia" w:ascii="Times New Roman" w:hAnsi="Times New Roman" w:eastAsia="宋体" w:cs="Times New Roman"/>
                <w:color w:val="auto"/>
                <w:sz w:val="24"/>
                <w:lang w:val="en-US" w:eastAsia="zh-CN"/>
              </w:rPr>
              <w:t>在导向车道的起始位置设置</w:t>
            </w:r>
            <w:r>
              <w:rPr>
                <w:rFonts w:hint="default" w:ascii="Times New Roman" w:hAnsi="Times New Roman" w:eastAsia="宋体" w:cs="Times New Roman"/>
                <w:color w:val="auto"/>
                <w:sz w:val="24"/>
                <w:lang w:val="en-US" w:eastAsia="zh-CN"/>
              </w:rPr>
              <w:t>。</w:t>
            </w:r>
          </w:p>
          <w:p>
            <w:pPr>
              <w:spacing w:line="360" w:lineRule="auto"/>
              <w:ind w:firstLine="480" w:firstLineChars="200"/>
              <w:rPr>
                <w:rFonts w:hint="default" w:ascii="Times New Roman" w:hAnsi="Times New Roman" w:eastAsia="宋体" w:cs="Times New Roman"/>
                <w:color w:val="auto"/>
                <w:sz w:val="24"/>
                <w:lang w:val="en-US" w:eastAsia="zh-CN"/>
              </w:rPr>
            </w:pPr>
            <w:r>
              <w:rPr>
                <w:rFonts w:ascii="Times New Roman" w:hAnsi="Times New Roman" w:eastAsia="宋体" w:cs="Times New Roman"/>
                <w:color w:val="auto"/>
                <w:sz w:val="24"/>
              </w:rPr>
              <w:fldChar w:fldCharType="begin"/>
            </w:r>
            <w:r>
              <w:rPr>
                <w:rFonts w:ascii="Times New Roman" w:hAnsi="Times New Roman" w:eastAsia="宋体" w:cs="Times New Roman"/>
                <w:color w:val="auto"/>
                <w:sz w:val="24"/>
              </w:rPr>
              <w:instrText xml:space="preserve"> </w:instrText>
            </w:r>
            <w:r>
              <w:rPr>
                <w:rFonts w:hint="eastAsia" w:ascii="Times New Roman" w:hAnsi="Times New Roman" w:eastAsia="宋体" w:cs="Times New Roman"/>
                <w:color w:val="auto"/>
                <w:sz w:val="24"/>
              </w:rPr>
              <w:instrText xml:space="preserve">= 3 \* GB3</w:instrText>
            </w:r>
            <w:r>
              <w:rPr>
                <w:rFonts w:ascii="Times New Roman" w:hAnsi="Times New Roman" w:eastAsia="宋体" w:cs="Times New Roman"/>
                <w:color w:val="auto"/>
                <w:sz w:val="24"/>
              </w:rPr>
              <w:instrText xml:space="preserve"> </w:instrText>
            </w:r>
            <w:r>
              <w:rPr>
                <w:rFonts w:ascii="Times New Roman" w:hAnsi="Times New Roman" w:eastAsia="宋体" w:cs="Times New Roman"/>
                <w:color w:val="auto"/>
                <w:sz w:val="24"/>
              </w:rPr>
              <w:fldChar w:fldCharType="separate"/>
            </w:r>
            <w:r>
              <w:rPr>
                <w:rFonts w:hint="eastAsia" w:ascii="Times New Roman" w:hAnsi="Times New Roman" w:eastAsia="宋体" w:cs="Times New Roman"/>
                <w:color w:val="auto"/>
                <w:sz w:val="24"/>
              </w:rPr>
              <w:t>③</w:t>
            </w:r>
            <w:r>
              <w:rPr>
                <w:rFonts w:ascii="Times New Roman" w:hAnsi="Times New Roman" w:eastAsia="宋体" w:cs="Times New Roman"/>
                <w:color w:val="auto"/>
                <w:sz w:val="24"/>
              </w:rPr>
              <w:fldChar w:fldCharType="end"/>
            </w:r>
            <w:r>
              <w:rPr>
                <w:rFonts w:hint="default" w:ascii="Times New Roman" w:hAnsi="Times New Roman" w:eastAsia="宋体" w:cs="Times New Roman"/>
                <w:color w:val="auto"/>
                <w:sz w:val="24"/>
                <w:lang w:val="en-US" w:eastAsia="zh-CN"/>
              </w:rPr>
              <w:t>人行横道线</w:t>
            </w:r>
          </w:p>
          <w:p>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人行横道线为白色平行粗实线（斑马线），表示准许行人横穿车行道的标线。标线宽度为40cm，间隔为60cm，人行横道宽5m。</w:t>
            </w:r>
          </w:p>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3.7照明工程</w:t>
            </w:r>
          </w:p>
          <w:p>
            <w:pPr>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（1）滨河大桥标准横断面路灯布置方案</w:t>
            </w:r>
          </w:p>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采用单杆单臂路灯，灯杆高度为10米，双侧对称布置在人行道内，灯具仰角为10°，灯臂长度为</w:t>
            </w:r>
            <w:r>
              <w:rPr>
                <w:rFonts w:hint="default"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lang w:val="en-US" w:eastAsia="zh-CN"/>
              </w:rPr>
              <w:t>.0米，安装间距35米左右。光源采用200W的LED路灯，具体灯杆型式由业主根据需要自行确定。</w:t>
            </w:r>
          </w:p>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2）滨河东路标准横断面路灯布置方案：采用单杆单臂路灯，灯杆高度为9米，双侧对称布置在车行道两侧，灯杆中心距离道路缘石0.6米，灯具仰角为10°，灯臂长度为1.5米，安装间距32米左右（局部根据现场情况适当调整），光源采用150W的LED路灯，具体灯杆型式由业主根据需要自行确定。</w:t>
            </w:r>
          </w:p>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3）滨河西路标准横断面路灯布置方案：采用单杆单臂路灯，灯杆高度为9米，双侧对称布置在车行道两侧，灯杆中心距离道路缘石0.6米，灯具仰角为10°，灯臂长度为1.5米，安装间距32米左右（局部根据现场情况适当调整），光源采用150W的LED路灯，具体灯杆型式由业主根据需要自行确定。</w:t>
            </w:r>
          </w:p>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（4）交汇区加强照明布置方案：在交叉路口处加装单杆投光灯、灯杆高度为12米、光源采用2×200W的LED灯，以加强道路交叉口处的照明。</w:t>
            </w:r>
          </w:p>
          <w:p>
            <w:pPr>
              <w:spacing w:line="360" w:lineRule="auto"/>
              <w:ind w:firstLine="420" w:firstLineChars="200"/>
              <w:rPr>
                <w:rFonts w:hint="eastAsia"/>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24" w:hRule="atLeast"/>
          <w:jc w:val="center"/>
        </w:trPr>
        <w:tc>
          <w:tcPr>
            <w:tcW w:w="440" w:type="dxa"/>
            <w:vAlign w:val="center"/>
          </w:tcPr>
          <w:p>
            <w:pPr>
              <w:adjustRightInd w:val="0"/>
              <w:snapToGrid w:val="0"/>
              <w:jc w:val="center"/>
              <w:rPr>
                <w:color w:val="auto"/>
                <w:kern w:val="0"/>
                <w:sz w:val="24"/>
              </w:rPr>
            </w:pPr>
            <w:r>
              <w:rPr>
                <w:color w:val="auto"/>
                <w:kern w:val="0"/>
                <w:sz w:val="24"/>
              </w:rPr>
              <w:t>总平面及现场布置</w:t>
            </w:r>
          </w:p>
        </w:tc>
        <w:tc>
          <w:tcPr>
            <w:tcW w:w="8082" w:type="dxa"/>
            <w:vAlign w:val="center"/>
          </w:tcPr>
          <w:p>
            <w:pPr>
              <w:spacing w:line="360" w:lineRule="auto"/>
              <w:ind w:firstLine="480" w:firstLineChars="200"/>
              <w:rPr>
                <w:color w:val="auto"/>
                <w:sz w:val="24"/>
                <w:highlight w:val="none"/>
              </w:rPr>
            </w:pPr>
            <w:r>
              <w:rPr>
                <w:color w:val="auto"/>
                <w:sz w:val="24"/>
                <w:highlight w:val="none"/>
              </w:rPr>
              <w:t>施工营地：本项目不设施工营地。</w:t>
            </w:r>
          </w:p>
          <w:p>
            <w:pPr>
              <w:spacing w:line="360" w:lineRule="auto"/>
              <w:ind w:firstLine="480" w:firstLineChars="200"/>
              <w:rPr>
                <w:color w:val="auto"/>
                <w:sz w:val="24"/>
                <w:highlight w:val="none"/>
              </w:rPr>
            </w:pPr>
            <w:r>
              <w:rPr>
                <w:color w:val="auto"/>
                <w:sz w:val="24"/>
                <w:highlight w:val="none"/>
              </w:rPr>
              <w:t>施工便道：</w:t>
            </w:r>
            <w:r>
              <w:rPr>
                <w:color w:val="FF0000"/>
                <w:sz w:val="24"/>
                <w:highlight w:val="none"/>
              </w:rPr>
              <w:t>采用诱导分流、单车道封闭、半幅封闭等交通组织方式。</w:t>
            </w:r>
          </w:p>
          <w:p>
            <w:pPr>
              <w:spacing w:line="360" w:lineRule="auto"/>
              <w:ind w:firstLine="480" w:firstLineChars="200"/>
              <w:rPr>
                <w:color w:val="auto"/>
                <w:sz w:val="24"/>
                <w:highlight w:val="none"/>
              </w:rPr>
            </w:pPr>
            <w:r>
              <w:rPr>
                <w:color w:val="auto"/>
                <w:sz w:val="24"/>
                <w:highlight w:val="none"/>
              </w:rPr>
              <w:t>临时料场：本项目土石方纵向调运，由建设单位统一调配，设置一处临时料场，位于</w:t>
            </w:r>
            <w:r>
              <w:rPr>
                <w:rFonts w:hint="eastAsia"/>
                <w:color w:val="auto"/>
                <w:sz w:val="24"/>
                <w:highlight w:val="none"/>
                <w:lang w:eastAsia="zh-CN"/>
              </w:rPr>
              <w:t>桥梁北侧</w:t>
            </w:r>
            <w:r>
              <w:rPr>
                <w:color w:val="auto"/>
                <w:sz w:val="24"/>
                <w:highlight w:val="none"/>
              </w:rPr>
              <w:t>的空地。</w:t>
            </w:r>
          </w:p>
          <w:p>
            <w:pPr>
              <w:pStyle w:val="2"/>
            </w:pPr>
          </w:p>
          <w:p>
            <w:pPr>
              <w:spacing w:line="360" w:lineRule="auto"/>
              <w:ind w:firstLine="480" w:firstLineChars="200"/>
              <w:rPr>
                <w:color w:val="auto"/>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440" w:type="dxa"/>
            <w:vAlign w:val="center"/>
          </w:tcPr>
          <w:p>
            <w:pPr>
              <w:adjustRightInd w:val="0"/>
              <w:snapToGrid w:val="0"/>
              <w:jc w:val="center"/>
              <w:rPr>
                <w:color w:val="auto"/>
                <w:kern w:val="0"/>
                <w:sz w:val="24"/>
              </w:rPr>
            </w:pPr>
            <w:r>
              <w:rPr>
                <w:color w:val="auto"/>
                <w:kern w:val="0"/>
                <w:sz w:val="24"/>
              </w:rPr>
              <w:t>施工方案</w:t>
            </w:r>
          </w:p>
        </w:tc>
        <w:tc>
          <w:tcPr>
            <w:tcW w:w="8082" w:type="dxa"/>
            <w:vAlign w:val="center"/>
          </w:tcPr>
          <w:p>
            <w:pPr>
              <w:widowControl/>
              <w:spacing w:line="480" w:lineRule="exact"/>
              <w:jc w:val="left"/>
              <w:outlineLvl w:val="2"/>
              <w:rPr>
                <w:b/>
                <w:color w:val="auto"/>
                <w:sz w:val="24"/>
              </w:rPr>
            </w:pPr>
            <w:r>
              <w:rPr>
                <w:b/>
                <w:color w:val="auto"/>
                <w:sz w:val="24"/>
              </w:rPr>
              <w:t>1、施工期工艺流程</w:t>
            </w:r>
          </w:p>
          <w:p>
            <w:pPr>
              <w:pStyle w:val="53"/>
              <w:spacing w:line="360" w:lineRule="auto"/>
              <w:ind w:firstLine="506" w:firstLineChars="201"/>
              <w:rPr>
                <w:rFonts w:hint="default" w:ascii="Times New Roman" w:hAnsi="Times New Roman" w:eastAsia="宋体" w:cs="Times New Roman"/>
                <w:color w:val="auto"/>
                <w:spacing w:val="6"/>
                <w:lang w:val="en-US" w:eastAsia="zh-CN"/>
              </w:rPr>
            </w:pPr>
            <w:r>
              <w:rPr>
                <w:rFonts w:hint="eastAsia" w:ascii="Times New Roman" w:hAnsi="Times New Roman" w:eastAsia="宋体" w:cs="Times New Roman"/>
                <w:color w:val="auto"/>
                <w:spacing w:val="6"/>
                <w:lang w:val="en-US" w:eastAsia="zh-CN"/>
              </w:rPr>
              <w:t>1.1桥梁施工工艺</w:t>
            </w:r>
          </w:p>
          <w:p>
            <w:pPr>
              <w:pStyle w:val="53"/>
              <w:spacing w:line="360" w:lineRule="auto"/>
              <w:ind w:firstLine="506" w:firstLineChars="201"/>
              <w:rPr>
                <w:color w:val="auto"/>
              </w:rPr>
            </w:pPr>
            <w:r>
              <w:rPr>
                <w:rFonts w:hint="eastAsia" w:ascii="Times New Roman" w:hAnsi="Times New Roman" w:eastAsia="宋体" w:cs="Times New Roman"/>
                <w:color w:val="auto"/>
                <w:spacing w:val="6"/>
                <w:lang w:val="en-US" w:eastAsia="zh-CN"/>
              </w:rPr>
              <w:t>桥梁施工工艺</w:t>
            </w:r>
            <w:r>
              <w:rPr>
                <w:rFonts w:ascii="Times New Roman" w:hAnsi="Times New Roman" w:eastAsia="宋体" w:cs="Times New Roman"/>
                <w:color w:val="auto"/>
                <w:spacing w:val="6"/>
              </w:rPr>
              <w:t>流程及产污环节见图2-1。</w:t>
            </w:r>
          </w:p>
          <w:p>
            <w:pPr>
              <w:pStyle w:val="6"/>
              <w:ind w:firstLine="0" w:firstLineChars="0"/>
              <w:jc w:val="center"/>
              <w:rPr>
                <w:color w:val="auto"/>
                <w:sz w:val="24"/>
              </w:rPr>
            </w:pPr>
            <w:r>
              <w:rPr>
                <w:color w:val="auto"/>
              </w:rPr>
              <w:drawing>
                <wp:inline distT="0" distB="0" distL="114300" distR="114300">
                  <wp:extent cx="4352925" cy="1285875"/>
                  <wp:effectExtent l="0" t="0" r="9525"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4352925" cy="1285875"/>
                          </a:xfrm>
                          <a:prstGeom prst="rect">
                            <a:avLst/>
                          </a:prstGeom>
                          <a:noFill/>
                          <a:ln>
                            <a:noFill/>
                          </a:ln>
                        </pic:spPr>
                      </pic:pic>
                    </a:graphicData>
                  </a:graphic>
                </wp:inline>
              </w:drawing>
            </w:r>
          </w:p>
          <w:p>
            <w:pPr>
              <w:pStyle w:val="6"/>
              <w:ind w:firstLine="482"/>
              <w:jc w:val="center"/>
              <w:rPr>
                <w:b/>
                <w:bCs/>
                <w:color w:val="auto"/>
                <w:sz w:val="24"/>
              </w:rPr>
            </w:pPr>
            <w:r>
              <w:rPr>
                <w:b/>
                <w:bCs/>
                <w:color w:val="auto"/>
                <w:sz w:val="24"/>
              </w:rPr>
              <w:t>图2-1</w:t>
            </w:r>
            <w:r>
              <w:rPr>
                <w:rFonts w:hint="eastAsia"/>
                <w:b/>
                <w:bCs/>
                <w:color w:val="auto"/>
                <w:sz w:val="24"/>
                <w:lang w:val="en-US" w:eastAsia="zh-CN"/>
              </w:rPr>
              <w:t xml:space="preserve"> </w:t>
            </w:r>
            <w:r>
              <w:rPr>
                <w:rFonts w:hint="eastAsia" w:ascii="Times New Roman" w:hAnsi="Times New Roman" w:eastAsia="宋体" w:cs="Times New Roman"/>
                <w:b/>
                <w:bCs/>
                <w:color w:val="auto"/>
                <w:sz w:val="24"/>
                <w:lang w:val="en-US" w:eastAsia="zh-CN"/>
              </w:rPr>
              <w:t>桥梁施工工艺</w:t>
            </w:r>
            <w:r>
              <w:rPr>
                <w:rFonts w:ascii="Times New Roman" w:hAnsi="Times New Roman" w:eastAsia="宋体" w:cs="Times New Roman"/>
                <w:b/>
                <w:bCs/>
                <w:color w:val="auto"/>
                <w:sz w:val="24"/>
              </w:rPr>
              <w:t>流程及产</w:t>
            </w:r>
            <w:r>
              <w:rPr>
                <w:b/>
                <w:bCs/>
                <w:color w:val="auto"/>
                <w:sz w:val="24"/>
              </w:rPr>
              <w:t>污节点图</w:t>
            </w:r>
          </w:p>
          <w:p>
            <w:pPr>
              <w:pStyle w:val="2"/>
              <w:spacing w:line="360" w:lineRule="auto"/>
              <w:ind w:firstLine="480" w:firstLineChars="200"/>
              <w:rPr>
                <w:rFonts w:hint="eastAsia" w:ascii="Times New Roman" w:eastAsia="宋体" w:cs="Times New Roman"/>
                <w:color w:val="auto"/>
                <w:kern w:val="2"/>
                <w:lang w:eastAsia="zh-CN"/>
              </w:rPr>
            </w:pPr>
            <w:r>
              <w:rPr>
                <w:rFonts w:hint="eastAsia" w:ascii="Times New Roman" w:eastAsia="宋体" w:cs="Times New Roman"/>
                <w:color w:val="auto"/>
                <w:kern w:val="2"/>
                <w:lang w:eastAsia="zh-CN"/>
              </w:rPr>
              <w:t>工艺流程简述</w:t>
            </w:r>
          </w:p>
          <w:p>
            <w:pPr>
              <w:pStyle w:val="2"/>
              <w:spacing w:line="360" w:lineRule="auto"/>
              <w:ind w:firstLine="482" w:firstLineChars="200"/>
              <w:rPr>
                <w:rFonts w:hint="eastAsia" w:ascii="Times New Roman" w:hAnsi="Times New Roman" w:eastAsia="宋体" w:cs="Times New Roman"/>
                <w:color w:val="auto"/>
                <w:kern w:val="2"/>
                <w:lang w:eastAsia="zh-CN"/>
              </w:rPr>
            </w:pPr>
            <w:r>
              <w:rPr>
                <w:rFonts w:hint="eastAsia" w:ascii="Times New Roman" w:hAnsi="Times New Roman" w:eastAsia="宋体" w:cs="Times New Roman"/>
                <w:b/>
                <w:bCs/>
                <w:color w:val="auto"/>
                <w:kern w:val="2"/>
                <w:lang w:val="en-US" w:eastAsia="zh-CN"/>
              </w:rPr>
              <w:t>下部构件施工方法：</w:t>
            </w:r>
            <w:r>
              <w:rPr>
                <w:rFonts w:hint="eastAsia" w:ascii="Times New Roman" w:hAnsi="Times New Roman" w:eastAsia="宋体" w:cs="Times New Roman"/>
                <w:color w:val="auto"/>
                <w:kern w:val="2"/>
                <w:lang w:val="en-US" w:eastAsia="zh-CN"/>
              </w:rPr>
              <w:t xml:space="preserve"> </w:t>
            </w:r>
          </w:p>
          <w:p>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 xml:space="preserve">下部构件施工主要包括墩台、桥墩和桥台的建设。 </w:t>
            </w:r>
          </w:p>
          <w:p>
            <w:pPr>
              <w:spacing w:line="360" w:lineRule="auto"/>
              <w:ind w:firstLine="480" w:firstLineChars="200"/>
              <w:rPr>
                <w:rFonts w:ascii="Times New Roman" w:hAnsi="Times New Roman" w:eastAsia="宋体" w:cs="Times New Roman"/>
                <w:color w:val="FF0000"/>
                <w:sz w:val="24"/>
              </w:rPr>
            </w:pPr>
            <w:r>
              <w:rPr>
                <w:rFonts w:hint="eastAsia" w:cs="Times New Roman"/>
                <w:color w:val="FF0000"/>
                <w:sz w:val="24"/>
                <w:lang w:val="en-US" w:eastAsia="zh-CN"/>
              </w:rPr>
              <w:t>本工程施工区域河道现状为滩涂，且已完全露出水面，</w:t>
            </w:r>
            <w:r>
              <w:rPr>
                <w:rFonts w:hint="eastAsia" w:ascii="Times New Roman" w:hAnsi="Times New Roman" w:eastAsia="宋体" w:cs="Times New Roman"/>
                <w:color w:val="FF0000"/>
                <w:sz w:val="24"/>
                <w:lang w:val="en-US" w:eastAsia="zh-CN"/>
              </w:rPr>
              <w:t>为方便机械施工进入河道，设置了施工便道路面宽度</w:t>
            </w:r>
            <w:r>
              <w:rPr>
                <w:rFonts w:hint="default" w:ascii="Times New Roman" w:hAnsi="Times New Roman" w:eastAsia="宋体" w:cs="Times New Roman"/>
                <w:color w:val="FF0000"/>
                <w:sz w:val="24"/>
                <w:lang w:val="en-US" w:eastAsia="zh-CN"/>
              </w:rPr>
              <w:t>7m</w:t>
            </w:r>
            <w:r>
              <w:rPr>
                <w:rFonts w:hint="eastAsia" w:ascii="Times New Roman" w:hAnsi="Times New Roman" w:eastAsia="宋体" w:cs="Times New Roman"/>
                <w:color w:val="FF0000"/>
                <w:sz w:val="24"/>
                <w:lang w:val="en-US" w:eastAsia="zh-CN"/>
              </w:rPr>
              <w:t>，两侧设有砂袋围堰，并设置数根直径</w:t>
            </w:r>
            <w:r>
              <w:rPr>
                <w:rFonts w:hint="default" w:ascii="Times New Roman" w:hAnsi="Times New Roman" w:eastAsia="宋体" w:cs="Times New Roman"/>
                <w:color w:val="FF0000"/>
                <w:sz w:val="24"/>
                <w:lang w:val="en-US" w:eastAsia="zh-CN"/>
              </w:rPr>
              <w:t>1m</w:t>
            </w:r>
            <w:r>
              <w:rPr>
                <w:rFonts w:hint="eastAsia" w:ascii="Times New Roman" w:hAnsi="Times New Roman" w:eastAsia="宋体" w:cs="Times New Roman"/>
                <w:color w:val="FF0000"/>
                <w:sz w:val="24"/>
                <w:lang w:val="en-US" w:eastAsia="zh-CN"/>
              </w:rPr>
              <w:t xml:space="preserve">的管涵过水，两侧设置砂袋。桩基础采用钻孔桩施工，桥墩位置采用筑岛方式为打桩机创造施工平台，待桩基施工结束，针对水深较大的部分桥墩，采用拉森钢板桩围堰，开挖基坑，施工系梁。 </w:t>
            </w:r>
          </w:p>
          <w:p>
            <w:pPr>
              <w:spacing w:line="360" w:lineRule="auto"/>
              <w:ind w:firstLine="480" w:firstLineChars="200"/>
              <w:rPr>
                <w:rFonts w:ascii="Times New Roman" w:hAnsi="Times New Roman" w:eastAsia="宋体" w:cs="Times New Roman"/>
                <w:color w:val="FF0000"/>
                <w:sz w:val="24"/>
              </w:rPr>
            </w:pPr>
            <w:r>
              <w:rPr>
                <w:rFonts w:hint="eastAsia" w:ascii="Times New Roman" w:hAnsi="Times New Roman" w:eastAsia="宋体" w:cs="Times New Roman"/>
                <w:color w:val="FF0000"/>
                <w:sz w:val="24"/>
                <w:lang w:val="en-US" w:eastAsia="zh-CN"/>
              </w:rPr>
              <w:t>桥墩施工采用筑岛围堰施工，桥墩结构采用盖梁柱式桥墩，基础采用直径</w:t>
            </w:r>
            <w:r>
              <w:rPr>
                <w:rFonts w:hint="default" w:ascii="Times New Roman" w:hAnsi="Times New Roman" w:eastAsia="宋体" w:cs="Times New Roman"/>
                <w:color w:val="FF0000"/>
                <w:sz w:val="24"/>
                <w:lang w:val="en-US" w:eastAsia="zh-CN"/>
              </w:rPr>
              <w:t>1.5m</w:t>
            </w:r>
            <w:r>
              <w:rPr>
                <w:rFonts w:hint="eastAsia" w:ascii="Times New Roman" w:hAnsi="Times New Roman" w:eastAsia="宋体" w:cs="Times New Roman"/>
                <w:color w:val="FF0000"/>
                <w:sz w:val="24"/>
                <w:lang w:val="en-US" w:eastAsia="zh-CN"/>
              </w:rPr>
              <w:t xml:space="preserve">的钻孔灌注桩。桥墩墩柱采用定型钢模，采取搭设支架支护，一次浇注完成；盖梁采用大块钢模拼装，采取抱箍托架施工。 </w:t>
            </w:r>
          </w:p>
          <w:p>
            <w:pPr>
              <w:spacing w:line="360" w:lineRule="auto"/>
              <w:ind w:firstLine="480" w:firstLineChars="200"/>
              <w:rPr>
                <w:rFonts w:ascii="Times New Roman" w:hAnsi="Times New Roman" w:eastAsia="宋体" w:cs="Times New Roman"/>
                <w:color w:val="FF0000"/>
                <w:sz w:val="24"/>
              </w:rPr>
            </w:pPr>
            <w:r>
              <w:rPr>
                <w:rFonts w:hint="eastAsia" w:ascii="Times New Roman" w:hAnsi="Times New Roman" w:eastAsia="宋体" w:cs="Times New Roman"/>
                <w:color w:val="FF0000"/>
                <w:sz w:val="24"/>
                <w:lang w:val="en-US" w:eastAsia="zh-CN"/>
              </w:rPr>
              <w:t>桥台分为台身和背墙两次浇注，采用大块钢模板拼装关模。混凝土均采用商品混凝土，泵送入模。</w:t>
            </w:r>
          </w:p>
          <w:p>
            <w:pPr>
              <w:pStyle w:val="2"/>
              <w:spacing w:line="360" w:lineRule="auto"/>
              <w:ind w:firstLine="482" w:firstLineChars="200"/>
              <w:rPr>
                <w:rFonts w:hint="eastAsia" w:ascii="Times New Roman" w:hAnsi="Times New Roman" w:eastAsia="宋体" w:cs="Times New Roman"/>
                <w:b/>
                <w:bCs/>
                <w:color w:val="auto"/>
                <w:kern w:val="2"/>
                <w:lang w:val="en-US" w:eastAsia="zh-CN"/>
              </w:rPr>
            </w:pPr>
            <w:r>
              <w:rPr>
                <w:rFonts w:hint="eastAsia" w:ascii="Times New Roman" w:hAnsi="Times New Roman" w:eastAsia="宋体" w:cs="Times New Roman"/>
                <w:b/>
                <w:bCs/>
                <w:color w:val="auto"/>
                <w:kern w:val="2"/>
                <w:lang w:val="en-US" w:eastAsia="zh-CN"/>
              </w:rPr>
              <w:t xml:space="preserve">上部构件施工方法： </w:t>
            </w:r>
          </w:p>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 xml:space="preserve">上部构件施工主要包括箱梁预制及安装和空心板预制及安装。 </w:t>
            </w:r>
          </w:p>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人行梯道采用满堂支架，一次浇筑施工，浇筑混凝土前，对模板支架底部地基根据具体情况作加固处理，并对支架进行预压，以减少非弹性变形并确定支架及地基的承载能力。</w:t>
            </w:r>
          </w:p>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小箱梁和空心板在预制场地（场地选择在河道附近）施工，待强度满足要求后进行钢绞线张拉，各项指标合格后，采用门式起重机直接从台座上横移到运梁平车上，运至架梁现场。桥梁架设方案为架桥机架设（必须经过验算方可进行，且架桥机的重量必须落在墩台的立柱上），在已填筑到一定高度的桥头路基上拼装架桥机。将小箱梁或空心板运到架桥机后向架桥机喂梁，再进行架梁；纵向以河岸跨为箱梁吊装起始孔，采用架桥机逐孔推进的架设方案施工，横向先架中梁，然后架设两侧边梁。架梁完成后，墩顶两侧一定范围内的箱梁顶板布设局部预应力短束，现浇墩顶连续段，最终形成连续梁体系。</w:t>
            </w:r>
          </w:p>
          <w:p>
            <w:pPr>
              <w:pStyle w:val="2"/>
              <w:spacing w:line="360" w:lineRule="auto"/>
              <w:rPr>
                <w:rFonts w:ascii="Times New Roman" w:eastAsia="宋体" w:cs="Times New Roman"/>
                <w:color w:val="auto"/>
                <w:kern w:val="2"/>
              </w:rPr>
            </w:pPr>
            <w:r>
              <w:rPr>
                <w:color w:val="auto"/>
              </w:rPr>
              <w:drawing>
                <wp:inline distT="0" distB="0" distL="114300" distR="114300">
                  <wp:extent cx="5027295" cy="4223385"/>
                  <wp:effectExtent l="0" t="0" r="1905" b="571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stretch>
                            <a:fillRect/>
                          </a:stretch>
                        </pic:blipFill>
                        <pic:spPr>
                          <a:xfrm>
                            <a:off x="0" y="0"/>
                            <a:ext cx="5027295" cy="4223385"/>
                          </a:xfrm>
                          <a:prstGeom prst="rect">
                            <a:avLst/>
                          </a:prstGeom>
                          <a:noFill/>
                          <a:ln>
                            <a:noFill/>
                          </a:ln>
                        </pic:spPr>
                      </pic:pic>
                    </a:graphicData>
                  </a:graphic>
                </wp:inline>
              </w:drawing>
            </w:r>
          </w:p>
          <w:p>
            <w:pPr>
              <w:pStyle w:val="6"/>
              <w:ind w:firstLine="482"/>
              <w:jc w:val="center"/>
              <w:rPr>
                <w:rFonts w:ascii="Times New Roman" w:hAnsi="Times New Roman" w:eastAsia="宋体" w:cs="Times New Roman"/>
                <w:b/>
                <w:bCs/>
                <w:color w:val="auto"/>
                <w:sz w:val="24"/>
              </w:rPr>
            </w:pPr>
            <w:r>
              <w:rPr>
                <w:rFonts w:ascii="Times New Roman" w:hAnsi="Times New Roman" w:eastAsia="宋体" w:cs="Times New Roman"/>
                <w:b/>
                <w:bCs/>
                <w:color w:val="auto"/>
                <w:sz w:val="24"/>
              </w:rPr>
              <w:t xml:space="preserve">图2-2  </w:t>
            </w:r>
            <w:r>
              <w:rPr>
                <w:rFonts w:hint="eastAsia" w:ascii="Times New Roman" w:hAnsi="Times New Roman" w:eastAsia="宋体" w:cs="Times New Roman"/>
                <w:b/>
                <w:bCs/>
                <w:color w:val="auto"/>
                <w:sz w:val="24"/>
                <w:lang w:eastAsia="zh-CN"/>
              </w:rPr>
              <w:t>桥墩施工设计</w:t>
            </w:r>
            <w:r>
              <w:rPr>
                <w:rFonts w:ascii="Times New Roman" w:hAnsi="Times New Roman" w:eastAsia="宋体" w:cs="Times New Roman"/>
                <w:b/>
                <w:bCs/>
                <w:color w:val="auto"/>
                <w:sz w:val="24"/>
              </w:rPr>
              <w:t>图</w:t>
            </w:r>
          </w:p>
          <w:p>
            <w:pPr>
              <w:pStyle w:val="2"/>
              <w:spacing w:line="360" w:lineRule="auto"/>
              <w:ind w:firstLine="480" w:firstLineChars="200"/>
              <w:rPr>
                <w:rFonts w:ascii="Times New Roman" w:eastAsia="宋体" w:cs="Times New Roman"/>
                <w:color w:val="auto"/>
                <w:kern w:val="2"/>
              </w:rPr>
            </w:pPr>
          </w:p>
          <w:p>
            <w:pPr>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1.2道路施工工艺</w:t>
            </w:r>
          </w:p>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 xml:space="preserve">①道路施工 </w:t>
            </w:r>
          </w:p>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 xml:space="preserve">路基：路基土石方以机械施工为主，并纵向调配利用，填方基本取用挖方土石，填方路基施工采用分层铺筑，均匀压实，采用重型击实实验的路基压实度标准，以保证路面有良好的支承条件。开挖土方采用随挖随运方式进行。 </w:t>
            </w:r>
          </w:p>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 xml:space="preserve">路面：路面施工采用全机械化施工方案，严格控制材料用量和材料组成，实行严格的工序管理，做好现场监理与工序检测，确保施工质量。 </w:t>
            </w:r>
          </w:p>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②雨水管网施工：管线铺设前先进路面清表工作，对其现状表土进行开挖；将新的管网进行组接、加固，完成后进行下管沟，进行管道铺设，敷设完后进行回填土方、进行夯实。</w:t>
            </w:r>
          </w:p>
          <w:p>
            <w:pPr>
              <w:pStyle w:val="2"/>
              <w:spacing w:line="360" w:lineRule="auto"/>
              <w:rPr>
                <w:rFonts w:ascii="Times New Roman" w:eastAsia="宋体" w:cs="Times New Roman"/>
                <w:color w:val="auto"/>
                <w:kern w:val="2"/>
              </w:rPr>
            </w:pPr>
            <w:r>
              <w:rPr>
                <w:color w:val="auto"/>
              </w:rPr>
              <w:drawing>
                <wp:inline distT="0" distB="0" distL="114300" distR="114300">
                  <wp:extent cx="4994910" cy="2667000"/>
                  <wp:effectExtent l="0" t="0" r="1524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4994910" cy="2667000"/>
                          </a:xfrm>
                          <a:prstGeom prst="rect">
                            <a:avLst/>
                          </a:prstGeom>
                          <a:noFill/>
                          <a:ln>
                            <a:noFill/>
                          </a:ln>
                        </pic:spPr>
                      </pic:pic>
                    </a:graphicData>
                  </a:graphic>
                </wp:inline>
              </w:drawing>
            </w:r>
          </w:p>
          <w:p>
            <w:pPr>
              <w:keepNext w:val="0"/>
              <w:keepLines w:val="0"/>
              <w:widowControl/>
              <w:suppressLineNumbers w:val="0"/>
              <w:jc w:val="center"/>
              <w:rPr>
                <w:color w:val="auto"/>
              </w:rPr>
            </w:pPr>
            <w:r>
              <w:rPr>
                <w:rFonts w:hint="eastAsia" w:ascii="宋体" w:hAnsi="宋体" w:eastAsia="宋体" w:cs="宋体"/>
                <w:b/>
                <w:bCs/>
                <w:color w:val="auto"/>
                <w:kern w:val="0"/>
                <w:sz w:val="24"/>
                <w:szCs w:val="24"/>
                <w:lang w:val="en-US" w:eastAsia="zh-CN" w:bidi="ar"/>
              </w:rPr>
              <w:t xml:space="preserve">图 </w:t>
            </w:r>
            <w:r>
              <w:rPr>
                <w:rFonts w:hint="eastAsia" w:ascii="Times New Roman" w:hAnsi="Times New Roman" w:eastAsia="宋体" w:cs="Times New Roman"/>
                <w:b/>
                <w:bCs/>
                <w:color w:val="auto"/>
                <w:kern w:val="0"/>
                <w:sz w:val="24"/>
                <w:szCs w:val="24"/>
                <w:lang w:val="en-US" w:eastAsia="zh-CN" w:bidi="ar"/>
              </w:rPr>
              <w:t>2-3</w:t>
            </w:r>
            <w:r>
              <w:rPr>
                <w:rFonts w:hint="default" w:ascii="Times New Roman" w:hAnsi="Times New Roman" w:eastAsia="宋体" w:cs="Times New Roman"/>
                <w:b/>
                <w:bCs/>
                <w:color w:val="auto"/>
                <w:kern w:val="0"/>
                <w:sz w:val="24"/>
                <w:szCs w:val="24"/>
                <w:lang w:val="en-US" w:eastAsia="zh-CN" w:bidi="ar"/>
              </w:rPr>
              <w:t xml:space="preserve"> </w:t>
            </w:r>
            <w:r>
              <w:rPr>
                <w:rFonts w:hint="eastAsia" w:ascii="宋体" w:hAnsi="宋体" w:eastAsia="宋体" w:cs="宋体"/>
                <w:b/>
                <w:bCs/>
                <w:color w:val="auto"/>
                <w:kern w:val="0"/>
                <w:sz w:val="24"/>
                <w:szCs w:val="24"/>
                <w:lang w:val="en-US" w:eastAsia="zh-CN" w:bidi="ar"/>
              </w:rPr>
              <w:t>道路施工工艺及产污节点图</w:t>
            </w:r>
          </w:p>
          <w:p>
            <w:pPr>
              <w:pStyle w:val="2"/>
              <w:spacing w:line="360" w:lineRule="auto"/>
              <w:ind w:firstLine="480" w:firstLineChars="200"/>
              <w:rPr>
                <w:rFonts w:ascii="Times New Roman" w:eastAsia="宋体" w:cs="Times New Roman"/>
                <w:color w:val="auto"/>
                <w:kern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dxa"/>
            <w:vAlign w:val="center"/>
          </w:tcPr>
          <w:p>
            <w:pPr>
              <w:adjustRightInd w:val="0"/>
              <w:snapToGrid w:val="0"/>
              <w:jc w:val="center"/>
              <w:rPr>
                <w:color w:val="auto"/>
                <w:kern w:val="0"/>
                <w:sz w:val="24"/>
              </w:rPr>
            </w:pPr>
            <w:r>
              <w:rPr>
                <w:color w:val="auto"/>
                <w:kern w:val="0"/>
                <w:sz w:val="24"/>
              </w:rPr>
              <w:t>其他</w:t>
            </w:r>
          </w:p>
        </w:tc>
        <w:tc>
          <w:tcPr>
            <w:tcW w:w="8082" w:type="dxa"/>
            <w:vAlign w:val="bottom"/>
          </w:tcPr>
          <w:p>
            <w:pPr>
              <w:spacing w:line="360" w:lineRule="auto"/>
              <w:ind w:right="-1"/>
              <w:contextualSpacing/>
              <w:jc w:val="left"/>
              <w:outlineLvl w:val="1"/>
              <w:rPr>
                <w:b/>
                <w:bCs/>
                <w:color w:val="auto"/>
                <w:sz w:val="24"/>
                <w:highlight w:val="none"/>
              </w:rPr>
            </w:pPr>
            <w:r>
              <w:rPr>
                <w:b/>
                <w:bCs/>
                <w:color w:val="auto"/>
                <w:sz w:val="24"/>
                <w:highlight w:val="none"/>
              </w:rPr>
              <w:t>1、施工条件</w:t>
            </w:r>
          </w:p>
          <w:p>
            <w:pPr>
              <w:pStyle w:val="4"/>
              <w:adjustRightInd w:val="0"/>
              <w:snapToGrid w:val="0"/>
              <w:spacing w:before="120" w:after="120" w:line="360" w:lineRule="auto"/>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1）交通运输条件</w:t>
            </w:r>
          </w:p>
          <w:p>
            <w:pPr>
              <w:snapToGrid w:val="0"/>
              <w:spacing w:line="360" w:lineRule="auto"/>
              <w:ind w:firstLine="480" w:firstLineChars="200"/>
              <w:rPr>
                <w:color w:val="auto"/>
                <w:sz w:val="24"/>
              </w:rPr>
            </w:pPr>
            <w:r>
              <w:rPr>
                <w:color w:val="auto"/>
                <w:sz w:val="24"/>
              </w:rPr>
              <w:t>本工程对外交通条件便利，现有公路可以满足施工期外来物资的运输要求；场地比较平坦、开阔，场内可利用的施工场地面积也较大，可满足施工场地的总体布置要求。</w:t>
            </w:r>
          </w:p>
          <w:p>
            <w:pPr>
              <w:pStyle w:val="4"/>
              <w:adjustRightInd w:val="0"/>
              <w:snapToGrid w:val="0"/>
              <w:spacing w:before="120" w:after="120" w:line="360" w:lineRule="auto"/>
              <w:rPr>
                <w:rFonts w:ascii="Times New Roman" w:hAnsi="Times New Roman" w:eastAsia="宋体"/>
                <w:color w:val="auto"/>
                <w:sz w:val="24"/>
                <w:szCs w:val="24"/>
              </w:rPr>
            </w:pPr>
            <w:r>
              <w:rPr>
                <w:rFonts w:ascii="Times New Roman" w:hAnsi="Times New Roman" w:eastAsia="宋体"/>
                <w:color w:val="auto"/>
                <w:sz w:val="24"/>
                <w:szCs w:val="24"/>
              </w:rPr>
              <w:t>2）材料供应</w:t>
            </w:r>
          </w:p>
          <w:p>
            <w:pPr>
              <w:spacing w:line="360" w:lineRule="auto"/>
              <w:ind w:firstLine="480" w:firstLineChars="200"/>
              <w:rPr>
                <w:color w:val="auto"/>
                <w:sz w:val="24"/>
              </w:rPr>
            </w:pPr>
            <w:r>
              <w:rPr>
                <w:color w:val="auto"/>
                <w:sz w:val="24"/>
              </w:rPr>
              <w:t>本工程所需的物资从</w:t>
            </w:r>
            <w:r>
              <w:rPr>
                <w:rFonts w:hint="eastAsia"/>
                <w:color w:val="auto"/>
                <w:sz w:val="24"/>
                <w:lang w:eastAsia="zh-CN"/>
              </w:rPr>
              <w:t>宁</w:t>
            </w:r>
            <w:r>
              <w:rPr>
                <w:color w:val="auto"/>
                <w:sz w:val="24"/>
              </w:rPr>
              <w:t>县县城购买，所有工程所用混凝土均采用商品混凝土，不在现场进行搅拌，可从项目周边进行购买，满足施工需要。</w:t>
            </w:r>
          </w:p>
          <w:p>
            <w:pPr>
              <w:pStyle w:val="4"/>
              <w:adjustRightInd w:val="0"/>
              <w:snapToGrid w:val="0"/>
              <w:spacing w:before="120" w:after="120" w:line="360" w:lineRule="auto"/>
              <w:rPr>
                <w:rFonts w:ascii="Times New Roman" w:hAnsi="Times New Roman" w:eastAsia="宋体"/>
                <w:color w:val="auto"/>
                <w:sz w:val="24"/>
                <w:szCs w:val="24"/>
              </w:rPr>
            </w:pPr>
            <w:r>
              <w:rPr>
                <w:rFonts w:hint="eastAsia" w:ascii="Times New Roman" w:hAnsi="Times New Roman" w:eastAsia="宋体"/>
                <w:color w:val="auto"/>
                <w:sz w:val="24"/>
                <w:szCs w:val="24"/>
                <w:lang w:val="en-US" w:eastAsia="zh-CN"/>
              </w:rPr>
              <w:t>2</w:t>
            </w:r>
            <w:r>
              <w:rPr>
                <w:rFonts w:ascii="Times New Roman" w:hAnsi="Times New Roman" w:eastAsia="宋体"/>
                <w:color w:val="auto"/>
                <w:sz w:val="24"/>
                <w:szCs w:val="24"/>
              </w:rPr>
              <w:t>、劳动定员与工作制度</w:t>
            </w:r>
          </w:p>
          <w:p>
            <w:pPr>
              <w:spacing w:line="360" w:lineRule="auto"/>
              <w:ind w:firstLine="480" w:firstLineChars="200"/>
              <w:rPr>
                <w:color w:val="auto"/>
                <w:kern w:val="0"/>
                <w:sz w:val="24"/>
              </w:rPr>
            </w:pPr>
            <w:r>
              <w:rPr>
                <w:color w:val="auto"/>
                <w:sz w:val="24"/>
              </w:rPr>
              <w:t>本项目施工期施工平均人数为</w:t>
            </w:r>
            <w:r>
              <w:rPr>
                <w:rFonts w:hint="eastAsia"/>
                <w:color w:val="auto"/>
                <w:sz w:val="24"/>
                <w:lang w:val="en-US" w:eastAsia="zh-CN"/>
              </w:rPr>
              <w:t>5</w:t>
            </w:r>
            <w:r>
              <w:rPr>
                <w:color w:val="auto"/>
                <w:sz w:val="24"/>
              </w:rPr>
              <w:t>0人。</w:t>
            </w:r>
          </w:p>
          <w:p>
            <w:pPr>
              <w:pStyle w:val="5"/>
              <w:rPr>
                <w:color w:val="auto"/>
              </w:rPr>
            </w:pPr>
          </w:p>
          <w:p>
            <w:pPr>
              <w:rPr>
                <w:rFonts w:hint="eastAsia"/>
                <w:color w:val="auto"/>
              </w:rPr>
            </w:pPr>
          </w:p>
        </w:tc>
      </w:tr>
    </w:tbl>
    <w:p>
      <w:pPr>
        <w:pStyle w:val="21"/>
        <w:jc w:val="center"/>
        <w:outlineLvl w:val="0"/>
        <w:rPr>
          <w:rFonts w:ascii="Times New Roman" w:hAnsi="Times New Roman"/>
          <w:snapToGrid w:val="0"/>
          <w:color w:val="auto"/>
          <w:sz w:val="30"/>
          <w:szCs w:val="30"/>
        </w:rPr>
      </w:pPr>
      <w:r>
        <w:rPr>
          <w:rFonts w:ascii="Times New Roman" w:hAnsi="Times New Roman"/>
          <w:b/>
          <w:bCs/>
          <w:color w:val="auto"/>
        </w:rPr>
        <w:br w:type="page"/>
      </w:r>
      <w:r>
        <w:rPr>
          <w:rFonts w:ascii="Times New Roman" w:hAnsi="Times New Roman"/>
          <w:snapToGrid w:val="0"/>
          <w:color w:val="auto"/>
          <w:sz w:val="30"/>
          <w:szCs w:val="30"/>
        </w:rPr>
        <w:t>三、生态环境现状、保护目标及评价标准</w:t>
      </w:r>
    </w:p>
    <w:tbl>
      <w:tblPr>
        <w:tblStyle w:val="26"/>
        <w:tblW w:w="85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06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48" w:hRule="atLeast"/>
          <w:jc w:val="center"/>
        </w:trPr>
        <w:tc>
          <w:tcPr>
            <w:tcW w:w="452" w:type="dxa"/>
            <w:vAlign w:val="center"/>
          </w:tcPr>
          <w:p>
            <w:pPr>
              <w:adjustRightInd w:val="0"/>
              <w:snapToGrid w:val="0"/>
              <w:jc w:val="center"/>
              <w:rPr>
                <w:color w:val="auto"/>
                <w:kern w:val="0"/>
                <w:sz w:val="24"/>
              </w:rPr>
            </w:pPr>
            <w:r>
              <w:rPr>
                <w:color w:val="auto"/>
                <w:kern w:val="0"/>
                <w:sz w:val="24"/>
              </w:rPr>
              <w:t>生态环境现状</w:t>
            </w:r>
          </w:p>
        </w:tc>
        <w:tc>
          <w:tcPr>
            <w:tcW w:w="8070" w:type="dxa"/>
            <w:vAlign w:val="center"/>
          </w:tcPr>
          <w:p>
            <w:pPr>
              <w:pStyle w:val="11"/>
              <w:spacing w:line="360" w:lineRule="auto"/>
              <w:rPr>
                <w:b/>
                <w:color w:val="auto"/>
                <w:sz w:val="24"/>
              </w:rPr>
            </w:pPr>
            <w:r>
              <w:rPr>
                <w:b/>
                <w:color w:val="auto"/>
                <w:sz w:val="24"/>
              </w:rPr>
              <w:t>1、生态环境功能区划分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eastAsia" w:ascii="Times New Roman" w:hAnsi="Times New Roman" w:eastAsia="宋体" w:cs="Times New Roman"/>
                <w:color w:val="FF0000"/>
                <w:sz w:val="24"/>
                <w:lang w:eastAsia="zh-CN"/>
              </w:rPr>
            </w:pPr>
            <w:r>
              <w:rPr>
                <w:rFonts w:hint="eastAsia" w:ascii="Times New Roman" w:hAnsi="Times New Roman" w:eastAsia="宋体"/>
                <w:color w:val="FF0000"/>
                <w:kern w:val="0"/>
                <w:sz w:val="24"/>
              </w:rPr>
              <w:t>（1）</w:t>
            </w:r>
            <w:r>
              <w:rPr>
                <w:rFonts w:hint="eastAsia" w:ascii="Times New Roman" w:hAnsi="Times New Roman" w:eastAsia="宋体" w:cs="Times New Roman"/>
                <w:color w:val="FF0000"/>
                <w:sz w:val="24"/>
                <w:lang w:eastAsia="zh-CN"/>
              </w:rPr>
              <w:t>生态功能区划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eastAsia" w:ascii="Times New Roman" w:hAnsi="Times New Roman" w:eastAsia="宋体" w:cs="Times New Roman"/>
                <w:color w:val="FF0000"/>
                <w:sz w:val="24"/>
                <w:lang w:eastAsia="zh-CN"/>
              </w:rPr>
            </w:pPr>
            <w:r>
              <w:rPr>
                <w:rFonts w:hint="eastAsia" w:ascii="Times New Roman" w:hAnsi="Times New Roman" w:eastAsia="宋体" w:cs="Times New Roman"/>
                <w:color w:val="FF0000"/>
                <w:sz w:val="24"/>
                <w:lang w:eastAsia="zh-CN"/>
              </w:rPr>
              <w:t>根据《</w:t>
            </w:r>
            <w:r>
              <w:rPr>
                <w:rFonts w:hint="default" w:ascii="Times New Roman" w:hAnsi="Times New Roman" w:cs="Times New Roman"/>
                <w:color w:val="FF0000"/>
                <w:kern w:val="24"/>
                <w:sz w:val="24"/>
                <w:szCs w:val="21"/>
              </w:rPr>
              <w:t>甘肃省生态功能区划</w:t>
            </w:r>
            <w:r>
              <w:rPr>
                <w:rFonts w:hint="eastAsia" w:ascii="Times New Roman" w:hAnsi="Times New Roman" w:eastAsia="宋体" w:cs="Times New Roman"/>
                <w:color w:val="FF0000"/>
                <w:sz w:val="24"/>
                <w:lang w:eastAsia="zh-CN"/>
              </w:rPr>
              <w:t>》本项目位于宁南-陇东黄土丘陵农业生态亚区中的黄土残塬旱作农业强烈水土流失生态功能区范围内。</w:t>
            </w:r>
          </w:p>
          <w:p>
            <w:pPr>
              <w:pStyle w:val="25"/>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olor w:val="FF0000"/>
                <w:sz w:val="24"/>
                <w:szCs w:val="24"/>
                <w:highlight w:val="none"/>
                <w:lang w:val="en-US" w:eastAsia="zh-CN"/>
              </w:rPr>
            </w:pPr>
            <w:r>
              <w:rPr>
                <w:rFonts w:hint="eastAsia" w:ascii="Times New Roman" w:hAnsi="Times New Roman" w:eastAsia="宋体"/>
                <w:color w:val="FF0000"/>
                <w:sz w:val="24"/>
                <w:szCs w:val="24"/>
                <w:highlight w:val="none"/>
                <w:lang w:eastAsia="zh-CN"/>
              </w:rPr>
              <w:t>根据《庆阳市生态功能区划图》，本项目位于</w:t>
            </w:r>
            <w:r>
              <w:rPr>
                <w:rFonts w:hint="eastAsia"/>
                <w:color w:val="FF0000"/>
                <w:sz w:val="24"/>
                <w:szCs w:val="24"/>
                <w:highlight w:val="none"/>
                <w:lang w:eastAsia="zh-CN"/>
              </w:rPr>
              <w:t>宁县县城</w:t>
            </w:r>
            <w:r>
              <w:rPr>
                <w:rFonts w:hint="eastAsia" w:ascii="Times New Roman" w:hAnsi="Times New Roman" w:eastAsia="宋体"/>
                <w:color w:val="FF0000"/>
                <w:sz w:val="24"/>
                <w:szCs w:val="24"/>
                <w:highlight w:val="none"/>
                <w:lang w:eastAsia="zh-CN"/>
              </w:rPr>
              <w:t>，所处生态环境功能区为Ⅱ-2中南部生态工业集中发展亚区</w:t>
            </w:r>
            <w:r>
              <w:rPr>
                <w:rFonts w:hint="eastAsia" w:ascii="Times New Roman" w:hAnsi="Times New Roman" w:eastAsia="宋体"/>
                <w:color w:val="FF0000"/>
                <w:sz w:val="24"/>
                <w:szCs w:val="24"/>
                <w:highlight w:val="none"/>
                <w:lang w:val="en-US" w:eastAsia="zh-CN"/>
              </w:rPr>
              <w:t>。</w:t>
            </w:r>
          </w:p>
          <w:p>
            <w:pPr>
              <w:pStyle w:val="25"/>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Times New Roman" w:hAnsi="Times New Roman" w:eastAsia="宋体"/>
                <w:color w:val="FF0000"/>
                <w:kern w:val="0"/>
                <w:sz w:val="24"/>
              </w:rPr>
            </w:pPr>
            <w:r>
              <w:rPr>
                <w:rFonts w:hint="eastAsia" w:ascii="Times New Roman" w:hAnsi="Times New Roman" w:eastAsia="宋体"/>
                <w:color w:val="FF0000"/>
                <w:kern w:val="0"/>
                <w:sz w:val="24"/>
              </w:rPr>
              <w:t>（2）大气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olor w:val="FF0000"/>
                <w:kern w:val="0"/>
                <w:sz w:val="24"/>
              </w:rPr>
            </w:pPr>
            <w:r>
              <w:rPr>
                <w:rFonts w:hint="eastAsia" w:ascii="Times New Roman" w:hAnsi="Times New Roman" w:eastAsia="宋体"/>
                <w:color w:val="FF0000"/>
                <w:kern w:val="0"/>
                <w:sz w:val="24"/>
              </w:rPr>
              <w:t>根据《关于印发&lt;庆阳地区环境空气质量功能区划分方案&gt;的通知》</w:t>
            </w:r>
            <w:r>
              <w:rPr>
                <w:rFonts w:ascii="Times New Roman" w:hAnsi="Times New Roman" w:eastAsia="宋体"/>
                <w:color w:val="FF0000"/>
                <w:kern w:val="0"/>
                <w:sz w:val="24"/>
              </w:rPr>
              <w:t>，庆阳市除</w:t>
            </w:r>
            <w:r>
              <w:rPr>
                <w:rFonts w:ascii="Times New Roman" w:hAnsi="Times New Roman" w:eastAsia="宋体"/>
                <w:color w:val="FF0000"/>
                <w:sz w:val="24"/>
              </w:rPr>
              <w:t>子午岭林区执行一级标准外，其余区域全部</w:t>
            </w:r>
            <w:r>
              <w:rPr>
                <w:rFonts w:ascii="Times New Roman" w:hAnsi="Times New Roman" w:eastAsia="宋体"/>
                <w:color w:val="FF0000"/>
                <w:kern w:val="0"/>
                <w:sz w:val="24"/>
              </w:rPr>
              <w:t>执行《环境空气质量标准》二级标准，本项目执行二级标准。</w:t>
            </w:r>
          </w:p>
          <w:p>
            <w:pPr>
              <w:pStyle w:val="25"/>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Times New Roman" w:hAnsi="Times New Roman" w:eastAsia="宋体"/>
                <w:color w:val="FF0000"/>
                <w:kern w:val="0"/>
                <w:sz w:val="24"/>
              </w:rPr>
            </w:pPr>
            <w:r>
              <w:rPr>
                <w:rFonts w:hint="eastAsia" w:ascii="Times New Roman" w:hAnsi="Times New Roman" w:eastAsia="宋体"/>
                <w:color w:val="FF0000"/>
                <w:sz w:val="24"/>
              </w:rPr>
              <w:t>（3）</w:t>
            </w:r>
            <w:r>
              <w:rPr>
                <w:rFonts w:hint="eastAsia" w:ascii="Times New Roman" w:hAnsi="Times New Roman" w:eastAsia="宋体"/>
                <w:color w:val="FF0000"/>
                <w:kern w:val="0"/>
                <w:sz w:val="24"/>
              </w:rPr>
              <w:t>地表水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olor w:val="FF0000"/>
                <w:sz w:val="24"/>
              </w:rPr>
            </w:pPr>
            <w:r>
              <w:rPr>
                <w:rFonts w:ascii="Times New Roman" w:hAnsi="Times New Roman" w:eastAsia="宋体"/>
                <w:color w:val="FF0000"/>
                <w:sz w:val="24"/>
              </w:rPr>
              <w:t>根据《甘肃省</w:t>
            </w:r>
            <w:r>
              <w:rPr>
                <w:rFonts w:hint="eastAsia" w:ascii="Times New Roman" w:hAnsi="Times New Roman" w:eastAsia="宋体"/>
                <w:color w:val="FF0000"/>
                <w:sz w:val="24"/>
              </w:rPr>
              <w:t>地表</w:t>
            </w:r>
            <w:r>
              <w:rPr>
                <w:rFonts w:ascii="Times New Roman" w:hAnsi="Times New Roman" w:eastAsia="宋体"/>
                <w:color w:val="FF0000"/>
                <w:sz w:val="24"/>
              </w:rPr>
              <w:t>水功能区划》（201</w:t>
            </w:r>
            <w:r>
              <w:rPr>
                <w:rFonts w:hint="eastAsia" w:ascii="Times New Roman" w:hAnsi="Times New Roman" w:eastAsia="宋体"/>
                <w:color w:val="FF0000"/>
                <w:sz w:val="24"/>
              </w:rPr>
              <w:t>2-2030</w:t>
            </w:r>
            <w:r>
              <w:rPr>
                <w:rFonts w:ascii="Times New Roman" w:hAnsi="Times New Roman" w:eastAsia="宋体"/>
                <w:color w:val="FF0000"/>
                <w:sz w:val="24"/>
              </w:rPr>
              <w:t>年）的划分结果，本项目</w:t>
            </w:r>
            <w:r>
              <w:rPr>
                <w:rFonts w:hint="eastAsia" w:ascii="Times New Roman" w:hAnsi="Times New Roman"/>
                <w:color w:val="FF0000"/>
                <w:sz w:val="24"/>
                <w:lang w:eastAsia="zh-CN"/>
              </w:rPr>
              <w:t>横跨马莲河</w:t>
            </w:r>
            <w:r>
              <w:rPr>
                <w:rFonts w:hint="eastAsia"/>
                <w:color w:val="FF0000"/>
                <w:sz w:val="24"/>
                <w:lang w:eastAsia="zh-CN"/>
              </w:rPr>
              <w:t>，</w:t>
            </w:r>
            <w:r>
              <w:rPr>
                <w:rFonts w:ascii="Times New Roman" w:hAnsi="Times New Roman" w:eastAsia="宋体"/>
                <w:color w:val="FF0000"/>
                <w:sz w:val="24"/>
              </w:rPr>
              <w:t>地表水执行</w:t>
            </w:r>
            <w:r>
              <w:rPr>
                <w:rFonts w:ascii="Times New Roman" w:hAnsi="Times New Roman" w:eastAsia="宋体"/>
                <w:bCs/>
                <w:color w:val="FF0000"/>
                <w:sz w:val="24"/>
              </w:rPr>
              <w:t>《地表水环境质量标准》（GB3838-20</w:t>
            </w:r>
            <w:r>
              <w:rPr>
                <w:rFonts w:ascii="Times New Roman" w:hAnsi="Times New Roman" w:eastAsia="宋体" w:cs="Times New Roman"/>
                <w:bCs/>
                <w:color w:val="FF0000"/>
                <w:sz w:val="24"/>
              </w:rPr>
              <w:t>02）</w:t>
            </w:r>
            <w:r>
              <w:rPr>
                <w:rFonts w:hint="default" w:ascii="Times New Roman" w:hAnsi="Times New Roman" w:eastAsia="宋体" w:cs="Times New Roman"/>
                <w:bCs/>
                <w:color w:val="FF0000"/>
                <w:sz w:val="24"/>
              </w:rPr>
              <w:t>Ⅳ</w:t>
            </w:r>
            <w:r>
              <w:rPr>
                <w:rFonts w:ascii="Times New Roman" w:hAnsi="Times New Roman" w:eastAsia="宋体" w:cs="Times New Roman"/>
                <w:bCs/>
                <w:color w:val="FF0000"/>
                <w:sz w:val="24"/>
              </w:rPr>
              <w:t>类</w:t>
            </w:r>
            <w:r>
              <w:rPr>
                <w:rFonts w:ascii="Times New Roman" w:hAnsi="Times New Roman" w:eastAsia="宋体"/>
                <w:color w:val="FF0000"/>
                <w:sz w:val="24"/>
              </w:rPr>
              <w:t>水质标准</w:t>
            </w:r>
            <w:r>
              <w:rPr>
                <w:rFonts w:hint="eastAsia" w:ascii="Times New Roman" w:hAnsi="Times New Roman" w:eastAsia="宋体"/>
                <w:color w:val="FF0000"/>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contextualSpacing/>
              <w:textAlignment w:val="auto"/>
              <w:rPr>
                <w:rFonts w:ascii="Times New Roman" w:hAnsi="Times New Roman" w:eastAsia="宋体"/>
                <w:color w:val="FF0000"/>
                <w:sz w:val="24"/>
              </w:rPr>
            </w:pPr>
            <w:r>
              <w:rPr>
                <w:rFonts w:hint="eastAsia" w:ascii="Times New Roman" w:hAnsi="Times New Roman" w:eastAsia="宋体"/>
                <w:color w:val="FF0000"/>
              </w:rPr>
              <w:t>（</w:t>
            </w:r>
            <w:r>
              <w:rPr>
                <w:rFonts w:hint="eastAsia" w:ascii="Times New Roman" w:hAnsi="Times New Roman" w:eastAsia="宋体"/>
                <w:color w:val="FF0000"/>
                <w:sz w:val="24"/>
              </w:rPr>
              <w:t>4）地下水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olor w:val="FF0000"/>
                <w:sz w:val="24"/>
              </w:rPr>
            </w:pPr>
            <w:r>
              <w:rPr>
                <w:rFonts w:hint="eastAsia" w:ascii="Times New Roman" w:hAnsi="Times New Roman" w:eastAsia="宋体"/>
                <w:color w:val="FF0000"/>
                <w:sz w:val="24"/>
              </w:rPr>
              <w:t>根据《地下水质量标准》（</w:t>
            </w:r>
            <w:r>
              <w:rPr>
                <w:rFonts w:ascii="Times New Roman" w:hAnsi="Times New Roman" w:eastAsia="宋体"/>
                <w:color w:val="FF0000"/>
                <w:sz w:val="24"/>
              </w:rPr>
              <w:t>GB/T14848-2017</w:t>
            </w:r>
            <w:r>
              <w:rPr>
                <w:rFonts w:hint="eastAsia" w:ascii="Times New Roman" w:hAnsi="Times New Roman" w:eastAsia="宋体"/>
                <w:color w:val="FF0000"/>
                <w:sz w:val="24"/>
              </w:rPr>
              <w:t>）中地下水分类，本项目地下水执行《地下水质量标准》中III类标准。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olor w:val="FF0000"/>
                <w:sz w:val="24"/>
              </w:rPr>
            </w:pPr>
            <w:r>
              <w:rPr>
                <w:rFonts w:hint="eastAsia" w:ascii="Times New Roman" w:hAnsi="Times New Roman" w:eastAsia="宋体" w:cs="Times New Roman"/>
                <w:color w:val="FF0000"/>
                <w:sz w:val="24"/>
                <w:lang w:eastAsia="zh-CN"/>
              </w:rPr>
              <w:t>（</w:t>
            </w:r>
            <w:r>
              <w:rPr>
                <w:rFonts w:hint="eastAsia" w:ascii="Times New Roman" w:hAnsi="Times New Roman" w:eastAsia="宋体" w:cs="Times New Roman"/>
                <w:color w:val="FF0000"/>
                <w:sz w:val="24"/>
                <w:lang w:val="en-US" w:eastAsia="zh-CN"/>
              </w:rPr>
              <w:t>5</w:t>
            </w:r>
            <w:r>
              <w:rPr>
                <w:rFonts w:hint="eastAsia" w:ascii="Times New Roman" w:hAnsi="Times New Roman" w:eastAsia="宋体" w:cs="Times New Roman"/>
                <w:color w:val="FF0000"/>
                <w:sz w:val="24"/>
                <w:lang w:eastAsia="zh-CN"/>
              </w:rPr>
              <w:t>）</w:t>
            </w:r>
            <w:r>
              <w:rPr>
                <w:rFonts w:hint="eastAsia" w:ascii="Times New Roman" w:hAnsi="Times New Roman" w:eastAsia="宋体"/>
                <w:color w:val="FF0000"/>
                <w:sz w:val="24"/>
              </w:rPr>
              <w:t>声环境</w:t>
            </w:r>
          </w:p>
          <w:p>
            <w:pPr>
              <w:pStyle w:val="25"/>
              <w:spacing w:line="360" w:lineRule="auto"/>
              <w:ind w:firstLine="480" w:firstLineChars="200"/>
              <w:rPr>
                <w:rFonts w:hint="eastAsia"/>
                <w:bCs/>
                <w:color w:val="FF0000"/>
                <w:sz w:val="24"/>
                <w:szCs w:val="24"/>
              </w:rPr>
            </w:pPr>
            <w:r>
              <w:rPr>
                <w:rFonts w:hint="eastAsia" w:ascii="Times New Roman" w:hAnsi="Times New Roman" w:eastAsia="宋体"/>
                <w:color w:val="FF0000"/>
                <w:sz w:val="24"/>
              </w:rPr>
              <w:t>本项目地声环境执行《声环境质量标准》（GB3096-2008）2类标准</w:t>
            </w:r>
            <w:r>
              <w:rPr>
                <w:rFonts w:hint="eastAsia"/>
                <w:bCs/>
                <w:color w:val="FF0000"/>
                <w:sz w:val="24"/>
                <w:szCs w:val="24"/>
              </w:rPr>
              <w:t>。</w:t>
            </w:r>
          </w:p>
          <w:p>
            <w:pPr>
              <w:pStyle w:val="11"/>
              <w:spacing w:line="360" w:lineRule="auto"/>
              <w:rPr>
                <w:b/>
                <w:color w:val="auto"/>
                <w:sz w:val="24"/>
              </w:rPr>
            </w:pPr>
            <w:r>
              <w:rPr>
                <w:b/>
                <w:color w:val="auto"/>
                <w:sz w:val="24"/>
              </w:rPr>
              <w:t>2、生态</w:t>
            </w:r>
            <w:r>
              <w:rPr>
                <w:rFonts w:hint="eastAsia"/>
                <w:b/>
                <w:color w:val="auto"/>
                <w:sz w:val="24"/>
                <w:lang w:eastAsia="zh-CN"/>
              </w:rPr>
              <w:t>环境</w:t>
            </w:r>
            <w:r>
              <w:rPr>
                <w:b/>
                <w:color w:val="auto"/>
                <w:sz w:val="24"/>
              </w:rPr>
              <w:t>现状</w:t>
            </w:r>
          </w:p>
          <w:p>
            <w:pPr>
              <w:pStyle w:val="11"/>
              <w:spacing w:line="360" w:lineRule="auto"/>
              <w:rPr>
                <w:rFonts w:hint="eastAsia" w:eastAsia="宋体"/>
                <w:b/>
                <w:bCs/>
                <w:color w:val="auto"/>
                <w:sz w:val="24"/>
                <w:lang w:eastAsia="zh-CN"/>
              </w:rPr>
            </w:pPr>
            <w:r>
              <w:rPr>
                <w:b/>
                <w:bCs/>
                <w:color w:val="auto"/>
                <w:sz w:val="24"/>
              </w:rPr>
              <w:t>（1）</w:t>
            </w:r>
            <w:r>
              <w:rPr>
                <w:rFonts w:hint="eastAsia"/>
                <w:b/>
                <w:bCs/>
                <w:color w:val="auto"/>
                <w:sz w:val="24"/>
                <w:lang w:eastAsia="zh-CN"/>
              </w:rPr>
              <w:t>水生态调查</w:t>
            </w:r>
          </w:p>
          <w:p>
            <w:pPr>
              <w:spacing w:line="360" w:lineRule="auto"/>
              <w:ind w:firstLine="480" w:firstLineChars="200"/>
              <w:rPr>
                <w:color w:val="auto"/>
                <w:sz w:val="24"/>
              </w:rPr>
            </w:pPr>
            <w:r>
              <w:rPr>
                <w:color w:val="auto"/>
                <w:sz w:val="24"/>
              </w:rPr>
              <w:t>经查阅相关资料后，可知区域内水生生物现状为：</w:t>
            </w:r>
          </w:p>
          <w:p>
            <w:pPr>
              <w:spacing w:line="360" w:lineRule="auto"/>
              <w:ind w:firstLine="480" w:firstLineChars="200"/>
              <w:rPr>
                <w:color w:val="FF0000"/>
                <w:sz w:val="24"/>
              </w:rPr>
            </w:pPr>
            <w:r>
              <w:rPr>
                <w:rFonts w:hint="eastAsia" w:ascii="宋体" w:hAnsi="宋体" w:cs="宋体"/>
                <w:color w:val="FF0000"/>
                <w:sz w:val="24"/>
              </w:rPr>
              <w:t>①</w:t>
            </w:r>
            <w:r>
              <w:rPr>
                <w:color w:val="FF0000"/>
                <w:sz w:val="24"/>
              </w:rPr>
              <w:t>浮游植物</w:t>
            </w:r>
          </w:p>
          <w:p>
            <w:pPr>
              <w:spacing w:line="360" w:lineRule="auto"/>
              <w:ind w:firstLine="480" w:firstLineChars="200"/>
              <w:rPr>
                <w:color w:val="FF0000"/>
                <w:sz w:val="24"/>
              </w:rPr>
            </w:pPr>
            <w:r>
              <w:rPr>
                <w:color w:val="FF0000"/>
                <w:sz w:val="24"/>
              </w:rPr>
              <w:t>浮游植物是水体中能进行光合作用的低等植物，能利用阳光和水体中的有机物进行光合作用，作为水生态系统中的初级生产者，浮游植物在水体物质循环和能量流动中起着十分重要的作用，也是许多水生动物的天然饵料，同时也是产生水体自净作用的基础。</w:t>
            </w:r>
          </w:p>
          <w:p>
            <w:pPr>
              <w:spacing w:line="360" w:lineRule="auto"/>
              <w:ind w:firstLine="480" w:firstLineChars="200"/>
              <w:rPr>
                <w:rFonts w:hint="default" w:ascii="Times New Roman" w:hAnsi="Times New Roman" w:eastAsia="宋体" w:cs="Times New Roman"/>
                <w:color w:val="FF0000"/>
                <w:sz w:val="24"/>
                <w:lang w:eastAsia="zh-CN"/>
              </w:rPr>
            </w:pPr>
            <w:r>
              <w:rPr>
                <w:rFonts w:hint="eastAsia" w:ascii="Times New Roman" w:hAnsi="Times New Roman" w:cs="Times New Roman"/>
                <w:color w:val="FF0000"/>
                <w:sz w:val="24"/>
                <w:lang w:eastAsia="zh-CN"/>
              </w:rPr>
              <w:t>项目区</w:t>
            </w:r>
            <w:r>
              <w:rPr>
                <w:rFonts w:hint="default" w:ascii="Times New Roman" w:hAnsi="Times New Roman" w:cs="Times New Roman"/>
                <w:color w:val="FF0000"/>
                <w:sz w:val="24"/>
              </w:rPr>
              <w:t>浮游植物4门33属，其中硅藻门13属、绿藻门15属、兰藻门3属、裸藻门2属。优势种有硅藻门曲壳藻属（Achnanthes），小环藻属（Cyclotella），绿藻门的小球藻属（Chlorella）</w:t>
            </w:r>
            <w:r>
              <w:rPr>
                <w:rFonts w:hint="default" w:ascii="Times New Roman" w:hAnsi="Times New Roman" w:cs="Times New Roman"/>
                <w:color w:val="FF0000"/>
                <w:sz w:val="24"/>
                <w:lang w:eastAsia="zh-CN"/>
              </w:rPr>
              <w:t>。</w:t>
            </w:r>
          </w:p>
          <w:p>
            <w:pPr>
              <w:spacing w:line="360" w:lineRule="auto"/>
              <w:ind w:firstLine="480" w:firstLineChars="200"/>
              <w:rPr>
                <w:color w:val="FF0000"/>
                <w:sz w:val="24"/>
              </w:rPr>
            </w:pPr>
            <w:r>
              <w:rPr>
                <w:color w:val="FF0000"/>
                <w:sz w:val="24"/>
              </w:rPr>
              <w:t>其中以硅藻门种类占优势，分布广泛。因为这些种类对生境要求不高，因而在物种竞争方面占优势，利于建群和生存，因此易于成为优势类群。水量波动和水温影响浮游植物的生长发育，从而导致河流浮游植物数量和生物量上的差异。</w:t>
            </w:r>
          </w:p>
          <w:p>
            <w:pPr>
              <w:spacing w:line="360" w:lineRule="auto"/>
              <w:ind w:firstLine="480" w:firstLineChars="200"/>
              <w:rPr>
                <w:color w:val="FF0000"/>
                <w:sz w:val="24"/>
              </w:rPr>
            </w:pPr>
            <w:r>
              <w:rPr>
                <w:rFonts w:hint="eastAsia" w:ascii="宋体" w:hAnsi="宋体" w:cs="宋体"/>
                <w:color w:val="FF0000"/>
                <w:sz w:val="24"/>
              </w:rPr>
              <w:t>②</w:t>
            </w:r>
            <w:r>
              <w:rPr>
                <w:color w:val="FF0000"/>
                <w:sz w:val="24"/>
              </w:rPr>
              <w:t>浮游动物</w:t>
            </w:r>
          </w:p>
          <w:p>
            <w:pPr>
              <w:spacing w:line="360" w:lineRule="auto"/>
              <w:ind w:firstLine="480" w:firstLineChars="200"/>
              <w:rPr>
                <w:rFonts w:hint="default" w:ascii="Times New Roman" w:hAnsi="Times New Roman" w:cs="Times New Roman"/>
                <w:color w:val="FF0000"/>
                <w:sz w:val="24"/>
              </w:rPr>
            </w:pPr>
            <w:r>
              <w:rPr>
                <w:rFonts w:hint="default" w:ascii="Times New Roman" w:hAnsi="Times New Roman" w:cs="Times New Roman"/>
                <w:color w:val="FF0000"/>
                <w:sz w:val="24"/>
              </w:rPr>
              <w:t>从浮游动物种类上看，物种组成比较简单，仅有原生动物和轮虫，未发现到枝角类和桡足类，</w:t>
            </w:r>
            <w:r>
              <w:rPr>
                <w:rFonts w:hint="eastAsia" w:ascii="Times New Roman" w:hAnsi="Times New Roman" w:cs="Times New Roman"/>
                <w:color w:val="FF0000"/>
                <w:sz w:val="24"/>
                <w:lang w:eastAsia="zh-CN"/>
              </w:rPr>
              <w:t>项目区</w:t>
            </w:r>
            <w:r>
              <w:rPr>
                <w:rFonts w:hint="default" w:ascii="Times New Roman" w:hAnsi="Times New Roman" w:cs="Times New Roman"/>
                <w:color w:val="FF0000"/>
                <w:sz w:val="24"/>
                <w:lang w:eastAsia="zh-CN"/>
              </w:rPr>
              <w:t>浮游动物4类11种，其中原生动物7种，轮虫类2种，枝角类1种，桡足类1种。优势种有原生动物的砂壳虫（Dittugia），轮虫类的晶囊轮虫(Asplanchna)</w:t>
            </w:r>
            <w:r>
              <w:rPr>
                <w:rFonts w:hint="default" w:ascii="Times New Roman" w:hAnsi="Times New Roman" w:cs="Times New Roman"/>
                <w:color w:val="FF0000"/>
                <w:sz w:val="24"/>
              </w:rPr>
              <w:t>。</w:t>
            </w:r>
          </w:p>
          <w:p>
            <w:pPr>
              <w:spacing w:line="360" w:lineRule="auto"/>
              <w:ind w:firstLine="480" w:firstLineChars="200"/>
              <w:rPr>
                <w:color w:val="FF0000"/>
                <w:sz w:val="24"/>
              </w:rPr>
            </w:pPr>
            <w:r>
              <w:rPr>
                <w:rFonts w:hint="eastAsia" w:ascii="宋体" w:hAnsi="宋体" w:cs="宋体"/>
                <w:color w:val="FF0000"/>
                <w:sz w:val="24"/>
              </w:rPr>
              <w:t>③</w:t>
            </w:r>
            <w:r>
              <w:rPr>
                <w:color w:val="FF0000"/>
                <w:sz w:val="24"/>
              </w:rPr>
              <w:t>底栖动物</w:t>
            </w:r>
          </w:p>
          <w:p>
            <w:pPr>
              <w:spacing w:line="360" w:lineRule="auto"/>
              <w:ind w:firstLine="480" w:firstLineChars="200"/>
              <w:rPr>
                <w:color w:val="0000FF"/>
                <w:sz w:val="24"/>
              </w:rPr>
            </w:pPr>
            <w:r>
              <w:rPr>
                <w:color w:val="FF0000"/>
                <w:sz w:val="24"/>
              </w:rPr>
              <w:t>大型底栖动物是水生态系统中分布最为广泛的物种之一，不仅是流水水体（河流）同样也是静水水体(湖泊和水库)以及河口生态系统的重要组成部分。大型底栖动物以着生藻类、悬浮有机物颗粒以及河岸带的凋落物为食物来源，并为处于水生态系统食物链最高级的鱼类提供食物。大型底栖动物的类群组成决定了河流中物质循环和能量流动的方式。</w:t>
            </w:r>
          </w:p>
          <w:p>
            <w:pPr>
              <w:spacing w:line="360" w:lineRule="auto"/>
              <w:ind w:firstLine="480" w:firstLineChars="200"/>
              <w:rPr>
                <w:color w:val="FF0000"/>
                <w:sz w:val="24"/>
              </w:rPr>
            </w:pPr>
            <w:r>
              <w:rPr>
                <w:rFonts w:hint="eastAsia"/>
                <w:color w:val="FF0000"/>
                <w:sz w:val="24"/>
                <w:lang w:eastAsia="zh-CN"/>
              </w:rPr>
              <w:t>项目区</w:t>
            </w:r>
            <w:r>
              <w:rPr>
                <w:rFonts w:hint="eastAsia"/>
                <w:color w:val="FF0000"/>
                <w:sz w:val="24"/>
              </w:rPr>
              <w:t>底栖动物9种，分属2门2目2纲2科9属（种）。其中节肢动物门摇蚊科幼虫6种；环节动物门水生寡毛类（Oligochaeta）3种。未发现陆生昆虫的蛹、端足类及其它种类。</w:t>
            </w:r>
            <w:r>
              <w:rPr>
                <w:color w:val="FF0000"/>
                <w:sz w:val="24"/>
              </w:rPr>
              <w:t>本项目涉及区域的底栖动物密度极低，水丝蚓相对多一些，这与水生寡毛类耐低氧、适应性强的生存能力有关。另外浮游植物和浮游动物密度和生物量都较小，底栖动物没有足够的食物来源。</w:t>
            </w:r>
          </w:p>
          <w:p>
            <w:pPr>
              <w:spacing w:line="360" w:lineRule="auto"/>
              <w:ind w:firstLine="480" w:firstLineChars="200"/>
              <w:rPr>
                <w:color w:val="FF0000"/>
                <w:sz w:val="24"/>
                <w:szCs w:val="24"/>
              </w:rPr>
            </w:pPr>
            <w:r>
              <w:rPr>
                <w:rFonts w:hint="eastAsia" w:ascii="宋体" w:hAnsi="宋体" w:cs="宋体"/>
                <w:color w:val="FF0000"/>
                <w:sz w:val="24"/>
                <w:szCs w:val="24"/>
              </w:rPr>
              <w:t>④</w:t>
            </w:r>
            <w:r>
              <w:rPr>
                <w:color w:val="FF0000"/>
                <w:sz w:val="24"/>
                <w:szCs w:val="24"/>
              </w:rPr>
              <w:t>鱼类</w:t>
            </w:r>
          </w:p>
          <w:p>
            <w:pPr>
              <w:spacing w:line="360" w:lineRule="auto"/>
              <w:ind w:firstLine="480" w:firstLineChars="200"/>
              <w:rPr>
                <w:rFonts w:hint="eastAsia" w:ascii="Times New Roman" w:hAnsi="Times New Roman" w:cs="Times New Roman"/>
                <w:color w:val="FF0000"/>
                <w:sz w:val="24"/>
                <w:lang w:eastAsia="zh-CN"/>
              </w:rPr>
            </w:pPr>
            <w:r>
              <w:rPr>
                <w:rFonts w:hint="eastAsia" w:ascii="Times New Roman" w:hAnsi="Times New Roman" w:cs="Times New Roman"/>
                <w:color w:val="FF0000"/>
                <w:sz w:val="24"/>
                <w:lang w:eastAsia="zh-CN"/>
              </w:rPr>
              <w:t>根据王丕贤对陇东地区的资料显示，陇东地区共有鱼类16种，隶属3目、5科。这16种鱼类中，以鲤科鱼类最多，达10种，占总数的62.5%；鲰科鱼类3种，占18.8%。其次鲑科、塘醴科、电虎科各1种，各占6.3%。可见陇东鱼类以鲤科为主体。主要为鲤鱼、鲫鱼、泥鳅、草鱼为主。</w:t>
            </w:r>
          </w:p>
          <w:p>
            <w:pPr>
              <w:pStyle w:val="10"/>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Calibri" w:hAnsi="Calibri" w:eastAsia="宋体" w:cs="Times New Roman"/>
                <w:color w:val="FF0000"/>
                <w:sz w:val="24"/>
                <w:lang w:eastAsia="zh-CN"/>
              </w:rPr>
            </w:pPr>
            <w:r>
              <w:rPr>
                <w:rFonts w:hint="eastAsia" w:ascii="Calibri" w:hAnsi="Calibri" w:eastAsia="宋体" w:cs="Times New Roman"/>
                <w:color w:val="FF0000"/>
                <w:sz w:val="24"/>
                <w:lang w:eastAsia="zh-CN"/>
              </w:rPr>
              <w:t>草鱼Ctenopharyngodon idellus体略呈圆筒形，头部稍平扁，尾部侧扁；口呈弧形，无须；上颌略长于下颌；体呈浅茶黄色，背部青灰，腹部灰白，胸、腹鳍略带灰黄，其他各鳍浅灰色。</w:t>
            </w:r>
          </w:p>
          <w:p>
            <w:pPr>
              <w:pStyle w:val="10"/>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Calibri" w:hAnsi="Calibri" w:eastAsia="宋体" w:cs="Times New Roman"/>
                <w:color w:val="FF0000"/>
                <w:sz w:val="24"/>
                <w:lang w:eastAsia="zh-CN"/>
              </w:rPr>
            </w:pPr>
            <w:r>
              <w:rPr>
                <w:rFonts w:hint="eastAsia" w:ascii="Calibri" w:hAnsi="Calibri" w:eastAsia="宋体" w:cs="Times New Roman"/>
                <w:color w:val="FF0000"/>
                <w:sz w:val="24"/>
                <w:lang w:eastAsia="zh-CN"/>
              </w:rPr>
              <w:t>草鱼是典型的草食性鱼类，栖息于平原地区的江河湖泊，一般喜居于水的中下层和近岸多水草区域。性活泼，游泳迅速，常成群觅食。草鱼幼鱼期则食幼虫，藻类等，草鱼也吃一些荤食，如蚯蚓，蜻蜓等。</w:t>
            </w:r>
          </w:p>
          <w:p>
            <w:pPr>
              <w:pStyle w:val="10"/>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Calibri" w:hAnsi="Calibri" w:eastAsia="宋体" w:cs="Times New Roman"/>
                <w:color w:val="FF0000"/>
                <w:sz w:val="24"/>
                <w:lang w:eastAsia="zh-CN"/>
              </w:rPr>
            </w:pPr>
            <w:r>
              <w:rPr>
                <w:rFonts w:hint="eastAsia" w:ascii="Calibri" w:hAnsi="Calibri" w:eastAsia="宋体" w:cs="Times New Roman"/>
                <w:color w:val="FF0000"/>
                <w:sz w:val="24"/>
                <w:lang w:eastAsia="zh-CN"/>
              </w:rPr>
              <w:t>鲫鱼Carassius auratus体长15~20cm。呈流线型(也叫梭型)，体高而侧扁，前半部弧形，背部轮廓隆起，尾柄宽；腹部圆形，无肉稜。头短小，吻钝。无须。鳞片大。侧线微弯。背鳍长，外缘较平直。鳃耙细长，呈针状，排列紧密，鳃耙数100-200。背鳍、臀鳍第3根硬刺较强，后缘有锯齿。胸鳍末端可达腹鳍起点。尾鳍深叉形体背银灰色而略带黄色光泽，腹部银白而略带黄色，各鳍灰白色。</w:t>
            </w:r>
          </w:p>
          <w:p>
            <w:pPr>
              <w:pStyle w:val="10"/>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Calibri" w:hAnsi="Calibri" w:eastAsia="宋体" w:cs="Times New Roman"/>
                <w:color w:val="FF0000"/>
                <w:sz w:val="24"/>
                <w:lang w:eastAsia="zh-CN"/>
              </w:rPr>
            </w:pPr>
            <w:r>
              <w:rPr>
                <w:rFonts w:hint="eastAsia" w:ascii="Calibri" w:hAnsi="Calibri" w:eastAsia="宋体" w:cs="Times New Roman"/>
                <w:color w:val="FF0000"/>
                <w:sz w:val="24"/>
                <w:lang w:eastAsia="zh-CN"/>
              </w:rPr>
              <w:t>鲤鱼Cyprinus carpio体形高而稍侧扁。吻钝圆。头中等大。口端位。上颌稍突出于下颌。须2对，口角须较发达。眼中大，侧上位。背鳍起点在腹鳍之前。臀鳍起点与背鳍4~6根分枝鳍条相对，末根不分枝鳍条为硬刺，其后缘有锯状齿。体色通常灰黑或黄褐，腹部浅灰或银灰，体侧金黄，杂食性。</w:t>
            </w:r>
          </w:p>
          <w:p>
            <w:pPr>
              <w:pStyle w:val="10"/>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Calibri" w:hAnsi="Calibri" w:eastAsia="宋体" w:cs="Times New Roman"/>
                <w:color w:val="FF0000"/>
                <w:sz w:val="24"/>
                <w:lang w:eastAsia="zh-CN"/>
              </w:rPr>
            </w:pPr>
            <w:r>
              <w:rPr>
                <w:rFonts w:hint="eastAsia" w:ascii="Calibri" w:hAnsi="Calibri" w:eastAsia="宋体" w:cs="Times New Roman"/>
                <w:color w:val="FF0000"/>
                <w:sz w:val="24"/>
                <w:lang w:eastAsia="zh-CN"/>
              </w:rPr>
              <w:t>泥鳅Triplophysa anguillicaudatus 体细长，前段略呈圆筒形。后部侧扁，腹部圆，头小。口小、下位，马蹄形。眼小，无眼下刺。须5对。鳞极其细小，圆形，埋于皮下。体背部及两侧灰黑色，全体有许多小的黑斑点，头部和各鳍上亦有许多黑色斑点，背鳍和尾鳍膜上的斑点排列成行，尾柄基部有一明显的黑斑。其他各鳍灰白色。</w:t>
            </w:r>
          </w:p>
          <w:p>
            <w:pPr>
              <w:pStyle w:val="10"/>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Calibri" w:hAnsi="Calibri" w:eastAsia="宋体" w:cs="Times New Roman"/>
                <w:color w:val="FF0000"/>
                <w:sz w:val="24"/>
                <w:lang w:eastAsia="zh-CN"/>
              </w:rPr>
            </w:pPr>
            <w:r>
              <w:rPr>
                <w:rFonts w:hint="eastAsia" w:ascii="Calibri" w:hAnsi="Calibri" w:eastAsia="宋体" w:cs="Times New Roman"/>
                <w:color w:val="FF0000"/>
                <w:sz w:val="24"/>
                <w:lang w:eastAsia="zh-CN"/>
              </w:rPr>
              <w:t>栖息于静水的底层，常出没于湖泊、池塘、沟渠和水田底部富有植物碎屑的淤泥表层，捕食浮游生物、水生昆虫、甲壳动物、水生高等植物碎屑以及藻类等，有时亦摄取水底腐植质或泥渣。</w:t>
            </w:r>
          </w:p>
          <w:p>
            <w:pPr>
              <w:spacing w:line="360" w:lineRule="auto"/>
              <w:contextualSpacing/>
              <w:jc w:val="left"/>
              <w:rPr>
                <w:rFonts w:hint="eastAsia" w:eastAsia="宋体"/>
                <w:b/>
                <w:bCs/>
                <w:color w:val="auto"/>
                <w:sz w:val="24"/>
                <w:lang w:eastAsia="zh-CN"/>
              </w:rPr>
            </w:pPr>
            <w:r>
              <w:rPr>
                <w:b/>
                <w:bCs/>
                <w:color w:val="auto"/>
                <w:sz w:val="24"/>
              </w:rPr>
              <w:t>（2）</w:t>
            </w:r>
            <w:r>
              <w:rPr>
                <w:rFonts w:hint="eastAsia"/>
                <w:b/>
                <w:bCs/>
                <w:color w:val="auto"/>
                <w:sz w:val="24"/>
                <w:lang w:eastAsia="zh-CN"/>
              </w:rPr>
              <w:t>陆域生态调查</w:t>
            </w:r>
          </w:p>
          <w:p>
            <w:pPr>
              <w:adjustRightInd w:val="0"/>
              <w:snapToGrid w:val="0"/>
              <w:spacing w:line="360" w:lineRule="auto"/>
              <w:ind w:firstLine="480" w:firstLineChars="200"/>
              <w:rPr>
                <w:rFonts w:hint="eastAsia" w:ascii="Times New Roman" w:hAnsi="宋体" w:eastAsia="宋体" w:cs="Times New Roman"/>
                <w:color w:val="auto"/>
                <w:sz w:val="24"/>
                <w:szCs w:val="24"/>
                <w:lang w:eastAsia="zh-CN"/>
              </w:rPr>
            </w:pPr>
            <w:r>
              <w:rPr>
                <w:rFonts w:hint="eastAsia" w:ascii="Times New Roman" w:hAnsi="宋体" w:eastAsia="宋体" w:cs="Times New Roman"/>
                <w:color w:val="auto"/>
                <w:sz w:val="24"/>
                <w:szCs w:val="24"/>
                <w:lang w:eastAsia="zh-CN"/>
              </w:rPr>
              <w:t>（</w:t>
            </w:r>
            <w:r>
              <w:rPr>
                <w:rFonts w:hint="eastAsia" w:ascii="Times New Roman" w:hAnsi="宋体" w:eastAsia="宋体" w:cs="Times New Roman"/>
                <w:color w:val="auto"/>
                <w:sz w:val="24"/>
                <w:szCs w:val="24"/>
                <w:lang w:val="en-US" w:eastAsia="zh-CN"/>
              </w:rPr>
              <w:t>1</w:t>
            </w:r>
            <w:r>
              <w:rPr>
                <w:rFonts w:hint="eastAsia" w:ascii="Times New Roman" w:hAnsi="宋体" w:eastAsia="宋体" w:cs="Times New Roman"/>
                <w:color w:val="auto"/>
                <w:sz w:val="24"/>
                <w:szCs w:val="24"/>
                <w:lang w:eastAsia="zh-CN"/>
              </w:rPr>
              <w:t>）土地利用现状</w:t>
            </w:r>
          </w:p>
          <w:p>
            <w:pPr>
              <w:adjustRightInd w:val="0"/>
              <w:snapToGrid w:val="0"/>
              <w:spacing w:line="360" w:lineRule="auto"/>
              <w:ind w:firstLine="480" w:firstLineChars="200"/>
              <w:rPr>
                <w:rFonts w:hint="eastAsia" w:ascii="Times New Roman" w:hAnsi="宋体" w:eastAsia="宋体" w:cs="Times New Roman"/>
                <w:color w:val="auto"/>
                <w:sz w:val="24"/>
                <w:szCs w:val="24"/>
                <w:lang w:val="en-US" w:eastAsia="zh-CN"/>
              </w:rPr>
            </w:pPr>
            <w:r>
              <w:rPr>
                <w:rFonts w:hint="eastAsia" w:ascii="Times New Roman" w:hAnsi="宋体" w:eastAsia="宋体" w:cs="Times New Roman"/>
                <w:color w:val="auto"/>
                <w:sz w:val="24"/>
                <w:szCs w:val="24"/>
                <w:lang w:val="en-US" w:eastAsia="zh-CN"/>
              </w:rPr>
              <w:t>根据调查，项目用地范围内土地利用现状主要为城市道路、河流水面和内陆滩涂。</w:t>
            </w:r>
          </w:p>
          <w:p>
            <w:pPr>
              <w:adjustRightInd w:val="0"/>
              <w:snapToGrid w:val="0"/>
              <w:spacing w:line="360" w:lineRule="auto"/>
              <w:ind w:firstLine="480" w:firstLineChars="200"/>
              <w:rPr>
                <w:rFonts w:hint="eastAsia" w:ascii="Times New Roman" w:hAnsi="宋体" w:eastAsia="宋体" w:cs="Times New Roman"/>
                <w:color w:val="auto"/>
                <w:sz w:val="24"/>
                <w:szCs w:val="24"/>
                <w:lang w:eastAsia="zh-CN"/>
              </w:rPr>
            </w:pPr>
            <w:r>
              <w:rPr>
                <w:rFonts w:hint="eastAsia" w:ascii="Times New Roman" w:hAnsi="宋体" w:eastAsia="宋体" w:cs="Times New Roman"/>
                <w:color w:val="auto"/>
                <w:sz w:val="24"/>
                <w:szCs w:val="24"/>
                <w:lang w:val="en-US" w:eastAsia="zh-CN"/>
              </w:rPr>
              <w:t>（2）植被调查</w:t>
            </w:r>
          </w:p>
          <w:p>
            <w:pPr>
              <w:adjustRightInd w:val="0"/>
              <w:snapToGrid w:val="0"/>
              <w:spacing w:line="360" w:lineRule="auto"/>
              <w:ind w:firstLine="480" w:firstLineChars="200"/>
              <w:rPr>
                <w:rFonts w:hint="eastAsia" w:ascii="Times New Roman" w:hAnsi="宋体" w:eastAsia="宋体" w:cs="Times New Roman"/>
                <w:color w:val="auto"/>
                <w:sz w:val="24"/>
                <w:szCs w:val="24"/>
                <w:lang w:eastAsia="zh-CN"/>
              </w:rPr>
            </w:pPr>
            <w:r>
              <w:rPr>
                <w:rFonts w:hint="eastAsia" w:ascii="Times New Roman" w:hAnsi="宋体" w:eastAsia="宋体" w:cs="Times New Roman"/>
                <w:color w:val="auto"/>
                <w:sz w:val="24"/>
                <w:szCs w:val="24"/>
                <w:lang w:eastAsia="zh-CN"/>
              </w:rPr>
              <w:t>经现场调查，项目区</w:t>
            </w:r>
            <w:r>
              <w:rPr>
                <w:rFonts w:hint="eastAsia" w:ascii="Times New Roman" w:hAnsi="宋体" w:eastAsia="宋体" w:cs="Times New Roman"/>
                <w:color w:val="auto"/>
                <w:sz w:val="24"/>
                <w:szCs w:val="24"/>
                <w:lang w:val="en-US" w:eastAsia="zh-CN"/>
              </w:rPr>
              <w:t>200m范围内主要为道路绿化带植被和杂草为主。未发现保护植被、古树等。</w:t>
            </w:r>
          </w:p>
          <w:p>
            <w:pPr>
              <w:adjustRightInd w:val="0"/>
              <w:snapToGrid w:val="0"/>
              <w:spacing w:line="360" w:lineRule="auto"/>
              <w:ind w:firstLine="480" w:firstLineChars="200"/>
              <w:rPr>
                <w:rFonts w:hint="eastAsia" w:ascii="Times New Roman" w:hAnsi="宋体" w:eastAsia="宋体" w:cs="Times New Roman"/>
                <w:color w:val="auto"/>
                <w:sz w:val="24"/>
                <w:szCs w:val="24"/>
                <w:lang w:val="en-US" w:eastAsia="zh-CN"/>
              </w:rPr>
            </w:pPr>
            <w:r>
              <w:rPr>
                <w:rFonts w:hint="eastAsia" w:ascii="Times New Roman" w:hAnsi="宋体" w:eastAsia="宋体" w:cs="Times New Roman"/>
                <w:color w:val="auto"/>
                <w:sz w:val="24"/>
                <w:szCs w:val="24"/>
                <w:lang w:val="en-US" w:eastAsia="zh-CN"/>
              </w:rPr>
              <w:t>（3）动物调查</w:t>
            </w:r>
          </w:p>
          <w:p>
            <w:pPr>
              <w:pStyle w:val="61"/>
              <w:rPr>
                <w:color w:val="auto"/>
                <w:szCs w:val="24"/>
              </w:rPr>
            </w:pPr>
            <w:r>
              <w:rPr>
                <w:rFonts w:cs="Times New Roman"/>
                <w:color w:val="auto"/>
              </w:rPr>
              <w:t>根据现场勘查，项目所在区域的动物组成比较简单，种类较少，多为常见种类，物种组成以小型兽类和鸟类为主。兽类主要有黄鼬、狗獾、蒙古兔、花鼠、达吾尔黄鼠、大仓鼠、小家鼠等；野生禽类主要有啄木鸟、杜鹃、麻雀等。</w:t>
            </w:r>
            <w:r>
              <w:rPr>
                <w:rFonts w:hint="eastAsia" w:cs="Times New Roman"/>
                <w:color w:val="auto"/>
                <w:lang w:eastAsia="zh-CN"/>
              </w:rPr>
              <w:t>未发现保护动物</w:t>
            </w:r>
            <w:r>
              <w:rPr>
                <w:bCs w:val="0"/>
                <w:color w:val="auto"/>
                <w:szCs w:val="24"/>
                <w:lang w:val="en-US"/>
              </w:rPr>
              <w:t>。</w:t>
            </w:r>
          </w:p>
          <w:p>
            <w:pPr>
              <w:widowControl/>
              <w:spacing w:line="360" w:lineRule="auto"/>
              <w:contextualSpacing/>
              <w:jc w:val="left"/>
              <w:outlineLvl w:val="1"/>
              <w:rPr>
                <w:b/>
                <w:color w:val="auto"/>
                <w:sz w:val="24"/>
              </w:rPr>
            </w:pPr>
            <w:r>
              <w:rPr>
                <w:b/>
                <w:color w:val="auto"/>
                <w:sz w:val="24"/>
              </w:rPr>
              <w:t>3、环境质量现状</w:t>
            </w:r>
          </w:p>
          <w:p>
            <w:pPr>
              <w:spacing w:line="360" w:lineRule="auto"/>
              <w:ind w:firstLine="480" w:firstLineChars="200"/>
              <w:rPr>
                <w:color w:val="auto"/>
                <w:sz w:val="24"/>
              </w:rPr>
            </w:pPr>
            <w:r>
              <w:rPr>
                <w:color w:val="auto"/>
                <w:sz w:val="24"/>
              </w:rPr>
              <w:t>（1）空气环境质量现状</w:t>
            </w:r>
          </w:p>
          <w:p>
            <w:pPr>
              <w:tabs>
                <w:tab w:val="left" w:pos="535"/>
              </w:tabs>
              <w:adjustRightInd w:val="0"/>
              <w:snapToGrid w:val="0"/>
              <w:spacing w:line="360" w:lineRule="auto"/>
              <w:ind w:firstLine="480" w:firstLineChars="200"/>
              <w:jc w:val="left"/>
              <w:rPr>
                <w:rFonts w:hint="default" w:ascii="Times New Roman" w:hAnsi="Times New Roman" w:cs="Times New Roman"/>
                <w:b/>
                <w:bCs/>
                <w:color w:val="auto"/>
                <w:kern w:val="0"/>
                <w:szCs w:val="21"/>
                <w:highlight w:val="none"/>
              </w:rPr>
            </w:pPr>
            <w:r>
              <w:rPr>
                <w:rFonts w:hint="default" w:ascii="Times New Roman" w:hAnsi="Times New Roman" w:cs="Times New Roman"/>
                <w:color w:val="auto"/>
                <w:kern w:val="0"/>
                <w:sz w:val="24"/>
                <w:highlight w:val="none"/>
              </w:rPr>
              <w:t>根据庆阳市生态环境局202</w:t>
            </w:r>
            <w:r>
              <w:rPr>
                <w:rFonts w:hint="default" w:ascii="Times New Roman" w:hAnsi="Times New Roman" w:cs="Times New Roman"/>
                <w:color w:val="auto"/>
                <w:kern w:val="0"/>
                <w:sz w:val="24"/>
                <w:highlight w:val="none"/>
                <w:lang w:val="en-US" w:eastAsia="zh-CN"/>
              </w:rPr>
              <w:t>2</w:t>
            </w:r>
            <w:r>
              <w:rPr>
                <w:rFonts w:hint="default" w:ascii="Times New Roman" w:hAnsi="Times New Roman" w:cs="Times New Roman"/>
                <w:color w:val="auto"/>
                <w:kern w:val="0"/>
                <w:sz w:val="24"/>
                <w:highlight w:val="none"/>
              </w:rPr>
              <w:t>年1月公布的庆阳市2021年1-12月份环境空气质量状况（http://sthj.zgqingyang.gov.cn/zwgk/zfxxgkml/kqzlyb2sthj）</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宁县202</w:t>
            </w:r>
            <w:r>
              <w:rPr>
                <w:rFonts w:hint="default" w:ascii="Times New Roman" w:hAnsi="Times New Roman" w:cs="Times New Roman"/>
                <w:color w:val="auto"/>
                <w:kern w:val="0"/>
                <w:sz w:val="24"/>
                <w:highlight w:val="none"/>
                <w:lang w:val="en-US" w:eastAsia="zh-CN"/>
              </w:rPr>
              <w:t>1</w:t>
            </w:r>
            <w:r>
              <w:rPr>
                <w:rFonts w:hint="default" w:ascii="Times New Roman" w:hAnsi="Times New Roman" w:cs="Times New Roman"/>
                <w:color w:val="auto"/>
                <w:kern w:val="0"/>
                <w:sz w:val="24"/>
                <w:highlight w:val="none"/>
              </w:rPr>
              <w:t>年全年SO</w:t>
            </w:r>
            <w:r>
              <w:rPr>
                <w:rFonts w:hint="default" w:ascii="Times New Roman" w:hAnsi="Times New Roman" w:cs="Times New Roman"/>
                <w:color w:val="auto"/>
                <w:kern w:val="0"/>
                <w:sz w:val="24"/>
                <w:highlight w:val="none"/>
                <w:vertAlign w:val="subscript"/>
              </w:rPr>
              <w:t>2</w:t>
            </w:r>
            <w:r>
              <w:rPr>
                <w:rFonts w:hint="default" w:ascii="Times New Roman" w:hAnsi="Times New Roman" w:cs="Times New Roman"/>
                <w:color w:val="auto"/>
                <w:kern w:val="0"/>
                <w:sz w:val="24"/>
                <w:highlight w:val="none"/>
              </w:rPr>
              <w:t>、NO</w:t>
            </w:r>
            <w:r>
              <w:rPr>
                <w:rFonts w:hint="default" w:ascii="Times New Roman" w:hAnsi="Times New Roman" w:cs="Times New Roman"/>
                <w:color w:val="auto"/>
                <w:kern w:val="0"/>
                <w:sz w:val="24"/>
                <w:highlight w:val="none"/>
                <w:vertAlign w:val="subscript"/>
              </w:rPr>
              <w:t>2</w:t>
            </w:r>
            <w:r>
              <w:rPr>
                <w:rFonts w:hint="default" w:ascii="Times New Roman" w:hAnsi="Times New Roman" w:cs="Times New Roman"/>
                <w:color w:val="auto"/>
                <w:kern w:val="0"/>
                <w:sz w:val="24"/>
                <w:highlight w:val="none"/>
              </w:rPr>
              <w:t>、PM</w:t>
            </w:r>
            <w:r>
              <w:rPr>
                <w:rFonts w:hint="default" w:ascii="Times New Roman" w:hAnsi="Times New Roman" w:cs="Times New Roman"/>
                <w:color w:val="auto"/>
                <w:kern w:val="0"/>
                <w:sz w:val="24"/>
                <w:highlight w:val="none"/>
                <w:vertAlign w:val="subscript"/>
              </w:rPr>
              <w:t>10</w:t>
            </w:r>
            <w:r>
              <w:rPr>
                <w:rFonts w:hint="default" w:ascii="Times New Roman" w:hAnsi="Times New Roman" w:cs="Times New Roman"/>
                <w:color w:val="auto"/>
                <w:kern w:val="0"/>
                <w:sz w:val="24"/>
                <w:highlight w:val="none"/>
              </w:rPr>
              <w:t>、PM</w:t>
            </w:r>
            <w:r>
              <w:rPr>
                <w:rFonts w:hint="default" w:ascii="Times New Roman" w:hAnsi="Times New Roman" w:cs="Times New Roman"/>
                <w:color w:val="auto"/>
                <w:kern w:val="0"/>
                <w:sz w:val="24"/>
                <w:highlight w:val="none"/>
                <w:vertAlign w:val="subscript"/>
              </w:rPr>
              <w:t>2.5</w:t>
            </w:r>
            <w:r>
              <w:rPr>
                <w:rFonts w:hint="default" w:ascii="Times New Roman" w:hAnsi="Times New Roman" w:cs="Times New Roman"/>
                <w:color w:val="auto"/>
                <w:kern w:val="0"/>
                <w:sz w:val="24"/>
                <w:highlight w:val="none"/>
              </w:rPr>
              <w:t>、CO和O</w:t>
            </w:r>
            <w:r>
              <w:rPr>
                <w:rFonts w:hint="default" w:ascii="Times New Roman" w:hAnsi="Times New Roman" w:cs="Times New Roman"/>
                <w:color w:val="auto"/>
                <w:kern w:val="0"/>
                <w:sz w:val="24"/>
                <w:highlight w:val="none"/>
                <w:vertAlign w:val="subscript"/>
              </w:rPr>
              <w:t>3</w:t>
            </w:r>
            <w:r>
              <w:rPr>
                <w:rFonts w:hint="default" w:ascii="Times New Roman" w:hAnsi="Times New Roman" w:cs="Times New Roman"/>
                <w:color w:val="auto"/>
                <w:kern w:val="0"/>
                <w:sz w:val="24"/>
                <w:highlight w:val="none"/>
              </w:rPr>
              <w:t>六项基本污染物监测数据统计结果见表3-</w:t>
            </w:r>
            <w:r>
              <w:rPr>
                <w:rFonts w:hint="default" w:ascii="Times New Roman" w:hAnsi="Times New Roman" w:cs="Times New Roman"/>
                <w:color w:val="auto"/>
                <w:kern w:val="0"/>
                <w:sz w:val="24"/>
                <w:highlight w:val="none"/>
                <w:lang w:val="en-US" w:eastAsia="zh-CN"/>
              </w:rPr>
              <w:t>1</w:t>
            </w:r>
            <w:r>
              <w:rPr>
                <w:rFonts w:hint="default" w:ascii="Times New Roman" w:hAnsi="Times New Roman" w:cs="Times New Roman"/>
                <w:color w:val="auto"/>
                <w:kern w:val="0"/>
                <w:sz w:val="24"/>
                <w:highlight w:val="none"/>
              </w:rPr>
              <w:t>。</w:t>
            </w:r>
          </w:p>
          <w:p>
            <w:pPr>
              <w:adjustRightInd w:val="0"/>
              <w:snapToGrid w:val="0"/>
              <w:spacing w:line="240" w:lineRule="auto"/>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表3-</w:t>
            </w:r>
            <w:r>
              <w:rPr>
                <w:rFonts w:hint="default" w:ascii="Times New Roman" w:hAnsi="Times New Roman" w:cs="Times New Roman"/>
                <w:b/>
                <w:bCs/>
                <w:color w:val="auto"/>
                <w:kern w:val="0"/>
                <w:sz w:val="21"/>
                <w:szCs w:val="21"/>
                <w:highlight w:val="none"/>
                <w:lang w:val="en-US" w:eastAsia="zh-CN"/>
              </w:rPr>
              <w:t>1</w:t>
            </w:r>
            <w:r>
              <w:rPr>
                <w:rFonts w:hint="default" w:ascii="Times New Roman" w:hAnsi="Times New Roman" w:cs="Times New Roman"/>
                <w:b/>
                <w:bCs/>
                <w:color w:val="auto"/>
                <w:kern w:val="0"/>
                <w:sz w:val="21"/>
                <w:szCs w:val="21"/>
                <w:highlight w:val="none"/>
              </w:rPr>
              <w:t>宁县区域空气质量达标性判定</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747"/>
              <w:gridCol w:w="1706"/>
              <w:gridCol w:w="1195"/>
              <w:gridCol w:w="1261"/>
              <w:gridCol w:w="966"/>
              <w:gridCol w:w="671"/>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区域</w:t>
                  </w:r>
                </w:p>
              </w:tc>
              <w:tc>
                <w:tcPr>
                  <w:tcW w:w="482"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污染物</w:t>
                  </w:r>
                </w:p>
              </w:tc>
              <w:tc>
                <w:tcPr>
                  <w:tcW w:w="1092"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年评价指标</w:t>
                  </w:r>
                </w:p>
              </w:tc>
              <w:tc>
                <w:tcPr>
                  <w:tcW w:w="734"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评价标准</w:t>
                  </w:r>
                </w:p>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（μg/m</w:t>
                  </w:r>
                  <w:r>
                    <w:rPr>
                      <w:rFonts w:hint="default" w:ascii="Times New Roman" w:hAnsi="Times New Roman" w:eastAsia="宋体" w:cs="Times New Roman"/>
                      <w:color w:val="auto"/>
                      <w:sz w:val="21"/>
                      <w:vertAlign w:val="superscript"/>
                      <w:lang w:val="en-US" w:eastAsia="zh-CN"/>
                    </w:rPr>
                    <w:t>3</w:t>
                  </w:r>
                  <w:r>
                    <w:rPr>
                      <w:rFonts w:hint="default" w:ascii="Times New Roman" w:hAnsi="Times New Roman" w:eastAsia="宋体" w:cs="Times New Roman"/>
                      <w:color w:val="auto"/>
                      <w:sz w:val="21"/>
                      <w:lang w:val="en-US" w:eastAsia="zh-CN"/>
                    </w:rPr>
                    <w:t>）</w:t>
                  </w:r>
                </w:p>
              </w:tc>
              <w:tc>
                <w:tcPr>
                  <w:tcW w:w="809"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现状浓度</w:t>
                  </w:r>
                </w:p>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（μg/m</w:t>
                  </w:r>
                  <w:r>
                    <w:rPr>
                      <w:rFonts w:hint="default" w:ascii="Times New Roman" w:hAnsi="Times New Roman" w:eastAsia="宋体" w:cs="Times New Roman"/>
                      <w:color w:val="auto"/>
                      <w:sz w:val="21"/>
                      <w:vertAlign w:val="superscript"/>
                      <w:lang w:val="en-US" w:eastAsia="zh-CN"/>
                    </w:rPr>
                    <w:t>3</w:t>
                  </w:r>
                  <w:r>
                    <w:rPr>
                      <w:rFonts w:hint="default" w:ascii="Times New Roman" w:hAnsi="Times New Roman" w:eastAsia="宋体" w:cs="Times New Roman"/>
                      <w:color w:val="auto"/>
                      <w:sz w:val="21"/>
                      <w:lang w:val="en-US" w:eastAsia="zh-CN"/>
                    </w:rPr>
                    <w:t>）</w:t>
                  </w:r>
                </w:p>
              </w:tc>
              <w:tc>
                <w:tcPr>
                  <w:tcW w:w="621"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占标率</w:t>
                  </w:r>
                </w:p>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w:t>
                  </w:r>
                </w:p>
              </w:tc>
              <w:tc>
                <w:tcPr>
                  <w:tcW w:w="433"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超标</w:t>
                  </w:r>
                </w:p>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倍数</w:t>
                  </w:r>
                </w:p>
              </w:tc>
              <w:tc>
                <w:tcPr>
                  <w:tcW w:w="558"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达标</w:t>
                  </w:r>
                </w:p>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Merge w:val="restar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宁县</w:t>
                  </w:r>
                </w:p>
              </w:tc>
              <w:tc>
                <w:tcPr>
                  <w:tcW w:w="482"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SO</w:t>
                  </w:r>
                  <w:r>
                    <w:rPr>
                      <w:rFonts w:hint="default" w:ascii="Times New Roman" w:hAnsi="Times New Roman" w:eastAsia="宋体" w:cs="Times New Roman"/>
                      <w:color w:val="auto"/>
                      <w:sz w:val="21"/>
                      <w:vertAlign w:val="subscript"/>
                      <w:lang w:val="en-US" w:eastAsia="zh-CN"/>
                    </w:rPr>
                    <w:t>2</w:t>
                  </w:r>
                </w:p>
              </w:tc>
              <w:tc>
                <w:tcPr>
                  <w:tcW w:w="1092"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年平均质量浓度</w:t>
                  </w:r>
                </w:p>
              </w:tc>
              <w:tc>
                <w:tcPr>
                  <w:tcW w:w="734"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60</w:t>
                  </w:r>
                </w:p>
              </w:tc>
              <w:tc>
                <w:tcPr>
                  <w:tcW w:w="809"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13</w:t>
                  </w:r>
                </w:p>
              </w:tc>
              <w:tc>
                <w:tcPr>
                  <w:tcW w:w="990"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 xml:space="preserve">21.67 </w:t>
                  </w:r>
                </w:p>
              </w:tc>
              <w:tc>
                <w:tcPr>
                  <w:tcW w:w="433"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0</w:t>
                  </w:r>
                </w:p>
              </w:tc>
              <w:tc>
                <w:tcPr>
                  <w:tcW w:w="558"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267" w:type="pct"/>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p>
              </w:tc>
              <w:tc>
                <w:tcPr>
                  <w:tcW w:w="482"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NO</w:t>
                  </w:r>
                  <w:r>
                    <w:rPr>
                      <w:rFonts w:hint="default" w:ascii="Times New Roman" w:hAnsi="Times New Roman" w:eastAsia="宋体" w:cs="Times New Roman"/>
                      <w:color w:val="auto"/>
                      <w:sz w:val="21"/>
                      <w:vertAlign w:val="subscript"/>
                      <w:lang w:val="en-US" w:eastAsia="zh-CN"/>
                    </w:rPr>
                    <w:t>2</w:t>
                  </w:r>
                </w:p>
              </w:tc>
              <w:tc>
                <w:tcPr>
                  <w:tcW w:w="1092"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年平均质量浓度</w:t>
                  </w:r>
                </w:p>
              </w:tc>
              <w:tc>
                <w:tcPr>
                  <w:tcW w:w="734"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40</w:t>
                  </w:r>
                </w:p>
              </w:tc>
              <w:tc>
                <w:tcPr>
                  <w:tcW w:w="809"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11</w:t>
                  </w:r>
                </w:p>
              </w:tc>
              <w:tc>
                <w:tcPr>
                  <w:tcW w:w="990"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 xml:space="preserve">27.50 </w:t>
                  </w:r>
                </w:p>
              </w:tc>
              <w:tc>
                <w:tcPr>
                  <w:tcW w:w="433"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0</w:t>
                  </w:r>
                </w:p>
              </w:tc>
              <w:tc>
                <w:tcPr>
                  <w:tcW w:w="558"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p>
              </w:tc>
              <w:tc>
                <w:tcPr>
                  <w:tcW w:w="482"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PM</w:t>
                  </w:r>
                  <w:r>
                    <w:rPr>
                      <w:rFonts w:hint="default" w:ascii="Times New Roman" w:hAnsi="Times New Roman" w:eastAsia="宋体" w:cs="Times New Roman"/>
                      <w:color w:val="auto"/>
                      <w:sz w:val="21"/>
                      <w:vertAlign w:val="subscript"/>
                      <w:lang w:val="en-US" w:eastAsia="zh-CN"/>
                    </w:rPr>
                    <w:t>10</w:t>
                  </w:r>
                </w:p>
              </w:tc>
              <w:tc>
                <w:tcPr>
                  <w:tcW w:w="1092"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年平均质量浓度</w:t>
                  </w:r>
                </w:p>
              </w:tc>
              <w:tc>
                <w:tcPr>
                  <w:tcW w:w="734"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70</w:t>
                  </w:r>
                </w:p>
              </w:tc>
              <w:tc>
                <w:tcPr>
                  <w:tcW w:w="809"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62</w:t>
                  </w:r>
                </w:p>
              </w:tc>
              <w:tc>
                <w:tcPr>
                  <w:tcW w:w="990"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 xml:space="preserve">88.57 </w:t>
                  </w:r>
                </w:p>
              </w:tc>
              <w:tc>
                <w:tcPr>
                  <w:tcW w:w="433"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0</w:t>
                  </w:r>
                </w:p>
              </w:tc>
              <w:tc>
                <w:tcPr>
                  <w:tcW w:w="558"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p>
              </w:tc>
              <w:tc>
                <w:tcPr>
                  <w:tcW w:w="482"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PM</w:t>
                  </w:r>
                  <w:r>
                    <w:rPr>
                      <w:rFonts w:hint="default" w:ascii="Times New Roman" w:hAnsi="Times New Roman" w:eastAsia="宋体" w:cs="Times New Roman"/>
                      <w:color w:val="auto"/>
                      <w:sz w:val="21"/>
                      <w:vertAlign w:val="subscript"/>
                      <w:lang w:val="en-US" w:eastAsia="zh-CN"/>
                    </w:rPr>
                    <w:t>2.5</w:t>
                  </w:r>
                </w:p>
              </w:tc>
              <w:tc>
                <w:tcPr>
                  <w:tcW w:w="1092"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年平均质量浓度</w:t>
                  </w:r>
                </w:p>
              </w:tc>
              <w:tc>
                <w:tcPr>
                  <w:tcW w:w="734"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35</w:t>
                  </w:r>
                </w:p>
              </w:tc>
              <w:tc>
                <w:tcPr>
                  <w:tcW w:w="809"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31</w:t>
                  </w:r>
                </w:p>
              </w:tc>
              <w:tc>
                <w:tcPr>
                  <w:tcW w:w="990"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 xml:space="preserve">88.57 </w:t>
                  </w:r>
                </w:p>
              </w:tc>
              <w:tc>
                <w:tcPr>
                  <w:tcW w:w="433"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0</w:t>
                  </w:r>
                </w:p>
              </w:tc>
              <w:tc>
                <w:tcPr>
                  <w:tcW w:w="558"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p>
              </w:tc>
              <w:tc>
                <w:tcPr>
                  <w:tcW w:w="482"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CO</w:t>
                  </w:r>
                </w:p>
              </w:tc>
              <w:tc>
                <w:tcPr>
                  <w:tcW w:w="1092"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第95百分位数24h平均浓度</w:t>
                  </w:r>
                </w:p>
              </w:tc>
              <w:tc>
                <w:tcPr>
                  <w:tcW w:w="734"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4（mg/m</w:t>
                  </w:r>
                  <w:r>
                    <w:rPr>
                      <w:rFonts w:hint="default" w:ascii="Times New Roman" w:hAnsi="Times New Roman" w:eastAsia="宋体" w:cs="Times New Roman"/>
                      <w:color w:val="auto"/>
                      <w:sz w:val="21"/>
                      <w:vertAlign w:val="superscript"/>
                      <w:lang w:val="en-US" w:eastAsia="zh-CN"/>
                    </w:rPr>
                    <w:t>3</w:t>
                  </w:r>
                  <w:r>
                    <w:rPr>
                      <w:rFonts w:hint="default" w:ascii="Times New Roman" w:hAnsi="Times New Roman" w:eastAsia="宋体" w:cs="Times New Roman"/>
                      <w:color w:val="auto"/>
                      <w:sz w:val="21"/>
                      <w:lang w:val="en-US" w:eastAsia="zh-CN"/>
                    </w:rPr>
                    <w:t>）</w:t>
                  </w:r>
                </w:p>
              </w:tc>
              <w:tc>
                <w:tcPr>
                  <w:tcW w:w="809"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0.7（mg/m</w:t>
                  </w:r>
                  <w:r>
                    <w:rPr>
                      <w:rFonts w:hint="default" w:ascii="Times New Roman" w:hAnsi="Times New Roman" w:eastAsia="宋体" w:cs="Times New Roman"/>
                      <w:color w:val="auto"/>
                      <w:sz w:val="21"/>
                      <w:vertAlign w:val="superscript"/>
                      <w:lang w:val="en-US" w:eastAsia="zh-CN"/>
                    </w:rPr>
                    <w:t>3</w:t>
                  </w:r>
                  <w:r>
                    <w:rPr>
                      <w:rFonts w:hint="default" w:ascii="Times New Roman" w:hAnsi="Times New Roman" w:eastAsia="宋体" w:cs="Times New Roman"/>
                      <w:color w:val="auto"/>
                      <w:sz w:val="21"/>
                      <w:lang w:val="en-US" w:eastAsia="zh-CN"/>
                    </w:rPr>
                    <w:t>）</w:t>
                  </w:r>
                </w:p>
              </w:tc>
              <w:tc>
                <w:tcPr>
                  <w:tcW w:w="990"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 xml:space="preserve">17.50 </w:t>
                  </w:r>
                </w:p>
              </w:tc>
              <w:tc>
                <w:tcPr>
                  <w:tcW w:w="433"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0</w:t>
                  </w:r>
                </w:p>
              </w:tc>
              <w:tc>
                <w:tcPr>
                  <w:tcW w:w="558"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p>
              </w:tc>
              <w:tc>
                <w:tcPr>
                  <w:tcW w:w="482"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O</w:t>
                  </w:r>
                  <w:r>
                    <w:rPr>
                      <w:rFonts w:hint="default" w:ascii="Times New Roman" w:hAnsi="Times New Roman" w:eastAsia="宋体" w:cs="Times New Roman"/>
                      <w:color w:val="auto"/>
                      <w:sz w:val="21"/>
                      <w:vertAlign w:val="subscript"/>
                      <w:lang w:val="en-US" w:eastAsia="zh-CN"/>
                    </w:rPr>
                    <w:t>3</w:t>
                  </w:r>
                </w:p>
              </w:tc>
              <w:tc>
                <w:tcPr>
                  <w:tcW w:w="1092"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第90百分位数8h平均浓度</w:t>
                  </w:r>
                </w:p>
              </w:tc>
              <w:tc>
                <w:tcPr>
                  <w:tcW w:w="734"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160</w:t>
                  </w:r>
                </w:p>
              </w:tc>
              <w:tc>
                <w:tcPr>
                  <w:tcW w:w="809"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93</w:t>
                  </w:r>
                </w:p>
              </w:tc>
              <w:tc>
                <w:tcPr>
                  <w:tcW w:w="990"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 xml:space="preserve">58.13 </w:t>
                  </w:r>
                </w:p>
              </w:tc>
              <w:tc>
                <w:tcPr>
                  <w:tcW w:w="433"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0</w:t>
                  </w:r>
                </w:p>
              </w:tc>
              <w:tc>
                <w:tcPr>
                  <w:tcW w:w="558"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达标</w:t>
                  </w:r>
                </w:p>
              </w:tc>
            </w:tr>
          </w:tbl>
          <w:p>
            <w:pPr>
              <w:pStyle w:val="62"/>
              <w:rPr>
                <w:color w:val="auto"/>
              </w:rPr>
            </w:pPr>
            <w:r>
              <w:rPr>
                <w:color w:val="auto"/>
                <w:sz w:val="24"/>
                <w:szCs w:val="24"/>
              </w:rPr>
              <w:t>综上所述，项目区域环境空气中SO</w:t>
            </w:r>
            <w:r>
              <w:rPr>
                <w:color w:val="auto"/>
                <w:sz w:val="24"/>
                <w:szCs w:val="24"/>
                <w:vertAlign w:val="subscript"/>
              </w:rPr>
              <w:t>2</w:t>
            </w:r>
            <w:r>
              <w:rPr>
                <w:color w:val="auto"/>
                <w:sz w:val="24"/>
                <w:szCs w:val="24"/>
              </w:rPr>
              <w:t>、NO</w:t>
            </w:r>
            <w:r>
              <w:rPr>
                <w:color w:val="auto"/>
                <w:sz w:val="24"/>
                <w:szCs w:val="24"/>
                <w:vertAlign w:val="subscript"/>
              </w:rPr>
              <w:t>2</w:t>
            </w:r>
            <w:r>
              <w:rPr>
                <w:color w:val="auto"/>
                <w:sz w:val="24"/>
                <w:szCs w:val="24"/>
              </w:rPr>
              <w:t>、PM</w:t>
            </w:r>
            <w:r>
              <w:rPr>
                <w:color w:val="auto"/>
                <w:sz w:val="24"/>
                <w:szCs w:val="24"/>
                <w:vertAlign w:val="subscript"/>
              </w:rPr>
              <w:t>10</w:t>
            </w:r>
            <w:r>
              <w:rPr>
                <w:color w:val="auto"/>
                <w:sz w:val="24"/>
                <w:szCs w:val="24"/>
              </w:rPr>
              <w:t>、PM</w:t>
            </w:r>
            <w:r>
              <w:rPr>
                <w:color w:val="auto"/>
                <w:sz w:val="24"/>
                <w:szCs w:val="24"/>
                <w:vertAlign w:val="subscript"/>
              </w:rPr>
              <w:t>2.5</w:t>
            </w:r>
            <w:r>
              <w:rPr>
                <w:color w:val="auto"/>
                <w:sz w:val="24"/>
                <w:szCs w:val="24"/>
              </w:rPr>
              <w:t>、CO第95百分位数、O</w:t>
            </w:r>
            <w:r>
              <w:rPr>
                <w:color w:val="auto"/>
                <w:sz w:val="24"/>
                <w:szCs w:val="24"/>
                <w:vertAlign w:val="subscript"/>
              </w:rPr>
              <w:t>3</w:t>
            </w:r>
            <w:r>
              <w:rPr>
                <w:color w:val="auto"/>
                <w:sz w:val="24"/>
                <w:szCs w:val="24"/>
              </w:rPr>
              <w:t>_8h第90百分位数日均值均未超过《环境空气质量标准》（GB3095-2012）中二级标准，项目所在区域环境空气质量为达标区</w:t>
            </w:r>
            <w:r>
              <w:rPr>
                <w:color w:val="auto"/>
              </w:rPr>
              <w:t>。</w:t>
            </w:r>
          </w:p>
          <w:p>
            <w:pPr>
              <w:pStyle w:val="62"/>
              <w:rPr>
                <w:color w:val="auto"/>
              </w:rPr>
            </w:pPr>
            <w:r>
              <w:rPr>
                <w:color w:val="auto"/>
              </w:rPr>
              <w:t>（2）地表水环境质量现状</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根据《甘肃省地表水功能区划（2012-2030）》，本项目所涉及地表水为</w:t>
            </w:r>
            <w:r>
              <w:rPr>
                <w:rFonts w:hint="eastAsia" w:ascii="Times New Roman" w:hAnsi="Times New Roman" w:eastAsia="宋体" w:cs="Times New Roman"/>
                <w:color w:val="auto"/>
                <w:sz w:val="24"/>
                <w:szCs w:val="24"/>
                <w:lang w:val="en-US" w:eastAsia="zh-CN"/>
              </w:rPr>
              <w:t>马莲河</w:t>
            </w:r>
            <w:r>
              <w:rPr>
                <w:rFonts w:ascii="Times New Roman" w:hAnsi="Times New Roman" w:eastAsia="宋体" w:cs="Times New Roman"/>
                <w:color w:val="auto"/>
                <w:sz w:val="24"/>
                <w:szCs w:val="24"/>
              </w:rPr>
              <w:t>，为</w:t>
            </w:r>
            <w:r>
              <w:rPr>
                <w:rFonts w:ascii="Times New Roman" w:hAnsi="Times New Roman" w:eastAsia="宋体" w:cs="Times New Roman"/>
                <w:color w:val="auto"/>
                <w:sz w:val="24"/>
                <w:szCs w:val="24"/>
              </w:rPr>
              <w:fldChar w:fldCharType="begin"/>
            </w:r>
            <w:r>
              <w:rPr>
                <w:rFonts w:ascii="Times New Roman" w:hAnsi="Times New Roman" w:eastAsia="宋体" w:cs="Times New Roman"/>
                <w:color w:val="auto"/>
                <w:sz w:val="24"/>
                <w:szCs w:val="24"/>
              </w:rPr>
              <w:instrText xml:space="preserve"> = 4 \* ROMAN \* MERGEFORMAT </w:instrText>
            </w:r>
            <w:r>
              <w:rPr>
                <w:rFonts w:ascii="Times New Roman" w:hAnsi="Times New Roman" w:eastAsia="宋体" w:cs="Times New Roman"/>
                <w:color w:val="auto"/>
                <w:sz w:val="24"/>
                <w:szCs w:val="24"/>
              </w:rPr>
              <w:fldChar w:fldCharType="separate"/>
            </w:r>
            <w:r>
              <w:rPr>
                <w:rFonts w:ascii="Times New Roman" w:hAnsi="Times New Roman" w:eastAsia="宋体" w:cs="Times New Roman"/>
                <w:color w:val="auto"/>
                <w:sz w:val="24"/>
                <w:szCs w:val="24"/>
              </w:rPr>
              <w:t>IV</w:t>
            </w:r>
            <w:r>
              <w:rPr>
                <w:rFonts w:ascii="Times New Roman" w:hAnsi="Times New Roman" w:eastAsia="宋体" w:cs="Times New Roman"/>
                <w:color w:val="auto"/>
                <w:sz w:val="24"/>
                <w:szCs w:val="24"/>
              </w:rPr>
              <w:fldChar w:fldCharType="end"/>
            </w:r>
            <w:r>
              <w:rPr>
                <w:rFonts w:ascii="Times New Roman" w:hAnsi="Times New Roman" w:eastAsia="宋体" w:cs="Times New Roman"/>
                <w:color w:val="auto"/>
                <w:sz w:val="24"/>
                <w:szCs w:val="24"/>
                <w:lang w:val="zh-CN"/>
              </w:rPr>
              <w:t>类水域功能区</w:t>
            </w:r>
            <w:r>
              <w:rPr>
                <w:rFonts w:ascii="Times New Roman" w:hAnsi="Times New Roman" w:eastAsia="宋体" w:cs="Times New Roman"/>
                <w:color w:val="auto"/>
                <w:sz w:val="24"/>
                <w:szCs w:val="24"/>
              </w:rPr>
              <w:t>。</w:t>
            </w:r>
          </w:p>
          <w:p>
            <w:pPr>
              <w:spacing w:line="360" w:lineRule="auto"/>
              <w:ind w:firstLine="480" w:firstLineChars="200"/>
              <w:rPr>
                <w:rFonts w:hint="default" w:ascii="Times New Roman" w:hAnsi="Times New Roman" w:eastAsia="宋体" w:cs="Times New Roman"/>
                <w:color w:val="auto"/>
                <w:sz w:val="24"/>
                <w:szCs w:val="24"/>
                <w:lang w:val="en-GB"/>
              </w:rPr>
            </w:pPr>
            <w:r>
              <w:rPr>
                <w:rFonts w:hint="default" w:ascii="Times New Roman" w:hAnsi="Times New Roman" w:eastAsia="宋体" w:cs="Times New Roman"/>
                <w:color w:val="auto"/>
                <w:sz w:val="24"/>
                <w:szCs w:val="24"/>
              </w:rPr>
              <w:t>本项目地表水质量现状引用</w:t>
            </w:r>
            <w:r>
              <w:rPr>
                <w:rFonts w:hint="eastAsia" w:ascii="Times New Roman" w:hAnsi="Times New Roman" w:eastAsia="宋体" w:cs="Times New Roman"/>
                <w:color w:val="auto"/>
                <w:sz w:val="24"/>
                <w:szCs w:val="24"/>
                <w:lang w:eastAsia="zh-CN"/>
              </w:rPr>
              <w:t>十四五国考断面（周家村）例行监测数据例行监测，</w:t>
            </w:r>
            <w:r>
              <w:rPr>
                <w:rFonts w:hint="default" w:ascii="Times New Roman" w:hAnsi="Times New Roman" w:eastAsia="宋体" w:cs="Times New Roman"/>
                <w:color w:val="auto"/>
                <w:sz w:val="24"/>
                <w:szCs w:val="24"/>
              </w:rPr>
              <w:t>位于项目</w:t>
            </w:r>
            <w:r>
              <w:rPr>
                <w:rFonts w:hint="eastAsia" w:ascii="Times New Roman" w:hAnsi="Times New Roman" w:eastAsia="宋体" w:cs="Times New Roman"/>
                <w:color w:val="auto"/>
                <w:sz w:val="24"/>
                <w:szCs w:val="24"/>
                <w:lang w:eastAsia="zh-CN"/>
              </w:rPr>
              <w:t>下游</w:t>
            </w:r>
            <w:r>
              <w:rPr>
                <w:rFonts w:hint="default" w:ascii="Times New Roman" w:hAnsi="Times New Roman" w:eastAsia="宋体" w:cs="Times New Roman"/>
                <w:color w:val="auto"/>
                <w:sz w:val="24"/>
                <w:szCs w:val="24"/>
              </w:rPr>
              <w:t>。</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（1）监测因子</w:t>
            </w:r>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color w:val="auto"/>
                <w:sz w:val="24"/>
              </w:rPr>
              <w:t>生化需氧量、氨氮、化学需氧量、总磷、总氮。</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（3）监测时间与频率</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2020年</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rPr>
              <w:t>月</w:t>
            </w:r>
            <w:r>
              <w:rPr>
                <w:rFonts w:hint="eastAsia" w:ascii="Times New Roman" w:hAnsi="Times New Roman" w:cs="Times New Roman"/>
                <w:color w:val="auto"/>
                <w:sz w:val="24"/>
                <w:lang w:val="en-US" w:eastAsia="zh-CN"/>
              </w:rPr>
              <w:t>-12月全年数据</w:t>
            </w:r>
            <w:r>
              <w:rPr>
                <w:rFonts w:hint="default" w:ascii="Times New Roman" w:hAnsi="Times New Roman" w:cs="Times New Roman"/>
                <w:color w:val="auto"/>
                <w:sz w:val="24"/>
              </w:rPr>
              <w: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 xml:space="preserve">（4）监测、分析方法 </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按国家环保局《水和废水监测分析方法》（第四版）进行。</w:t>
            </w:r>
          </w:p>
          <w:p>
            <w:pPr>
              <w:tabs>
                <w:tab w:val="left" w:pos="220"/>
                <w:tab w:val="left" w:pos="43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（5）监测结果</w:t>
            </w:r>
          </w:p>
          <w:p>
            <w:pPr>
              <w:tabs>
                <w:tab w:val="left" w:pos="220"/>
                <w:tab w:val="left" w:pos="43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监测结果见表3-</w:t>
            </w:r>
            <w:r>
              <w:rPr>
                <w:rFonts w:hint="eastAsia" w:cs="Times New Roman"/>
                <w:color w:val="auto"/>
                <w:sz w:val="24"/>
                <w:lang w:val="en-US" w:eastAsia="zh-CN"/>
              </w:rPr>
              <w:t>2</w:t>
            </w:r>
            <w:r>
              <w:rPr>
                <w:rFonts w:hint="default" w:ascii="Times New Roman" w:hAnsi="Times New Roman" w:cs="Times New Roman"/>
                <w:color w:val="auto"/>
                <w:sz w:val="24"/>
              </w:rPr>
              <w:t>。</w:t>
            </w:r>
          </w:p>
          <w:p>
            <w:pPr>
              <w:spacing w:line="240" w:lineRule="auto"/>
              <w:jc w:val="center"/>
              <w:outlineLvl w:val="4"/>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表3-</w:t>
            </w:r>
            <w:r>
              <w:rPr>
                <w:rFonts w:hint="eastAsia"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 xml:space="preserve">      地表水监测结果与分析一览表      单位：mg/L</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1"/>
              <w:gridCol w:w="1659"/>
              <w:gridCol w:w="1193"/>
              <w:gridCol w:w="897"/>
              <w:gridCol w:w="1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659"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监测时间</w:t>
                  </w:r>
                </w:p>
              </w:tc>
              <w:tc>
                <w:tcPr>
                  <w:tcW w:w="1058"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监测因子</w:t>
                  </w:r>
                </w:p>
              </w:tc>
              <w:tc>
                <w:tcPr>
                  <w:tcW w:w="761"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监测值</w:t>
                  </w:r>
                </w:p>
              </w:tc>
              <w:tc>
                <w:tcPr>
                  <w:tcW w:w="572"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标准</w:t>
                  </w:r>
                </w:p>
              </w:tc>
              <w:tc>
                <w:tcPr>
                  <w:tcW w:w="950"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659" w:type="pct"/>
                  <w:vMerge w:val="restar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2022年1-7月平均值</w:t>
                  </w:r>
                </w:p>
              </w:tc>
              <w:tc>
                <w:tcPr>
                  <w:tcW w:w="1058"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COD</w:t>
                  </w:r>
                  <w:r>
                    <w:rPr>
                      <w:rFonts w:hint="default" w:ascii="Times New Roman" w:hAnsi="Times New Roman" w:eastAsia="宋体" w:cs="Times New Roman"/>
                      <w:color w:val="auto"/>
                      <w:sz w:val="21"/>
                      <w:vertAlign w:val="subscript"/>
                      <w:lang w:val="en-US" w:eastAsia="zh-CN"/>
                    </w:rPr>
                    <w:t>Cr</w:t>
                  </w:r>
                </w:p>
              </w:tc>
              <w:tc>
                <w:tcPr>
                  <w:tcW w:w="761"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16.1</w:t>
                  </w:r>
                </w:p>
              </w:tc>
              <w:tc>
                <w:tcPr>
                  <w:tcW w:w="572"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≤20</w:t>
                  </w:r>
                </w:p>
              </w:tc>
              <w:tc>
                <w:tcPr>
                  <w:tcW w:w="950"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659" w:type="pct"/>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p>
              </w:tc>
              <w:tc>
                <w:tcPr>
                  <w:tcW w:w="1058"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氨氮</w:t>
                  </w:r>
                </w:p>
              </w:tc>
              <w:tc>
                <w:tcPr>
                  <w:tcW w:w="761"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0.36</w:t>
                  </w:r>
                </w:p>
              </w:tc>
              <w:tc>
                <w:tcPr>
                  <w:tcW w:w="572"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≤1.0</w:t>
                  </w:r>
                </w:p>
              </w:tc>
              <w:tc>
                <w:tcPr>
                  <w:tcW w:w="950"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659" w:type="pct"/>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p>
              </w:tc>
              <w:tc>
                <w:tcPr>
                  <w:tcW w:w="1058"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总磷</w:t>
                  </w:r>
                </w:p>
              </w:tc>
              <w:tc>
                <w:tcPr>
                  <w:tcW w:w="761"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0.079</w:t>
                  </w:r>
                </w:p>
              </w:tc>
              <w:tc>
                <w:tcPr>
                  <w:tcW w:w="572"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≤0.2</w:t>
                  </w:r>
                </w:p>
              </w:tc>
              <w:tc>
                <w:tcPr>
                  <w:tcW w:w="950"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659" w:type="pct"/>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p>
              </w:tc>
              <w:tc>
                <w:tcPr>
                  <w:tcW w:w="1058"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BOD</w:t>
                  </w:r>
                  <w:r>
                    <w:rPr>
                      <w:rFonts w:hint="default" w:ascii="Times New Roman" w:hAnsi="Times New Roman" w:eastAsia="宋体" w:cs="Times New Roman"/>
                      <w:color w:val="auto"/>
                      <w:sz w:val="21"/>
                      <w:vertAlign w:val="subscript"/>
                      <w:lang w:val="en-US" w:eastAsia="zh-CN"/>
                    </w:rPr>
                    <w:t>5</w:t>
                  </w:r>
                </w:p>
              </w:tc>
              <w:tc>
                <w:tcPr>
                  <w:tcW w:w="761"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2.7</w:t>
                  </w:r>
                </w:p>
              </w:tc>
              <w:tc>
                <w:tcPr>
                  <w:tcW w:w="572"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≤4</w:t>
                  </w:r>
                </w:p>
              </w:tc>
              <w:tc>
                <w:tcPr>
                  <w:tcW w:w="950"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659" w:type="pct"/>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p>
              </w:tc>
              <w:tc>
                <w:tcPr>
                  <w:tcW w:w="1058"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总氮</w:t>
                  </w:r>
                </w:p>
              </w:tc>
              <w:tc>
                <w:tcPr>
                  <w:tcW w:w="761"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4.88</w:t>
                  </w:r>
                </w:p>
              </w:tc>
              <w:tc>
                <w:tcPr>
                  <w:tcW w:w="572"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w:t>
                  </w:r>
                </w:p>
              </w:tc>
              <w:tc>
                <w:tcPr>
                  <w:tcW w:w="950"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w:t>
                  </w:r>
                </w:p>
              </w:tc>
            </w:tr>
          </w:tbl>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（6）评价结果</w:t>
            </w:r>
          </w:p>
          <w:p>
            <w:pPr>
              <w:pStyle w:val="62"/>
              <w:rPr>
                <w:color w:val="auto"/>
                <w:highlight w:val="none"/>
              </w:rPr>
            </w:pPr>
            <w:r>
              <w:rPr>
                <w:rFonts w:hint="default" w:ascii="Times New Roman" w:hAnsi="Times New Roman" w:eastAsia="宋体" w:cs="Times New Roman"/>
                <w:color w:val="auto"/>
                <w:sz w:val="24"/>
              </w:rPr>
              <w:t>由监测数据可知，地表水所监测的5项监测因子均达到《地表水环境质量标准》（GB3838-2002）中Ⅳ类标准限值，说明项目区地表水环境质量现状良好。</w:t>
            </w:r>
          </w:p>
          <w:p>
            <w:pPr>
              <w:wordWrap w:val="0"/>
              <w:spacing w:line="360" w:lineRule="auto"/>
              <w:ind w:firstLine="480" w:firstLineChars="200"/>
              <w:jc w:val="left"/>
              <w:rPr>
                <w:bCs/>
                <w:color w:val="auto"/>
                <w:sz w:val="24"/>
              </w:rPr>
            </w:pPr>
            <w:r>
              <w:rPr>
                <w:bCs/>
                <w:color w:val="auto"/>
                <w:sz w:val="24"/>
              </w:rPr>
              <w:t>（3）声环境质量现状</w:t>
            </w:r>
          </w:p>
          <w:p>
            <w:pPr>
              <w:spacing w:line="360" w:lineRule="auto"/>
              <w:ind w:firstLine="480" w:firstLineChars="200"/>
              <w:rPr>
                <w:bCs/>
                <w:color w:val="auto"/>
                <w:sz w:val="24"/>
              </w:rPr>
            </w:pPr>
            <w:r>
              <w:rPr>
                <w:rFonts w:hint="eastAsia"/>
                <w:bCs/>
                <w:color w:val="auto"/>
                <w:sz w:val="24"/>
              </w:rPr>
              <w:t>本次环评声环境现状监测委托甘肃清绿源环境检测有限公司进行监测。</w:t>
            </w:r>
          </w:p>
          <w:p>
            <w:pPr>
              <w:spacing w:line="360" w:lineRule="auto"/>
              <w:ind w:firstLine="480" w:firstLineChars="200"/>
              <w:rPr>
                <w:bCs/>
                <w:color w:val="auto"/>
                <w:sz w:val="24"/>
              </w:rPr>
            </w:pPr>
            <w:r>
              <w:rPr>
                <w:rFonts w:hint="eastAsia"/>
                <w:bCs/>
                <w:color w:val="auto"/>
                <w:sz w:val="24"/>
              </w:rPr>
              <w:t>（1）监测点的布设</w:t>
            </w:r>
          </w:p>
          <w:p>
            <w:pPr>
              <w:spacing w:line="360" w:lineRule="auto"/>
              <w:ind w:firstLine="480" w:firstLineChars="200"/>
              <w:rPr>
                <w:rFonts w:hint="eastAsia"/>
                <w:color w:val="auto"/>
                <w:sz w:val="24"/>
                <w:lang w:val="en-US" w:eastAsia="zh-CN"/>
              </w:rPr>
            </w:pPr>
            <w:r>
              <w:rPr>
                <w:color w:val="auto"/>
                <w:sz w:val="24"/>
              </w:rPr>
              <w:t>布设</w:t>
            </w:r>
            <w:r>
              <w:rPr>
                <w:rFonts w:hint="eastAsia"/>
                <w:color w:val="auto"/>
                <w:sz w:val="24"/>
                <w:lang w:val="en-US" w:eastAsia="zh-CN"/>
              </w:rPr>
              <w:t>10</w:t>
            </w:r>
            <w:r>
              <w:rPr>
                <w:color w:val="auto"/>
                <w:sz w:val="24"/>
              </w:rPr>
              <w:t>个监测点</w:t>
            </w:r>
            <w:r>
              <w:rPr>
                <w:rFonts w:hint="eastAsia"/>
                <w:color w:val="auto"/>
                <w:sz w:val="24"/>
                <w:lang w:val="en-US" w:eastAsia="zh-CN"/>
              </w:rPr>
              <w:t>，</w:t>
            </w:r>
            <w:r>
              <w:rPr>
                <w:rFonts w:ascii="Times New Roman" w:hAnsi="Times New Roman"/>
                <w:color w:val="auto"/>
                <w:sz w:val="24"/>
              </w:rPr>
              <w:t>垂直方向噪声监测，选取第一排</w:t>
            </w:r>
            <w:r>
              <w:rPr>
                <w:rFonts w:hint="eastAsia" w:ascii="Times New Roman" w:hAnsi="Times New Roman"/>
                <w:color w:val="auto"/>
                <w:sz w:val="24"/>
              </w:rPr>
              <w:t>3</w:t>
            </w:r>
            <w:r>
              <w:rPr>
                <w:rFonts w:ascii="Times New Roman" w:hAnsi="Times New Roman"/>
                <w:color w:val="auto"/>
                <w:sz w:val="24"/>
              </w:rPr>
              <w:t>层</w:t>
            </w:r>
            <w:r>
              <w:rPr>
                <w:rFonts w:hint="eastAsia" w:ascii="Times New Roman" w:hAnsi="Times New Roman"/>
                <w:color w:val="auto"/>
                <w:sz w:val="24"/>
              </w:rPr>
              <w:t>（含3层）以上</w:t>
            </w:r>
            <w:r>
              <w:rPr>
                <w:rFonts w:ascii="Times New Roman" w:hAnsi="Times New Roman"/>
                <w:color w:val="auto"/>
                <w:sz w:val="24"/>
              </w:rPr>
              <w:t>建筑物，</w:t>
            </w:r>
            <w:r>
              <w:rPr>
                <w:rFonts w:hint="eastAsia" w:ascii="Times New Roman" w:hAnsi="Times New Roman"/>
                <w:color w:val="auto"/>
                <w:sz w:val="24"/>
              </w:rPr>
              <w:t>1、</w:t>
            </w:r>
            <w:r>
              <w:rPr>
                <w:rFonts w:hint="eastAsia" w:ascii="Times New Roman" w:hAnsi="Times New Roman"/>
                <w:color w:val="auto"/>
                <w:sz w:val="24"/>
                <w:lang w:val="en-US" w:eastAsia="zh-CN"/>
              </w:rPr>
              <w:t>3</w:t>
            </w:r>
            <w:r>
              <w:rPr>
                <w:rFonts w:hint="eastAsia" w:ascii="Times New Roman" w:hAnsi="Times New Roman"/>
                <w:color w:val="auto"/>
                <w:sz w:val="24"/>
              </w:rPr>
              <w:t>、</w:t>
            </w:r>
            <w:r>
              <w:rPr>
                <w:rFonts w:hint="eastAsia" w:ascii="Times New Roman" w:hAnsi="Times New Roman"/>
                <w:color w:val="auto"/>
                <w:sz w:val="24"/>
                <w:lang w:val="en-US" w:eastAsia="zh-CN"/>
              </w:rPr>
              <w:t>5</w:t>
            </w:r>
            <w:r>
              <w:rPr>
                <w:rFonts w:hint="eastAsia" w:ascii="Times New Roman" w:hAnsi="Times New Roman"/>
                <w:color w:val="auto"/>
                <w:sz w:val="24"/>
              </w:rPr>
              <w:t>、</w:t>
            </w:r>
            <w:r>
              <w:rPr>
                <w:rFonts w:hint="eastAsia" w:ascii="Times New Roman" w:hAnsi="Times New Roman"/>
                <w:color w:val="auto"/>
                <w:sz w:val="24"/>
                <w:lang w:val="en-US" w:eastAsia="zh-CN"/>
              </w:rPr>
              <w:t>7</w:t>
            </w:r>
            <w:r>
              <w:rPr>
                <w:rFonts w:hint="eastAsia" w:ascii="Times New Roman" w:hAnsi="Times New Roman"/>
                <w:color w:val="auto"/>
                <w:sz w:val="24"/>
              </w:rPr>
              <w:t>、</w:t>
            </w:r>
            <w:r>
              <w:rPr>
                <w:rFonts w:hint="eastAsia" w:ascii="Times New Roman" w:hAnsi="Times New Roman"/>
                <w:color w:val="auto"/>
                <w:sz w:val="24"/>
                <w:lang w:val="en-US" w:eastAsia="zh-CN"/>
              </w:rPr>
              <w:t>9</w:t>
            </w:r>
            <w:r>
              <w:rPr>
                <w:rFonts w:hint="eastAsia" w:ascii="Times New Roman" w:hAnsi="Times New Roman"/>
                <w:color w:val="auto"/>
                <w:sz w:val="24"/>
              </w:rPr>
              <w:t>、1</w:t>
            </w:r>
            <w:r>
              <w:rPr>
                <w:rFonts w:hint="eastAsia" w:ascii="Times New Roman" w:hAnsi="Times New Roman"/>
                <w:color w:val="auto"/>
                <w:sz w:val="24"/>
                <w:lang w:val="en-US" w:eastAsia="zh-CN"/>
              </w:rPr>
              <w:t>1、13、15、17、19</w:t>
            </w:r>
            <w:r>
              <w:rPr>
                <w:rFonts w:hint="eastAsia" w:ascii="Times New Roman" w:hAnsi="Times New Roman"/>
                <w:color w:val="auto"/>
                <w:sz w:val="24"/>
              </w:rPr>
              <w:t>层，</w:t>
            </w:r>
            <w:r>
              <w:rPr>
                <w:rFonts w:ascii="Times New Roman" w:hAnsi="Times New Roman"/>
                <w:color w:val="auto"/>
                <w:sz w:val="24"/>
              </w:rPr>
              <w:t>每层楼外（垂直间隔3m，层监测，进行一次10分钟噪声监测。</w:t>
            </w:r>
          </w:p>
          <w:p>
            <w:pPr>
              <w:spacing w:line="360" w:lineRule="auto"/>
              <w:ind w:firstLine="480" w:firstLineChars="200"/>
              <w:rPr>
                <w:bCs/>
                <w:color w:val="auto"/>
                <w:sz w:val="24"/>
              </w:rPr>
            </w:pPr>
            <w:r>
              <w:rPr>
                <w:rFonts w:hint="eastAsia"/>
                <w:bCs/>
                <w:color w:val="auto"/>
                <w:sz w:val="24"/>
              </w:rPr>
              <w:t>（2）监测时间</w:t>
            </w:r>
          </w:p>
          <w:p>
            <w:pPr>
              <w:spacing w:line="360" w:lineRule="auto"/>
              <w:ind w:firstLine="480" w:firstLineChars="200"/>
              <w:rPr>
                <w:bCs/>
                <w:color w:val="auto"/>
                <w:sz w:val="24"/>
              </w:rPr>
            </w:pPr>
            <w:r>
              <w:rPr>
                <w:rFonts w:hint="eastAsia"/>
                <w:bCs/>
                <w:color w:val="auto"/>
                <w:sz w:val="24"/>
              </w:rPr>
              <w:t>202</w:t>
            </w:r>
            <w:r>
              <w:rPr>
                <w:rFonts w:hint="eastAsia"/>
                <w:bCs/>
                <w:color w:val="auto"/>
                <w:sz w:val="24"/>
                <w:lang w:val="en-US" w:eastAsia="zh-CN"/>
              </w:rPr>
              <w:t>2</w:t>
            </w:r>
            <w:r>
              <w:rPr>
                <w:rFonts w:hint="eastAsia"/>
                <w:bCs/>
                <w:color w:val="auto"/>
                <w:sz w:val="24"/>
              </w:rPr>
              <w:t>年</w:t>
            </w:r>
            <w:r>
              <w:rPr>
                <w:rFonts w:hint="eastAsia"/>
                <w:bCs/>
                <w:color w:val="auto"/>
                <w:sz w:val="24"/>
                <w:lang w:val="en-US" w:eastAsia="zh-CN"/>
              </w:rPr>
              <w:t>4</w:t>
            </w:r>
            <w:r>
              <w:rPr>
                <w:rFonts w:hint="eastAsia"/>
                <w:bCs/>
                <w:color w:val="auto"/>
                <w:sz w:val="24"/>
              </w:rPr>
              <w:t>月20日~</w:t>
            </w:r>
            <w:r>
              <w:rPr>
                <w:rFonts w:hint="eastAsia"/>
                <w:bCs/>
                <w:color w:val="auto"/>
                <w:sz w:val="24"/>
                <w:lang w:val="en-US" w:eastAsia="zh-CN"/>
              </w:rPr>
              <w:t>4</w:t>
            </w:r>
            <w:r>
              <w:rPr>
                <w:rFonts w:hint="eastAsia"/>
                <w:bCs/>
                <w:color w:val="auto"/>
                <w:sz w:val="24"/>
              </w:rPr>
              <w:t>月21日</w:t>
            </w:r>
          </w:p>
          <w:p>
            <w:pPr>
              <w:spacing w:line="360" w:lineRule="auto"/>
              <w:ind w:firstLine="480" w:firstLineChars="200"/>
              <w:rPr>
                <w:bCs/>
                <w:color w:val="auto"/>
                <w:sz w:val="24"/>
              </w:rPr>
            </w:pPr>
            <w:r>
              <w:rPr>
                <w:rFonts w:hint="eastAsia"/>
                <w:bCs/>
                <w:color w:val="auto"/>
                <w:sz w:val="24"/>
              </w:rPr>
              <w:t>（3）监测项目</w:t>
            </w:r>
          </w:p>
          <w:p>
            <w:pPr>
              <w:spacing w:line="360" w:lineRule="auto"/>
              <w:ind w:firstLine="480" w:firstLineChars="200"/>
              <w:rPr>
                <w:bCs/>
                <w:color w:val="auto"/>
                <w:sz w:val="24"/>
              </w:rPr>
            </w:pPr>
            <w:r>
              <w:rPr>
                <w:rFonts w:hint="eastAsia"/>
                <w:bCs/>
                <w:color w:val="auto"/>
                <w:sz w:val="24"/>
              </w:rPr>
              <w:t>等效连续A声级。</w:t>
            </w:r>
          </w:p>
          <w:p>
            <w:pPr>
              <w:spacing w:line="360" w:lineRule="auto"/>
              <w:ind w:firstLine="480" w:firstLineChars="200"/>
              <w:rPr>
                <w:bCs/>
                <w:color w:val="auto"/>
                <w:sz w:val="24"/>
              </w:rPr>
            </w:pPr>
            <w:r>
              <w:rPr>
                <w:rFonts w:hint="eastAsia"/>
                <w:bCs/>
                <w:color w:val="auto"/>
                <w:sz w:val="24"/>
              </w:rPr>
              <w:t>（4）监测方法与频次</w:t>
            </w:r>
          </w:p>
          <w:p>
            <w:pPr>
              <w:spacing w:line="360" w:lineRule="auto"/>
              <w:ind w:firstLine="480" w:firstLineChars="200"/>
              <w:rPr>
                <w:bCs/>
                <w:color w:val="auto"/>
                <w:sz w:val="24"/>
              </w:rPr>
            </w:pPr>
            <w:r>
              <w:rPr>
                <w:rFonts w:hint="eastAsia"/>
                <w:bCs/>
                <w:color w:val="auto"/>
                <w:sz w:val="24"/>
              </w:rPr>
              <w:t>执行《声环境质量标准》（GB/T3096-2008）。连续监测2天，昼夜各一次。</w:t>
            </w:r>
          </w:p>
          <w:p>
            <w:pPr>
              <w:spacing w:line="360" w:lineRule="auto"/>
              <w:ind w:firstLine="480" w:firstLineChars="200"/>
              <w:rPr>
                <w:bCs/>
                <w:color w:val="auto"/>
                <w:sz w:val="24"/>
              </w:rPr>
            </w:pPr>
            <w:r>
              <w:rPr>
                <w:rFonts w:hint="eastAsia"/>
                <w:bCs/>
                <w:color w:val="auto"/>
                <w:sz w:val="24"/>
              </w:rPr>
              <w:t>（5）监测结果及现状评价</w:t>
            </w:r>
          </w:p>
          <w:p>
            <w:pPr>
              <w:spacing w:line="360" w:lineRule="auto"/>
              <w:ind w:firstLine="480" w:firstLineChars="200"/>
              <w:rPr>
                <w:bCs/>
                <w:color w:val="auto"/>
                <w:sz w:val="24"/>
              </w:rPr>
            </w:pPr>
            <w:r>
              <w:rPr>
                <w:rFonts w:hint="eastAsia"/>
                <w:bCs/>
                <w:color w:val="auto"/>
                <w:sz w:val="24"/>
              </w:rPr>
              <w:t>监测结果见表3-</w:t>
            </w:r>
            <w:r>
              <w:rPr>
                <w:rFonts w:hint="eastAsia"/>
                <w:bCs/>
                <w:color w:val="auto"/>
                <w:sz w:val="24"/>
                <w:lang w:val="en-US" w:eastAsia="zh-CN"/>
              </w:rPr>
              <w:t>3</w:t>
            </w:r>
            <w:r>
              <w:rPr>
                <w:rFonts w:hint="eastAsia"/>
                <w:bCs/>
                <w:color w:val="auto"/>
                <w:sz w:val="24"/>
              </w:rPr>
              <w:t>。</w:t>
            </w:r>
          </w:p>
          <w:p>
            <w:pPr>
              <w:spacing w:line="240" w:lineRule="auto"/>
              <w:jc w:val="center"/>
              <w:rPr>
                <w:b/>
                <w:color w:val="auto"/>
                <w:szCs w:val="21"/>
              </w:rPr>
            </w:pPr>
            <w:r>
              <w:rPr>
                <w:rFonts w:hint="eastAsia"/>
                <w:b/>
                <w:color w:val="auto"/>
                <w:szCs w:val="21"/>
              </w:rPr>
              <w:t>表3-</w:t>
            </w:r>
            <w:r>
              <w:rPr>
                <w:rFonts w:hint="eastAsia"/>
                <w:b/>
                <w:color w:val="auto"/>
                <w:szCs w:val="21"/>
                <w:lang w:val="en-US" w:eastAsia="zh-CN"/>
              </w:rPr>
              <w:t>3</w:t>
            </w:r>
            <w:r>
              <w:rPr>
                <w:rFonts w:hint="eastAsia"/>
                <w:b/>
                <w:color w:val="auto"/>
                <w:szCs w:val="21"/>
              </w:rPr>
              <w:t xml:space="preserve">   监测结果一览表  单位：dB（A）</w:t>
            </w:r>
          </w:p>
          <w:tbl>
            <w:tblPr>
              <w:tblStyle w:val="26"/>
              <w:tblW w:w="4999" w:type="pct"/>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3"/>
              <w:gridCol w:w="1577"/>
              <w:gridCol w:w="1582"/>
              <w:gridCol w:w="1577"/>
              <w:gridCol w:w="158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pct"/>
                  <w:vMerge w:val="restart"/>
                  <w:vAlign w:val="center"/>
                </w:tcPr>
                <w:p>
                  <w:pPr>
                    <w:spacing w:line="240" w:lineRule="auto"/>
                    <w:jc w:val="center"/>
                    <w:rPr>
                      <w:color w:val="auto"/>
                      <w:szCs w:val="21"/>
                    </w:rPr>
                  </w:pPr>
                  <w:r>
                    <w:rPr>
                      <w:color w:val="auto"/>
                      <w:szCs w:val="21"/>
                    </w:rPr>
                    <w:t>编号</w:t>
                  </w:r>
                </w:p>
              </w:tc>
              <w:tc>
                <w:tcPr>
                  <w:tcW w:w="4034" w:type="pct"/>
                  <w:gridSpan w:val="4"/>
                  <w:vAlign w:val="center"/>
                </w:tcPr>
                <w:p>
                  <w:pPr>
                    <w:spacing w:line="240" w:lineRule="auto"/>
                    <w:jc w:val="center"/>
                    <w:rPr>
                      <w:color w:val="auto"/>
                      <w:szCs w:val="21"/>
                    </w:rPr>
                  </w:pPr>
                  <w:r>
                    <w:rPr>
                      <w:color w:val="auto"/>
                      <w:szCs w:val="21"/>
                    </w:rPr>
                    <w:t>监测结果</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pct"/>
                  <w:vMerge w:val="continue"/>
                  <w:vAlign w:val="center"/>
                </w:tcPr>
                <w:p>
                  <w:pPr>
                    <w:jc w:val="center"/>
                    <w:rPr>
                      <w:color w:val="auto"/>
                      <w:szCs w:val="21"/>
                    </w:rPr>
                  </w:pPr>
                </w:p>
              </w:tc>
              <w:tc>
                <w:tcPr>
                  <w:tcW w:w="2015" w:type="pct"/>
                  <w:gridSpan w:val="2"/>
                  <w:vAlign w:val="center"/>
                </w:tcPr>
                <w:p>
                  <w:pPr>
                    <w:jc w:val="center"/>
                    <w:rPr>
                      <w:color w:val="auto"/>
                      <w:szCs w:val="21"/>
                    </w:rPr>
                  </w:pPr>
                  <w:r>
                    <w:rPr>
                      <w:rFonts w:hint="eastAsia"/>
                      <w:color w:val="auto"/>
                      <w:szCs w:val="21"/>
                    </w:rPr>
                    <w:t>202</w:t>
                  </w:r>
                  <w:r>
                    <w:rPr>
                      <w:rFonts w:hint="eastAsia"/>
                      <w:color w:val="auto"/>
                      <w:szCs w:val="21"/>
                      <w:lang w:val="en-US" w:eastAsia="zh-CN"/>
                    </w:rPr>
                    <w:t>2</w:t>
                  </w:r>
                  <w:r>
                    <w:rPr>
                      <w:rFonts w:hint="eastAsia"/>
                      <w:color w:val="auto"/>
                      <w:szCs w:val="21"/>
                    </w:rPr>
                    <w:t>年</w:t>
                  </w:r>
                  <w:r>
                    <w:rPr>
                      <w:rFonts w:hint="eastAsia"/>
                      <w:color w:val="auto"/>
                      <w:szCs w:val="21"/>
                      <w:lang w:val="en-US" w:eastAsia="zh-CN"/>
                    </w:rPr>
                    <w:t>8</w:t>
                  </w:r>
                  <w:r>
                    <w:rPr>
                      <w:rFonts w:hint="eastAsia"/>
                      <w:color w:val="auto"/>
                      <w:szCs w:val="21"/>
                    </w:rPr>
                    <w:t>月</w:t>
                  </w:r>
                  <w:r>
                    <w:rPr>
                      <w:rFonts w:hint="eastAsia"/>
                      <w:color w:val="auto"/>
                      <w:szCs w:val="21"/>
                      <w:lang w:val="en-US" w:eastAsia="zh-CN"/>
                    </w:rPr>
                    <w:t>19</w:t>
                  </w:r>
                  <w:r>
                    <w:rPr>
                      <w:rFonts w:hint="eastAsia"/>
                      <w:color w:val="auto"/>
                      <w:szCs w:val="21"/>
                    </w:rPr>
                    <w:t>日</w:t>
                  </w:r>
                </w:p>
              </w:tc>
              <w:tc>
                <w:tcPr>
                  <w:tcW w:w="2018" w:type="pct"/>
                  <w:gridSpan w:val="2"/>
                  <w:vAlign w:val="center"/>
                </w:tcPr>
                <w:p>
                  <w:pPr>
                    <w:jc w:val="center"/>
                    <w:rPr>
                      <w:color w:val="auto"/>
                      <w:szCs w:val="21"/>
                    </w:rPr>
                  </w:pPr>
                  <w:r>
                    <w:rPr>
                      <w:rFonts w:hint="eastAsia"/>
                      <w:color w:val="auto"/>
                      <w:szCs w:val="21"/>
                    </w:rPr>
                    <w:t>202</w:t>
                  </w:r>
                  <w:r>
                    <w:rPr>
                      <w:rFonts w:hint="eastAsia"/>
                      <w:color w:val="auto"/>
                      <w:szCs w:val="21"/>
                      <w:lang w:val="en-US" w:eastAsia="zh-CN"/>
                    </w:rPr>
                    <w:t>2</w:t>
                  </w:r>
                  <w:r>
                    <w:rPr>
                      <w:rFonts w:hint="eastAsia"/>
                      <w:color w:val="auto"/>
                      <w:szCs w:val="21"/>
                    </w:rPr>
                    <w:t>年</w:t>
                  </w:r>
                  <w:r>
                    <w:rPr>
                      <w:rFonts w:hint="eastAsia"/>
                      <w:color w:val="auto"/>
                      <w:szCs w:val="21"/>
                      <w:lang w:val="en-US" w:eastAsia="zh-CN"/>
                    </w:rPr>
                    <w:t>8</w:t>
                  </w:r>
                  <w:r>
                    <w:rPr>
                      <w:rFonts w:hint="eastAsia"/>
                      <w:color w:val="auto"/>
                      <w:szCs w:val="21"/>
                    </w:rPr>
                    <w:t>月2</w:t>
                  </w:r>
                  <w:r>
                    <w:rPr>
                      <w:rFonts w:hint="eastAsia"/>
                      <w:color w:val="auto"/>
                      <w:szCs w:val="21"/>
                      <w:lang w:val="en-US" w:eastAsia="zh-CN"/>
                    </w:rPr>
                    <w:t>0</w:t>
                  </w:r>
                  <w:r>
                    <w:rPr>
                      <w:rFonts w:hint="eastAsia"/>
                      <w:color w:val="auto"/>
                      <w:szCs w:val="21"/>
                    </w:rPr>
                    <w:t>日</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pct"/>
                  <w:vMerge w:val="continue"/>
                  <w:vAlign w:val="center"/>
                </w:tcPr>
                <w:p>
                  <w:pPr>
                    <w:jc w:val="center"/>
                    <w:rPr>
                      <w:color w:val="auto"/>
                      <w:szCs w:val="21"/>
                    </w:rPr>
                  </w:pPr>
                </w:p>
              </w:tc>
              <w:tc>
                <w:tcPr>
                  <w:tcW w:w="1006" w:type="pct"/>
                  <w:vAlign w:val="center"/>
                </w:tcPr>
                <w:p>
                  <w:pPr>
                    <w:jc w:val="center"/>
                    <w:rPr>
                      <w:color w:val="auto"/>
                      <w:szCs w:val="21"/>
                    </w:rPr>
                  </w:pPr>
                  <w:r>
                    <w:rPr>
                      <w:color w:val="auto"/>
                      <w:szCs w:val="21"/>
                    </w:rPr>
                    <w:t>昼间</w:t>
                  </w:r>
                </w:p>
              </w:tc>
              <w:tc>
                <w:tcPr>
                  <w:tcW w:w="1008" w:type="pct"/>
                  <w:vAlign w:val="center"/>
                </w:tcPr>
                <w:p>
                  <w:pPr>
                    <w:jc w:val="center"/>
                    <w:rPr>
                      <w:color w:val="auto"/>
                      <w:szCs w:val="21"/>
                    </w:rPr>
                  </w:pPr>
                  <w:r>
                    <w:rPr>
                      <w:color w:val="auto"/>
                      <w:szCs w:val="21"/>
                    </w:rPr>
                    <w:t>夜间</w:t>
                  </w:r>
                </w:p>
              </w:tc>
              <w:tc>
                <w:tcPr>
                  <w:tcW w:w="1006" w:type="pct"/>
                  <w:vAlign w:val="center"/>
                </w:tcPr>
                <w:p>
                  <w:pPr>
                    <w:jc w:val="center"/>
                    <w:rPr>
                      <w:color w:val="auto"/>
                      <w:szCs w:val="21"/>
                    </w:rPr>
                  </w:pPr>
                  <w:r>
                    <w:rPr>
                      <w:color w:val="auto"/>
                      <w:szCs w:val="21"/>
                    </w:rPr>
                    <w:t>昼间</w:t>
                  </w:r>
                </w:p>
              </w:tc>
              <w:tc>
                <w:tcPr>
                  <w:tcW w:w="1011" w:type="pct"/>
                  <w:vAlign w:val="center"/>
                </w:tcPr>
                <w:p>
                  <w:pPr>
                    <w:jc w:val="center"/>
                    <w:rPr>
                      <w:color w:val="auto"/>
                      <w:szCs w:val="21"/>
                    </w:rPr>
                  </w:pPr>
                  <w:r>
                    <w:rPr>
                      <w:color w:val="auto"/>
                      <w:szCs w:val="21"/>
                    </w:rPr>
                    <w:t>夜间</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pct"/>
                  <w:vAlign w:val="center"/>
                </w:tcPr>
                <w:p>
                  <w:pPr>
                    <w:jc w:val="center"/>
                    <w:rPr>
                      <w:rFonts w:hint="eastAsia" w:eastAsia="宋体"/>
                      <w:color w:val="auto"/>
                      <w:szCs w:val="21"/>
                      <w:lang w:eastAsia="zh-CN"/>
                    </w:rPr>
                  </w:pPr>
                  <w:r>
                    <w:rPr>
                      <w:rFonts w:hint="eastAsia"/>
                      <w:color w:val="auto"/>
                      <w:szCs w:val="21"/>
                      <w:lang w:val="en-US" w:eastAsia="zh-CN"/>
                    </w:rPr>
                    <w:t>1</w:t>
                  </w:r>
                </w:p>
              </w:tc>
              <w:tc>
                <w:tcPr>
                  <w:tcW w:w="1006" w:type="pct"/>
                  <w:vAlign w:val="center"/>
                </w:tcPr>
                <w:p>
                  <w:pPr>
                    <w:jc w:val="center"/>
                    <w:rPr>
                      <w:rFonts w:hint="default" w:eastAsia="宋体"/>
                      <w:color w:val="auto"/>
                      <w:szCs w:val="21"/>
                      <w:lang w:val="en-US" w:eastAsia="zh-CN"/>
                    </w:rPr>
                  </w:pPr>
                  <w:r>
                    <w:rPr>
                      <w:rFonts w:hint="eastAsia"/>
                      <w:color w:val="auto"/>
                      <w:szCs w:val="21"/>
                    </w:rPr>
                    <w:t>4</w:t>
                  </w:r>
                  <w:r>
                    <w:rPr>
                      <w:rFonts w:hint="eastAsia"/>
                      <w:color w:val="auto"/>
                      <w:szCs w:val="21"/>
                      <w:lang w:val="en-US" w:eastAsia="zh-CN"/>
                    </w:rPr>
                    <w:t>8.8</w:t>
                  </w:r>
                </w:p>
              </w:tc>
              <w:tc>
                <w:tcPr>
                  <w:tcW w:w="1008" w:type="pct"/>
                  <w:vAlign w:val="center"/>
                </w:tcPr>
                <w:p>
                  <w:pPr>
                    <w:jc w:val="center"/>
                    <w:rPr>
                      <w:rFonts w:hint="default" w:eastAsia="宋体"/>
                      <w:color w:val="auto"/>
                      <w:szCs w:val="21"/>
                      <w:lang w:val="en-US" w:eastAsia="zh-CN"/>
                    </w:rPr>
                  </w:pPr>
                  <w:r>
                    <w:rPr>
                      <w:rFonts w:hint="eastAsia"/>
                      <w:color w:val="auto"/>
                      <w:szCs w:val="21"/>
                      <w:lang w:val="en-US" w:eastAsia="zh-CN"/>
                    </w:rPr>
                    <w:t>36.4</w:t>
                  </w:r>
                </w:p>
              </w:tc>
              <w:tc>
                <w:tcPr>
                  <w:tcW w:w="1006" w:type="pct"/>
                  <w:vAlign w:val="center"/>
                </w:tcPr>
                <w:p>
                  <w:pPr>
                    <w:jc w:val="center"/>
                    <w:rPr>
                      <w:rFonts w:hint="default" w:eastAsia="宋体"/>
                      <w:color w:val="auto"/>
                      <w:szCs w:val="21"/>
                      <w:lang w:val="en-US" w:eastAsia="zh-CN"/>
                    </w:rPr>
                  </w:pPr>
                  <w:r>
                    <w:rPr>
                      <w:rFonts w:hint="eastAsia"/>
                      <w:color w:val="auto"/>
                      <w:szCs w:val="21"/>
                      <w:lang w:val="en-US" w:eastAsia="zh-CN"/>
                    </w:rPr>
                    <w:t>48.7</w:t>
                  </w:r>
                </w:p>
              </w:tc>
              <w:tc>
                <w:tcPr>
                  <w:tcW w:w="1011" w:type="pct"/>
                  <w:vAlign w:val="center"/>
                </w:tcPr>
                <w:p>
                  <w:pPr>
                    <w:jc w:val="center"/>
                    <w:rPr>
                      <w:rFonts w:hint="default" w:eastAsia="宋体"/>
                      <w:color w:val="auto"/>
                      <w:szCs w:val="21"/>
                      <w:lang w:val="en-US" w:eastAsia="zh-CN"/>
                    </w:rPr>
                  </w:pPr>
                  <w:r>
                    <w:rPr>
                      <w:rFonts w:hint="eastAsia"/>
                      <w:color w:val="auto"/>
                      <w:szCs w:val="21"/>
                      <w:lang w:val="en-US" w:eastAsia="zh-CN"/>
                    </w:rPr>
                    <w:t>36.6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pct"/>
                  <w:vAlign w:val="center"/>
                </w:tcPr>
                <w:p>
                  <w:pPr>
                    <w:jc w:val="center"/>
                    <w:rPr>
                      <w:rFonts w:hint="eastAsia" w:eastAsia="宋体"/>
                      <w:color w:val="auto"/>
                      <w:szCs w:val="21"/>
                      <w:lang w:eastAsia="zh-CN"/>
                    </w:rPr>
                  </w:pPr>
                  <w:r>
                    <w:rPr>
                      <w:rFonts w:hint="eastAsia"/>
                      <w:color w:val="auto"/>
                      <w:szCs w:val="21"/>
                      <w:lang w:val="en-US" w:eastAsia="zh-CN"/>
                    </w:rPr>
                    <w:t>3</w:t>
                  </w:r>
                </w:p>
              </w:tc>
              <w:tc>
                <w:tcPr>
                  <w:tcW w:w="1006" w:type="pct"/>
                  <w:vAlign w:val="center"/>
                </w:tcPr>
                <w:p>
                  <w:pPr>
                    <w:jc w:val="center"/>
                    <w:rPr>
                      <w:rFonts w:hint="default" w:eastAsia="宋体"/>
                      <w:color w:val="auto"/>
                      <w:szCs w:val="21"/>
                      <w:lang w:val="en-US" w:eastAsia="zh-CN"/>
                    </w:rPr>
                  </w:pPr>
                  <w:r>
                    <w:rPr>
                      <w:rFonts w:hint="eastAsia"/>
                      <w:color w:val="auto"/>
                      <w:szCs w:val="21"/>
                      <w:lang w:val="en-US" w:eastAsia="zh-CN"/>
                    </w:rPr>
                    <w:t>48.2</w:t>
                  </w:r>
                </w:p>
              </w:tc>
              <w:tc>
                <w:tcPr>
                  <w:tcW w:w="1008" w:type="pct"/>
                  <w:vAlign w:val="center"/>
                </w:tcPr>
                <w:p>
                  <w:pPr>
                    <w:jc w:val="center"/>
                    <w:rPr>
                      <w:rFonts w:hint="default" w:eastAsia="宋体"/>
                      <w:color w:val="auto"/>
                      <w:szCs w:val="21"/>
                      <w:lang w:val="en-US" w:eastAsia="zh-CN"/>
                    </w:rPr>
                  </w:pPr>
                  <w:r>
                    <w:rPr>
                      <w:rFonts w:hint="eastAsia"/>
                      <w:color w:val="auto"/>
                      <w:szCs w:val="21"/>
                      <w:lang w:val="en-US" w:eastAsia="zh-CN"/>
                    </w:rPr>
                    <w:t>36.0</w:t>
                  </w:r>
                </w:p>
              </w:tc>
              <w:tc>
                <w:tcPr>
                  <w:tcW w:w="1006" w:type="pct"/>
                  <w:vAlign w:val="center"/>
                </w:tcPr>
                <w:p>
                  <w:pPr>
                    <w:jc w:val="center"/>
                    <w:rPr>
                      <w:rFonts w:hint="default" w:eastAsia="宋体"/>
                      <w:color w:val="auto"/>
                      <w:szCs w:val="21"/>
                      <w:lang w:val="en-US" w:eastAsia="zh-CN"/>
                    </w:rPr>
                  </w:pPr>
                  <w:r>
                    <w:rPr>
                      <w:rFonts w:hint="eastAsia"/>
                      <w:color w:val="auto"/>
                      <w:szCs w:val="21"/>
                      <w:lang w:val="en-US" w:eastAsia="zh-CN"/>
                    </w:rPr>
                    <w:t>46.2</w:t>
                  </w:r>
                </w:p>
              </w:tc>
              <w:tc>
                <w:tcPr>
                  <w:tcW w:w="1011" w:type="pct"/>
                  <w:vAlign w:val="center"/>
                </w:tcPr>
                <w:p>
                  <w:pPr>
                    <w:jc w:val="center"/>
                    <w:rPr>
                      <w:rFonts w:hint="default" w:eastAsia="宋体"/>
                      <w:color w:val="auto"/>
                      <w:szCs w:val="21"/>
                      <w:lang w:val="en-US" w:eastAsia="zh-CN"/>
                    </w:rPr>
                  </w:pPr>
                  <w:r>
                    <w:rPr>
                      <w:rFonts w:hint="eastAsia"/>
                      <w:color w:val="auto"/>
                      <w:szCs w:val="21"/>
                      <w:lang w:val="en-US" w:eastAsia="zh-CN"/>
                    </w:rPr>
                    <w:t>35.9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pct"/>
                  <w:vAlign w:val="center"/>
                </w:tcPr>
                <w:p>
                  <w:pPr>
                    <w:jc w:val="center"/>
                    <w:rPr>
                      <w:rFonts w:hint="eastAsia" w:eastAsia="宋体"/>
                      <w:color w:val="auto"/>
                      <w:szCs w:val="21"/>
                      <w:lang w:eastAsia="zh-CN"/>
                    </w:rPr>
                  </w:pPr>
                  <w:r>
                    <w:rPr>
                      <w:rFonts w:hint="eastAsia"/>
                      <w:color w:val="auto"/>
                      <w:szCs w:val="21"/>
                      <w:lang w:val="en-US" w:eastAsia="zh-CN"/>
                    </w:rPr>
                    <w:t>5</w:t>
                  </w:r>
                </w:p>
              </w:tc>
              <w:tc>
                <w:tcPr>
                  <w:tcW w:w="1006" w:type="pct"/>
                  <w:vAlign w:val="center"/>
                </w:tcPr>
                <w:p>
                  <w:pPr>
                    <w:jc w:val="center"/>
                    <w:rPr>
                      <w:rFonts w:hint="default" w:eastAsia="宋体"/>
                      <w:color w:val="auto"/>
                      <w:szCs w:val="21"/>
                      <w:lang w:val="en-US" w:eastAsia="zh-CN"/>
                    </w:rPr>
                  </w:pPr>
                  <w:r>
                    <w:rPr>
                      <w:rFonts w:hint="eastAsia"/>
                      <w:color w:val="auto"/>
                      <w:szCs w:val="21"/>
                      <w:lang w:val="en-US" w:eastAsia="zh-CN"/>
                    </w:rPr>
                    <w:t>47.5</w:t>
                  </w:r>
                </w:p>
              </w:tc>
              <w:tc>
                <w:tcPr>
                  <w:tcW w:w="1008" w:type="pct"/>
                  <w:vAlign w:val="center"/>
                </w:tcPr>
                <w:p>
                  <w:pPr>
                    <w:jc w:val="center"/>
                    <w:rPr>
                      <w:rFonts w:hint="default" w:eastAsia="宋体"/>
                      <w:color w:val="auto"/>
                      <w:szCs w:val="21"/>
                      <w:lang w:val="en-US" w:eastAsia="zh-CN"/>
                    </w:rPr>
                  </w:pPr>
                  <w:r>
                    <w:rPr>
                      <w:rFonts w:hint="eastAsia"/>
                      <w:color w:val="auto"/>
                      <w:szCs w:val="21"/>
                      <w:lang w:val="en-US" w:eastAsia="zh-CN"/>
                    </w:rPr>
                    <w:t>34.4</w:t>
                  </w:r>
                </w:p>
              </w:tc>
              <w:tc>
                <w:tcPr>
                  <w:tcW w:w="1006" w:type="pct"/>
                  <w:vAlign w:val="center"/>
                </w:tcPr>
                <w:p>
                  <w:pPr>
                    <w:jc w:val="center"/>
                    <w:rPr>
                      <w:rFonts w:hint="default" w:eastAsia="宋体"/>
                      <w:color w:val="auto"/>
                      <w:szCs w:val="21"/>
                      <w:lang w:val="en-US" w:eastAsia="zh-CN"/>
                    </w:rPr>
                  </w:pPr>
                  <w:r>
                    <w:rPr>
                      <w:rFonts w:hint="eastAsia"/>
                      <w:color w:val="auto"/>
                      <w:szCs w:val="21"/>
                      <w:lang w:val="en-US" w:eastAsia="zh-CN"/>
                    </w:rPr>
                    <w:t>47.2</w:t>
                  </w:r>
                </w:p>
              </w:tc>
              <w:tc>
                <w:tcPr>
                  <w:tcW w:w="1011" w:type="pct"/>
                  <w:vAlign w:val="center"/>
                </w:tcPr>
                <w:p>
                  <w:pPr>
                    <w:jc w:val="center"/>
                    <w:rPr>
                      <w:rFonts w:hint="default" w:eastAsia="宋体"/>
                      <w:color w:val="auto"/>
                      <w:szCs w:val="21"/>
                      <w:lang w:val="en-US" w:eastAsia="zh-CN"/>
                    </w:rPr>
                  </w:pPr>
                  <w:r>
                    <w:rPr>
                      <w:rFonts w:hint="eastAsia"/>
                      <w:color w:val="auto"/>
                      <w:szCs w:val="21"/>
                      <w:lang w:val="en-US" w:eastAsia="zh-CN"/>
                    </w:rPr>
                    <w:t>36.5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pct"/>
                  <w:vAlign w:val="center"/>
                </w:tcPr>
                <w:p>
                  <w:pPr>
                    <w:jc w:val="center"/>
                    <w:rPr>
                      <w:rFonts w:hint="eastAsia" w:eastAsia="宋体"/>
                      <w:color w:val="auto"/>
                      <w:szCs w:val="21"/>
                      <w:lang w:eastAsia="zh-CN"/>
                    </w:rPr>
                  </w:pPr>
                  <w:r>
                    <w:rPr>
                      <w:rFonts w:hint="eastAsia"/>
                      <w:color w:val="auto"/>
                      <w:szCs w:val="21"/>
                      <w:lang w:val="en-US" w:eastAsia="zh-CN"/>
                    </w:rPr>
                    <w:t>7</w:t>
                  </w:r>
                </w:p>
              </w:tc>
              <w:tc>
                <w:tcPr>
                  <w:tcW w:w="1006" w:type="pct"/>
                  <w:vAlign w:val="center"/>
                </w:tcPr>
                <w:p>
                  <w:pPr>
                    <w:jc w:val="center"/>
                    <w:rPr>
                      <w:rFonts w:hint="default" w:eastAsia="宋体"/>
                      <w:color w:val="auto"/>
                      <w:szCs w:val="21"/>
                      <w:lang w:val="en-US" w:eastAsia="zh-CN"/>
                    </w:rPr>
                  </w:pPr>
                  <w:r>
                    <w:rPr>
                      <w:rFonts w:hint="eastAsia"/>
                      <w:color w:val="auto"/>
                      <w:szCs w:val="21"/>
                      <w:lang w:val="en-US" w:eastAsia="zh-CN"/>
                    </w:rPr>
                    <w:t>46.4</w:t>
                  </w:r>
                </w:p>
              </w:tc>
              <w:tc>
                <w:tcPr>
                  <w:tcW w:w="1008" w:type="pct"/>
                  <w:vAlign w:val="center"/>
                </w:tcPr>
                <w:p>
                  <w:pPr>
                    <w:jc w:val="center"/>
                    <w:rPr>
                      <w:rFonts w:hint="default" w:eastAsia="宋体"/>
                      <w:color w:val="auto"/>
                      <w:szCs w:val="21"/>
                      <w:lang w:val="en-US" w:eastAsia="zh-CN"/>
                    </w:rPr>
                  </w:pPr>
                  <w:r>
                    <w:rPr>
                      <w:rFonts w:hint="eastAsia"/>
                      <w:color w:val="auto"/>
                      <w:szCs w:val="21"/>
                      <w:lang w:val="en-US" w:eastAsia="zh-CN"/>
                    </w:rPr>
                    <w:t>34.1</w:t>
                  </w:r>
                </w:p>
              </w:tc>
              <w:tc>
                <w:tcPr>
                  <w:tcW w:w="1006" w:type="pct"/>
                  <w:vAlign w:val="center"/>
                </w:tcPr>
                <w:p>
                  <w:pPr>
                    <w:jc w:val="center"/>
                    <w:rPr>
                      <w:rFonts w:hint="default" w:eastAsia="宋体"/>
                      <w:color w:val="auto"/>
                      <w:szCs w:val="21"/>
                      <w:lang w:val="en-US" w:eastAsia="zh-CN"/>
                    </w:rPr>
                  </w:pPr>
                  <w:r>
                    <w:rPr>
                      <w:rFonts w:hint="eastAsia"/>
                      <w:color w:val="auto"/>
                      <w:szCs w:val="21"/>
                      <w:lang w:val="en-US" w:eastAsia="zh-CN"/>
                    </w:rPr>
                    <w:t>47.8</w:t>
                  </w:r>
                </w:p>
              </w:tc>
              <w:tc>
                <w:tcPr>
                  <w:tcW w:w="1011" w:type="pct"/>
                  <w:vAlign w:val="center"/>
                </w:tcPr>
                <w:p>
                  <w:pPr>
                    <w:jc w:val="center"/>
                    <w:rPr>
                      <w:rFonts w:hint="default" w:eastAsia="宋体"/>
                      <w:color w:val="auto"/>
                      <w:szCs w:val="21"/>
                      <w:lang w:val="en-US" w:eastAsia="zh-CN"/>
                    </w:rPr>
                  </w:pPr>
                  <w:r>
                    <w:rPr>
                      <w:rFonts w:hint="eastAsia"/>
                      <w:color w:val="auto"/>
                      <w:szCs w:val="21"/>
                      <w:lang w:val="en-US" w:eastAsia="zh-CN"/>
                    </w:rPr>
                    <w:t>36.3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pct"/>
                  <w:vAlign w:val="center"/>
                </w:tcPr>
                <w:p>
                  <w:pPr>
                    <w:jc w:val="center"/>
                    <w:rPr>
                      <w:rFonts w:hint="eastAsia" w:eastAsia="宋体"/>
                      <w:color w:val="auto"/>
                      <w:szCs w:val="21"/>
                      <w:lang w:eastAsia="zh-CN"/>
                    </w:rPr>
                  </w:pPr>
                  <w:r>
                    <w:rPr>
                      <w:rFonts w:hint="eastAsia"/>
                      <w:color w:val="auto"/>
                      <w:szCs w:val="21"/>
                      <w:lang w:val="en-US" w:eastAsia="zh-CN"/>
                    </w:rPr>
                    <w:t>9</w:t>
                  </w:r>
                </w:p>
              </w:tc>
              <w:tc>
                <w:tcPr>
                  <w:tcW w:w="1006" w:type="pct"/>
                  <w:vAlign w:val="center"/>
                </w:tcPr>
                <w:p>
                  <w:pPr>
                    <w:jc w:val="center"/>
                    <w:rPr>
                      <w:rFonts w:hint="default" w:eastAsia="宋体"/>
                      <w:color w:val="auto"/>
                      <w:szCs w:val="21"/>
                      <w:lang w:val="en-US" w:eastAsia="zh-CN"/>
                    </w:rPr>
                  </w:pPr>
                  <w:r>
                    <w:rPr>
                      <w:rFonts w:hint="eastAsia"/>
                      <w:color w:val="auto"/>
                      <w:szCs w:val="21"/>
                      <w:lang w:val="en-US" w:eastAsia="zh-CN"/>
                    </w:rPr>
                    <w:t>48.1</w:t>
                  </w:r>
                </w:p>
              </w:tc>
              <w:tc>
                <w:tcPr>
                  <w:tcW w:w="1008" w:type="pct"/>
                  <w:vAlign w:val="center"/>
                </w:tcPr>
                <w:p>
                  <w:pPr>
                    <w:jc w:val="center"/>
                    <w:rPr>
                      <w:rFonts w:hint="default"/>
                      <w:color w:val="auto"/>
                      <w:szCs w:val="21"/>
                      <w:lang w:val="en-US"/>
                    </w:rPr>
                  </w:pPr>
                  <w:r>
                    <w:rPr>
                      <w:rFonts w:hint="eastAsia"/>
                      <w:color w:val="auto"/>
                      <w:szCs w:val="21"/>
                      <w:lang w:val="en-US" w:eastAsia="zh-CN"/>
                    </w:rPr>
                    <w:t>36.7</w:t>
                  </w:r>
                </w:p>
              </w:tc>
              <w:tc>
                <w:tcPr>
                  <w:tcW w:w="1006" w:type="pct"/>
                  <w:vAlign w:val="center"/>
                </w:tcPr>
                <w:p>
                  <w:pPr>
                    <w:jc w:val="center"/>
                    <w:rPr>
                      <w:rFonts w:hint="default" w:eastAsia="宋体"/>
                      <w:color w:val="auto"/>
                      <w:szCs w:val="21"/>
                      <w:lang w:val="en-US" w:eastAsia="zh-CN"/>
                    </w:rPr>
                  </w:pPr>
                  <w:r>
                    <w:rPr>
                      <w:rFonts w:hint="eastAsia"/>
                      <w:color w:val="auto"/>
                      <w:szCs w:val="21"/>
                      <w:lang w:val="en-US" w:eastAsia="zh-CN"/>
                    </w:rPr>
                    <w:t>45.8</w:t>
                  </w:r>
                </w:p>
              </w:tc>
              <w:tc>
                <w:tcPr>
                  <w:tcW w:w="1011" w:type="pct"/>
                  <w:vAlign w:val="center"/>
                </w:tcPr>
                <w:p>
                  <w:pPr>
                    <w:jc w:val="center"/>
                    <w:rPr>
                      <w:rFonts w:hint="default" w:eastAsia="宋体"/>
                      <w:color w:val="auto"/>
                      <w:szCs w:val="21"/>
                      <w:lang w:val="en-US" w:eastAsia="zh-CN"/>
                    </w:rPr>
                  </w:pPr>
                  <w:r>
                    <w:rPr>
                      <w:rFonts w:hint="eastAsia"/>
                      <w:color w:val="auto"/>
                      <w:szCs w:val="21"/>
                      <w:lang w:val="en-US" w:eastAsia="zh-CN"/>
                    </w:rPr>
                    <w:t>36.5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pct"/>
                  <w:vAlign w:val="center"/>
                </w:tcPr>
                <w:p>
                  <w:pPr>
                    <w:jc w:val="center"/>
                    <w:rPr>
                      <w:rFonts w:hint="default" w:eastAsia="宋体"/>
                      <w:color w:val="auto"/>
                      <w:szCs w:val="21"/>
                      <w:lang w:val="en-US" w:eastAsia="zh-CN"/>
                    </w:rPr>
                  </w:pPr>
                  <w:r>
                    <w:rPr>
                      <w:rFonts w:hint="eastAsia"/>
                      <w:color w:val="auto"/>
                      <w:szCs w:val="21"/>
                      <w:lang w:val="en-US" w:eastAsia="zh-CN"/>
                    </w:rPr>
                    <w:t>11</w:t>
                  </w:r>
                </w:p>
              </w:tc>
              <w:tc>
                <w:tcPr>
                  <w:tcW w:w="1006" w:type="pct"/>
                  <w:vAlign w:val="center"/>
                </w:tcPr>
                <w:p>
                  <w:pPr>
                    <w:jc w:val="center"/>
                    <w:rPr>
                      <w:rFonts w:hint="default" w:eastAsia="宋体"/>
                      <w:color w:val="auto"/>
                      <w:szCs w:val="21"/>
                      <w:lang w:val="en-US" w:eastAsia="zh-CN"/>
                    </w:rPr>
                  </w:pPr>
                  <w:r>
                    <w:rPr>
                      <w:rFonts w:hint="eastAsia"/>
                      <w:color w:val="auto"/>
                      <w:szCs w:val="21"/>
                      <w:lang w:val="en-US" w:eastAsia="zh-CN"/>
                    </w:rPr>
                    <w:t>46.8</w:t>
                  </w:r>
                </w:p>
              </w:tc>
              <w:tc>
                <w:tcPr>
                  <w:tcW w:w="1008" w:type="pct"/>
                  <w:vAlign w:val="center"/>
                </w:tcPr>
                <w:p>
                  <w:pPr>
                    <w:jc w:val="center"/>
                    <w:rPr>
                      <w:rFonts w:hint="default" w:eastAsia="宋体"/>
                      <w:color w:val="auto"/>
                      <w:szCs w:val="21"/>
                      <w:lang w:val="en-US" w:eastAsia="zh-CN"/>
                    </w:rPr>
                  </w:pPr>
                  <w:r>
                    <w:rPr>
                      <w:rFonts w:hint="eastAsia"/>
                      <w:color w:val="auto"/>
                      <w:szCs w:val="21"/>
                      <w:lang w:val="en-US" w:eastAsia="zh-CN"/>
                    </w:rPr>
                    <w:t>36.9</w:t>
                  </w:r>
                </w:p>
              </w:tc>
              <w:tc>
                <w:tcPr>
                  <w:tcW w:w="1006" w:type="pct"/>
                  <w:vAlign w:val="center"/>
                </w:tcPr>
                <w:p>
                  <w:pPr>
                    <w:jc w:val="center"/>
                    <w:rPr>
                      <w:rFonts w:hint="default" w:eastAsia="宋体"/>
                      <w:color w:val="auto"/>
                      <w:szCs w:val="21"/>
                      <w:lang w:val="en-US" w:eastAsia="zh-CN"/>
                    </w:rPr>
                  </w:pPr>
                  <w:r>
                    <w:rPr>
                      <w:rFonts w:hint="eastAsia"/>
                      <w:color w:val="auto"/>
                      <w:szCs w:val="21"/>
                      <w:lang w:val="en-US" w:eastAsia="zh-CN"/>
                    </w:rPr>
                    <w:t>45.6</w:t>
                  </w:r>
                </w:p>
              </w:tc>
              <w:tc>
                <w:tcPr>
                  <w:tcW w:w="1011" w:type="pct"/>
                  <w:vAlign w:val="center"/>
                </w:tcPr>
                <w:p>
                  <w:pPr>
                    <w:jc w:val="center"/>
                    <w:rPr>
                      <w:rFonts w:hint="default" w:eastAsia="宋体"/>
                      <w:color w:val="auto"/>
                      <w:szCs w:val="21"/>
                      <w:lang w:val="en-US" w:eastAsia="zh-CN"/>
                    </w:rPr>
                  </w:pPr>
                  <w:r>
                    <w:rPr>
                      <w:rFonts w:hint="eastAsia"/>
                      <w:color w:val="auto"/>
                      <w:szCs w:val="21"/>
                      <w:lang w:val="en-US" w:eastAsia="zh-CN"/>
                    </w:rPr>
                    <w:t>36.3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pct"/>
                  <w:vAlign w:val="center"/>
                </w:tcPr>
                <w:p>
                  <w:pPr>
                    <w:jc w:val="center"/>
                    <w:rPr>
                      <w:rFonts w:hint="default" w:eastAsia="宋体"/>
                      <w:color w:val="auto"/>
                      <w:szCs w:val="21"/>
                      <w:lang w:val="en-US" w:eastAsia="zh-CN"/>
                    </w:rPr>
                  </w:pPr>
                  <w:r>
                    <w:rPr>
                      <w:rFonts w:hint="eastAsia"/>
                      <w:color w:val="auto"/>
                      <w:szCs w:val="21"/>
                      <w:lang w:val="en-US" w:eastAsia="zh-CN"/>
                    </w:rPr>
                    <w:t>13</w:t>
                  </w:r>
                </w:p>
              </w:tc>
              <w:tc>
                <w:tcPr>
                  <w:tcW w:w="1006" w:type="pct"/>
                  <w:vAlign w:val="center"/>
                </w:tcPr>
                <w:p>
                  <w:pPr>
                    <w:jc w:val="center"/>
                    <w:rPr>
                      <w:rFonts w:hint="default" w:eastAsia="宋体"/>
                      <w:color w:val="auto"/>
                      <w:szCs w:val="21"/>
                      <w:lang w:val="en-US" w:eastAsia="zh-CN"/>
                    </w:rPr>
                  </w:pPr>
                  <w:r>
                    <w:rPr>
                      <w:rFonts w:hint="eastAsia"/>
                      <w:color w:val="auto"/>
                      <w:szCs w:val="21"/>
                      <w:lang w:val="en-US" w:eastAsia="zh-CN"/>
                    </w:rPr>
                    <w:t>46.6</w:t>
                  </w:r>
                </w:p>
              </w:tc>
              <w:tc>
                <w:tcPr>
                  <w:tcW w:w="1008" w:type="pct"/>
                  <w:vAlign w:val="center"/>
                </w:tcPr>
                <w:p>
                  <w:pPr>
                    <w:jc w:val="center"/>
                    <w:rPr>
                      <w:rFonts w:hint="default" w:eastAsia="宋体"/>
                      <w:color w:val="auto"/>
                      <w:szCs w:val="21"/>
                      <w:lang w:val="en-US" w:eastAsia="zh-CN"/>
                    </w:rPr>
                  </w:pPr>
                  <w:r>
                    <w:rPr>
                      <w:rFonts w:hint="eastAsia"/>
                      <w:color w:val="auto"/>
                      <w:szCs w:val="21"/>
                      <w:lang w:val="en-US" w:eastAsia="zh-CN"/>
                    </w:rPr>
                    <w:t>36.4</w:t>
                  </w:r>
                </w:p>
              </w:tc>
              <w:tc>
                <w:tcPr>
                  <w:tcW w:w="1006" w:type="pct"/>
                  <w:vAlign w:val="center"/>
                </w:tcPr>
                <w:p>
                  <w:pPr>
                    <w:jc w:val="center"/>
                    <w:rPr>
                      <w:rFonts w:hint="default" w:eastAsia="宋体"/>
                      <w:color w:val="auto"/>
                      <w:szCs w:val="21"/>
                      <w:lang w:val="en-US" w:eastAsia="zh-CN"/>
                    </w:rPr>
                  </w:pPr>
                  <w:r>
                    <w:rPr>
                      <w:rFonts w:hint="eastAsia"/>
                      <w:color w:val="auto"/>
                      <w:szCs w:val="21"/>
                      <w:lang w:val="en-US" w:eastAsia="zh-CN"/>
                    </w:rPr>
                    <w:t>46.7</w:t>
                  </w:r>
                </w:p>
              </w:tc>
              <w:tc>
                <w:tcPr>
                  <w:tcW w:w="1011" w:type="pct"/>
                  <w:vAlign w:val="center"/>
                </w:tcPr>
                <w:p>
                  <w:pPr>
                    <w:jc w:val="center"/>
                    <w:rPr>
                      <w:rFonts w:hint="default" w:eastAsia="宋体"/>
                      <w:color w:val="auto"/>
                      <w:szCs w:val="21"/>
                      <w:lang w:val="en-US" w:eastAsia="zh-CN"/>
                    </w:rPr>
                  </w:pPr>
                  <w:r>
                    <w:rPr>
                      <w:rFonts w:hint="eastAsia"/>
                      <w:color w:val="auto"/>
                      <w:szCs w:val="21"/>
                      <w:lang w:val="en-US" w:eastAsia="zh-CN"/>
                    </w:rPr>
                    <w:t>36.1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pct"/>
                  <w:vAlign w:val="center"/>
                </w:tcPr>
                <w:p>
                  <w:pPr>
                    <w:jc w:val="center"/>
                    <w:rPr>
                      <w:rFonts w:hint="default" w:eastAsia="宋体"/>
                      <w:color w:val="auto"/>
                      <w:szCs w:val="21"/>
                      <w:lang w:val="en-US" w:eastAsia="zh-CN"/>
                    </w:rPr>
                  </w:pPr>
                  <w:r>
                    <w:rPr>
                      <w:rFonts w:hint="eastAsia"/>
                      <w:color w:val="auto"/>
                      <w:szCs w:val="21"/>
                      <w:lang w:val="en-US" w:eastAsia="zh-CN"/>
                    </w:rPr>
                    <w:t>15</w:t>
                  </w:r>
                </w:p>
              </w:tc>
              <w:tc>
                <w:tcPr>
                  <w:tcW w:w="1006" w:type="pct"/>
                  <w:vAlign w:val="center"/>
                </w:tcPr>
                <w:p>
                  <w:pPr>
                    <w:jc w:val="center"/>
                    <w:rPr>
                      <w:rFonts w:hint="default" w:eastAsia="宋体"/>
                      <w:color w:val="auto"/>
                      <w:szCs w:val="21"/>
                      <w:lang w:val="en-US" w:eastAsia="zh-CN"/>
                    </w:rPr>
                  </w:pPr>
                  <w:r>
                    <w:rPr>
                      <w:rFonts w:hint="eastAsia"/>
                      <w:color w:val="auto"/>
                      <w:szCs w:val="21"/>
                      <w:lang w:val="en-US" w:eastAsia="zh-CN"/>
                    </w:rPr>
                    <w:t>45.9</w:t>
                  </w:r>
                </w:p>
              </w:tc>
              <w:tc>
                <w:tcPr>
                  <w:tcW w:w="1008" w:type="pct"/>
                  <w:vAlign w:val="center"/>
                </w:tcPr>
                <w:p>
                  <w:pPr>
                    <w:jc w:val="center"/>
                    <w:rPr>
                      <w:rFonts w:hint="default" w:eastAsia="宋体"/>
                      <w:color w:val="auto"/>
                      <w:szCs w:val="21"/>
                      <w:lang w:val="en-US" w:eastAsia="zh-CN"/>
                    </w:rPr>
                  </w:pPr>
                  <w:r>
                    <w:rPr>
                      <w:rFonts w:hint="eastAsia"/>
                      <w:color w:val="auto"/>
                      <w:szCs w:val="21"/>
                      <w:lang w:val="en-US" w:eastAsia="zh-CN"/>
                    </w:rPr>
                    <w:t>36.8</w:t>
                  </w:r>
                </w:p>
              </w:tc>
              <w:tc>
                <w:tcPr>
                  <w:tcW w:w="1006" w:type="pct"/>
                  <w:vAlign w:val="center"/>
                </w:tcPr>
                <w:p>
                  <w:pPr>
                    <w:jc w:val="center"/>
                    <w:rPr>
                      <w:rFonts w:hint="default" w:eastAsia="宋体"/>
                      <w:color w:val="auto"/>
                      <w:szCs w:val="21"/>
                      <w:lang w:val="en-US" w:eastAsia="zh-CN"/>
                    </w:rPr>
                  </w:pPr>
                  <w:r>
                    <w:rPr>
                      <w:rFonts w:hint="eastAsia"/>
                      <w:color w:val="auto"/>
                      <w:szCs w:val="21"/>
                      <w:lang w:val="en-US" w:eastAsia="zh-CN"/>
                    </w:rPr>
                    <w:t>48.1</w:t>
                  </w:r>
                </w:p>
              </w:tc>
              <w:tc>
                <w:tcPr>
                  <w:tcW w:w="1011" w:type="pct"/>
                  <w:vAlign w:val="center"/>
                </w:tcPr>
                <w:p>
                  <w:pPr>
                    <w:jc w:val="center"/>
                    <w:rPr>
                      <w:rFonts w:hint="default" w:eastAsia="宋体"/>
                      <w:color w:val="auto"/>
                      <w:szCs w:val="21"/>
                      <w:lang w:val="en-US" w:eastAsia="zh-CN"/>
                    </w:rPr>
                  </w:pPr>
                  <w:r>
                    <w:rPr>
                      <w:rFonts w:hint="eastAsia"/>
                      <w:color w:val="auto"/>
                      <w:szCs w:val="21"/>
                      <w:lang w:val="en-US" w:eastAsia="zh-CN"/>
                    </w:rPr>
                    <w:t>38.9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pct"/>
                  <w:vAlign w:val="center"/>
                </w:tcPr>
                <w:p>
                  <w:pPr>
                    <w:jc w:val="center"/>
                    <w:rPr>
                      <w:rFonts w:hint="default"/>
                      <w:color w:val="auto"/>
                      <w:szCs w:val="21"/>
                      <w:lang w:val="en-US" w:eastAsia="zh-CN"/>
                    </w:rPr>
                  </w:pPr>
                  <w:r>
                    <w:rPr>
                      <w:rFonts w:hint="eastAsia"/>
                      <w:color w:val="auto"/>
                      <w:szCs w:val="21"/>
                      <w:lang w:val="en-US" w:eastAsia="zh-CN"/>
                    </w:rPr>
                    <w:t>17</w:t>
                  </w:r>
                </w:p>
              </w:tc>
              <w:tc>
                <w:tcPr>
                  <w:tcW w:w="1006" w:type="pct"/>
                  <w:vAlign w:val="center"/>
                </w:tcPr>
                <w:p>
                  <w:pPr>
                    <w:jc w:val="center"/>
                    <w:rPr>
                      <w:rFonts w:hint="default"/>
                      <w:color w:val="auto"/>
                      <w:szCs w:val="21"/>
                      <w:lang w:val="en-US" w:eastAsia="zh-CN"/>
                    </w:rPr>
                  </w:pPr>
                  <w:r>
                    <w:rPr>
                      <w:rFonts w:hint="eastAsia"/>
                      <w:color w:val="auto"/>
                      <w:szCs w:val="21"/>
                      <w:lang w:val="en-US" w:eastAsia="zh-CN"/>
                    </w:rPr>
                    <w:t>47.9</w:t>
                  </w:r>
                </w:p>
              </w:tc>
              <w:tc>
                <w:tcPr>
                  <w:tcW w:w="1008" w:type="pct"/>
                  <w:vAlign w:val="center"/>
                </w:tcPr>
                <w:p>
                  <w:pPr>
                    <w:jc w:val="center"/>
                    <w:rPr>
                      <w:rFonts w:hint="default"/>
                      <w:color w:val="auto"/>
                      <w:szCs w:val="21"/>
                      <w:lang w:val="en-US" w:eastAsia="zh-CN"/>
                    </w:rPr>
                  </w:pPr>
                  <w:r>
                    <w:rPr>
                      <w:rFonts w:hint="eastAsia"/>
                      <w:color w:val="auto"/>
                      <w:szCs w:val="21"/>
                      <w:lang w:val="en-US" w:eastAsia="zh-CN"/>
                    </w:rPr>
                    <w:t>34.4</w:t>
                  </w:r>
                </w:p>
              </w:tc>
              <w:tc>
                <w:tcPr>
                  <w:tcW w:w="1006" w:type="pct"/>
                  <w:vAlign w:val="center"/>
                </w:tcPr>
                <w:p>
                  <w:pPr>
                    <w:jc w:val="center"/>
                    <w:rPr>
                      <w:rFonts w:hint="default"/>
                      <w:color w:val="auto"/>
                      <w:szCs w:val="21"/>
                      <w:lang w:val="en-US" w:eastAsia="zh-CN"/>
                    </w:rPr>
                  </w:pPr>
                  <w:r>
                    <w:rPr>
                      <w:rFonts w:hint="eastAsia"/>
                      <w:color w:val="auto"/>
                      <w:szCs w:val="21"/>
                      <w:lang w:val="en-US" w:eastAsia="zh-CN"/>
                    </w:rPr>
                    <w:t>47.6</w:t>
                  </w:r>
                </w:p>
              </w:tc>
              <w:tc>
                <w:tcPr>
                  <w:tcW w:w="1011" w:type="pct"/>
                  <w:vAlign w:val="center"/>
                </w:tcPr>
                <w:p>
                  <w:pPr>
                    <w:jc w:val="center"/>
                    <w:rPr>
                      <w:rFonts w:hint="default"/>
                      <w:color w:val="auto"/>
                      <w:szCs w:val="21"/>
                      <w:lang w:val="en-US" w:eastAsia="zh-CN"/>
                    </w:rPr>
                  </w:pPr>
                  <w:r>
                    <w:rPr>
                      <w:rFonts w:hint="eastAsia"/>
                      <w:color w:val="auto"/>
                      <w:szCs w:val="21"/>
                      <w:lang w:val="en-US" w:eastAsia="zh-CN"/>
                    </w:rPr>
                    <w:t>37.6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 w:type="pct"/>
                  <w:vAlign w:val="center"/>
                </w:tcPr>
                <w:p>
                  <w:pPr>
                    <w:jc w:val="center"/>
                    <w:rPr>
                      <w:rFonts w:hint="default"/>
                      <w:color w:val="auto"/>
                      <w:szCs w:val="21"/>
                      <w:lang w:val="en-US" w:eastAsia="zh-CN"/>
                    </w:rPr>
                  </w:pPr>
                  <w:r>
                    <w:rPr>
                      <w:rFonts w:hint="eastAsia"/>
                      <w:color w:val="auto"/>
                      <w:szCs w:val="21"/>
                      <w:lang w:val="en-US" w:eastAsia="zh-CN"/>
                    </w:rPr>
                    <w:t>19</w:t>
                  </w:r>
                </w:p>
              </w:tc>
              <w:tc>
                <w:tcPr>
                  <w:tcW w:w="1006" w:type="pct"/>
                  <w:vAlign w:val="center"/>
                </w:tcPr>
                <w:p>
                  <w:pPr>
                    <w:jc w:val="center"/>
                    <w:rPr>
                      <w:rFonts w:hint="default"/>
                      <w:color w:val="auto"/>
                      <w:szCs w:val="21"/>
                      <w:lang w:val="en-US" w:eastAsia="zh-CN"/>
                    </w:rPr>
                  </w:pPr>
                  <w:r>
                    <w:rPr>
                      <w:rFonts w:hint="eastAsia"/>
                      <w:color w:val="auto"/>
                      <w:szCs w:val="21"/>
                      <w:lang w:val="en-US" w:eastAsia="zh-CN"/>
                    </w:rPr>
                    <w:t>48.1</w:t>
                  </w:r>
                </w:p>
              </w:tc>
              <w:tc>
                <w:tcPr>
                  <w:tcW w:w="1008" w:type="pct"/>
                  <w:vAlign w:val="center"/>
                </w:tcPr>
                <w:p>
                  <w:pPr>
                    <w:jc w:val="center"/>
                    <w:rPr>
                      <w:rFonts w:hint="default"/>
                      <w:color w:val="auto"/>
                      <w:szCs w:val="21"/>
                      <w:lang w:val="en-US" w:eastAsia="zh-CN"/>
                    </w:rPr>
                  </w:pPr>
                  <w:r>
                    <w:rPr>
                      <w:rFonts w:hint="eastAsia"/>
                      <w:color w:val="auto"/>
                      <w:szCs w:val="21"/>
                      <w:lang w:val="en-US" w:eastAsia="zh-CN"/>
                    </w:rPr>
                    <w:t>35.1</w:t>
                  </w:r>
                </w:p>
              </w:tc>
              <w:tc>
                <w:tcPr>
                  <w:tcW w:w="1006" w:type="pct"/>
                  <w:vAlign w:val="center"/>
                </w:tcPr>
                <w:p>
                  <w:pPr>
                    <w:jc w:val="center"/>
                    <w:rPr>
                      <w:rFonts w:hint="default"/>
                      <w:color w:val="auto"/>
                      <w:szCs w:val="21"/>
                      <w:lang w:val="en-US" w:eastAsia="zh-CN"/>
                    </w:rPr>
                  </w:pPr>
                  <w:r>
                    <w:rPr>
                      <w:rFonts w:hint="eastAsia"/>
                      <w:color w:val="auto"/>
                      <w:szCs w:val="21"/>
                      <w:lang w:val="en-US" w:eastAsia="zh-CN"/>
                    </w:rPr>
                    <w:t>48.0</w:t>
                  </w:r>
                </w:p>
              </w:tc>
              <w:tc>
                <w:tcPr>
                  <w:tcW w:w="1011" w:type="pct"/>
                  <w:vAlign w:val="center"/>
                </w:tcPr>
                <w:p>
                  <w:pPr>
                    <w:jc w:val="center"/>
                    <w:rPr>
                      <w:rFonts w:hint="default"/>
                      <w:color w:val="auto"/>
                      <w:szCs w:val="21"/>
                      <w:lang w:val="en-US" w:eastAsia="zh-CN"/>
                    </w:rPr>
                  </w:pPr>
                  <w:r>
                    <w:rPr>
                      <w:rFonts w:hint="eastAsia"/>
                      <w:color w:val="auto"/>
                      <w:szCs w:val="21"/>
                      <w:lang w:val="en-US" w:eastAsia="zh-CN"/>
                    </w:rPr>
                    <w:t>37.0</w:t>
                  </w:r>
                </w:p>
              </w:tc>
            </w:tr>
          </w:tbl>
          <w:p>
            <w:pPr>
              <w:wordWrap w:val="0"/>
              <w:spacing w:line="360" w:lineRule="auto"/>
              <w:ind w:firstLine="480" w:firstLineChars="200"/>
              <w:jc w:val="left"/>
              <w:rPr>
                <w:color w:val="auto"/>
              </w:rPr>
            </w:pPr>
            <w:r>
              <w:rPr>
                <w:rFonts w:hint="eastAsia"/>
                <w:bCs/>
                <w:color w:val="auto"/>
                <w:sz w:val="24"/>
              </w:rPr>
              <w:t>由上表可知，各敏感点昼间、夜间环境噪声的等效声级均符合《声环境质量标准》（GB3096-2008）2类标准。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3" w:hRule="atLeast"/>
          <w:jc w:val="center"/>
        </w:trPr>
        <w:tc>
          <w:tcPr>
            <w:tcW w:w="452" w:type="dxa"/>
            <w:vAlign w:val="center"/>
          </w:tcPr>
          <w:p>
            <w:pPr>
              <w:adjustRightInd w:val="0"/>
              <w:snapToGrid w:val="0"/>
              <w:jc w:val="center"/>
              <w:rPr>
                <w:color w:val="auto"/>
                <w:kern w:val="0"/>
                <w:sz w:val="24"/>
              </w:rPr>
            </w:pPr>
            <w:r>
              <w:rPr>
                <w:bCs/>
                <w:color w:val="auto"/>
                <w:sz w:val="24"/>
              </w:rPr>
              <w:t>与项目有关的原有环境污染和生态破坏问题</w:t>
            </w:r>
          </w:p>
        </w:tc>
        <w:tc>
          <w:tcPr>
            <w:tcW w:w="8070" w:type="dxa"/>
            <w:vAlign w:val="center"/>
          </w:tcPr>
          <w:p>
            <w:pPr>
              <w:wordWrap w:val="0"/>
              <w:spacing w:line="360" w:lineRule="auto"/>
              <w:ind w:firstLine="420" w:firstLineChars="200"/>
              <w:jc w:val="left"/>
              <w:rPr>
                <w:rFonts w:hint="eastAsia"/>
                <w:color w:val="auto"/>
                <w:lang w:eastAsia="zh-CN"/>
              </w:rPr>
            </w:pPr>
          </w:p>
          <w:p>
            <w:pPr>
              <w:wordWrap w:val="0"/>
              <w:spacing w:line="360" w:lineRule="auto"/>
              <w:ind w:firstLine="420" w:firstLineChars="200"/>
              <w:jc w:val="left"/>
              <w:rPr>
                <w:rFonts w:hint="eastAsia"/>
                <w:color w:val="auto"/>
                <w:lang w:eastAsia="zh-CN"/>
              </w:rPr>
            </w:pPr>
          </w:p>
          <w:p>
            <w:pPr>
              <w:wordWrap w:val="0"/>
              <w:spacing w:line="360" w:lineRule="auto"/>
              <w:ind w:firstLine="420" w:firstLineChars="200"/>
              <w:jc w:val="left"/>
              <w:rPr>
                <w:rFonts w:hint="eastAsia"/>
                <w:color w:val="auto"/>
                <w:lang w:eastAsia="zh-CN"/>
              </w:rPr>
            </w:pPr>
          </w:p>
          <w:p>
            <w:pPr>
              <w:wordWrap w:val="0"/>
              <w:spacing w:line="360" w:lineRule="auto"/>
              <w:ind w:firstLine="420" w:firstLineChars="200"/>
              <w:jc w:val="left"/>
              <w:rPr>
                <w:rFonts w:hint="eastAsia"/>
                <w:color w:val="auto"/>
                <w:lang w:eastAsia="zh-CN"/>
              </w:rPr>
            </w:pPr>
          </w:p>
          <w:p>
            <w:pPr>
              <w:wordWrap w:val="0"/>
              <w:spacing w:line="360" w:lineRule="auto"/>
              <w:ind w:firstLine="420" w:firstLineChars="200"/>
              <w:jc w:val="left"/>
              <w:rPr>
                <w:rFonts w:hint="eastAsia"/>
                <w:color w:val="auto"/>
                <w:lang w:eastAsia="zh-CN"/>
              </w:rPr>
            </w:pPr>
          </w:p>
          <w:p>
            <w:pPr>
              <w:wordWrap w:val="0"/>
              <w:spacing w:line="360" w:lineRule="auto"/>
              <w:ind w:firstLine="420" w:firstLineChars="200"/>
              <w:jc w:val="left"/>
              <w:rPr>
                <w:rFonts w:hint="eastAsia"/>
                <w:color w:val="auto"/>
                <w:lang w:eastAsia="zh-CN"/>
              </w:rPr>
            </w:pPr>
          </w:p>
          <w:p>
            <w:pPr>
              <w:wordWrap w:val="0"/>
              <w:spacing w:line="360" w:lineRule="auto"/>
              <w:ind w:firstLine="420" w:firstLineChars="200"/>
              <w:jc w:val="left"/>
              <w:rPr>
                <w:rFonts w:hint="eastAsia"/>
                <w:color w:val="auto"/>
                <w:lang w:eastAsia="zh-CN"/>
              </w:rPr>
            </w:pPr>
          </w:p>
          <w:p>
            <w:pPr>
              <w:wordWrap w:val="0"/>
              <w:spacing w:line="360" w:lineRule="auto"/>
              <w:ind w:firstLine="420" w:firstLineChars="200"/>
              <w:jc w:val="left"/>
              <w:rPr>
                <w:rFonts w:hint="eastAsia"/>
                <w:color w:val="auto"/>
                <w:lang w:eastAsia="zh-CN"/>
              </w:rPr>
            </w:pPr>
          </w:p>
          <w:p>
            <w:pPr>
              <w:wordWrap w:val="0"/>
              <w:spacing w:line="360" w:lineRule="auto"/>
              <w:ind w:firstLine="420" w:firstLineChars="200"/>
              <w:jc w:val="left"/>
              <w:rPr>
                <w:rFonts w:hint="eastAsia"/>
                <w:color w:val="auto"/>
                <w:lang w:eastAsia="zh-CN"/>
              </w:rPr>
            </w:pPr>
          </w:p>
          <w:p>
            <w:pPr>
              <w:autoSpaceDE w:val="0"/>
              <w:autoSpaceDN w:val="0"/>
              <w:spacing w:line="360" w:lineRule="auto"/>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本项目为新建项目，无原有环境问题。</w:t>
            </w:r>
          </w:p>
          <w:p>
            <w:pPr>
              <w:pStyle w:val="106"/>
              <w:rPr>
                <w:rFonts w:hint="eastAsia"/>
                <w:color w:val="auto"/>
                <w:sz w:val="24"/>
                <w:lang w:eastAsia="zh-CN"/>
              </w:rPr>
            </w:pPr>
          </w:p>
          <w:p>
            <w:pPr>
              <w:pStyle w:val="106"/>
              <w:rPr>
                <w:rFonts w:hint="eastAsia"/>
                <w:color w:val="auto"/>
                <w:sz w:val="24"/>
                <w:lang w:eastAsia="zh-CN"/>
              </w:rPr>
            </w:pPr>
          </w:p>
          <w:p>
            <w:pPr>
              <w:pStyle w:val="106"/>
              <w:rPr>
                <w:rFonts w:hint="eastAsia"/>
                <w:color w:val="auto"/>
                <w:sz w:val="24"/>
                <w:lang w:eastAsia="zh-CN"/>
              </w:rPr>
            </w:pPr>
          </w:p>
          <w:p>
            <w:pPr>
              <w:pStyle w:val="106"/>
              <w:rPr>
                <w:rFonts w:hint="eastAsia"/>
                <w:color w:val="auto"/>
                <w:sz w:val="24"/>
                <w:lang w:eastAsia="zh-CN"/>
              </w:rPr>
            </w:pPr>
          </w:p>
          <w:p>
            <w:pPr>
              <w:pStyle w:val="106"/>
              <w:rPr>
                <w:rFonts w:hint="eastAsia"/>
                <w:color w:val="auto"/>
                <w:sz w:val="24"/>
                <w:lang w:eastAsia="zh-CN"/>
              </w:rPr>
            </w:pPr>
          </w:p>
          <w:p>
            <w:pPr>
              <w:pStyle w:val="106"/>
              <w:rPr>
                <w:rFonts w:hint="eastAsia"/>
                <w:color w:val="auto"/>
                <w:sz w:val="24"/>
                <w:lang w:eastAsia="zh-CN"/>
              </w:rPr>
            </w:pPr>
          </w:p>
          <w:p>
            <w:pPr>
              <w:pStyle w:val="106"/>
              <w:rPr>
                <w:rFonts w:hint="eastAsia"/>
                <w:color w:val="auto"/>
                <w:sz w:val="24"/>
                <w:lang w:eastAsia="zh-CN"/>
              </w:rPr>
            </w:pPr>
          </w:p>
          <w:p>
            <w:pPr>
              <w:pStyle w:val="106"/>
              <w:rPr>
                <w:rFonts w:hint="eastAsia"/>
                <w:color w:val="auto"/>
                <w:sz w:val="24"/>
                <w:lang w:eastAsia="zh-CN"/>
              </w:rPr>
            </w:pPr>
          </w:p>
          <w:p>
            <w:pPr>
              <w:pStyle w:val="106"/>
              <w:rPr>
                <w:rFonts w:hint="eastAsia"/>
                <w:color w:val="auto"/>
                <w:sz w:val="24"/>
                <w:lang w:eastAsia="zh-CN"/>
              </w:rPr>
            </w:pPr>
          </w:p>
          <w:p>
            <w:pPr>
              <w:pStyle w:val="106"/>
              <w:rPr>
                <w:rFonts w:hint="eastAsia"/>
                <w:color w:val="auto"/>
                <w:sz w:val="24"/>
                <w:lang w:eastAsia="zh-CN"/>
              </w:rPr>
            </w:pPr>
          </w:p>
          <w:p>
            <w:pPr>
              <w:pStyle w:val="106"/>
              <w:rPr>
                <w:rFonts w:hint="eastAsia"/>
                <w:color w:val="auto"/>
                <w:sz w:val="24"/>
                <w:lang w:eastAsia="zh-CN"/>
              </w:rPr>
            </w:pPr>
          </w:p>
          <w:p>
            <w:pPr>
              <w:pStyle w:val="106"/>
              <w:rPr>
                <w:rFonts w:hint="eastAsia"/>
                <w:color w:val="auto"/>
                <w:sz w:val="24"/>
                <w:lang w:eastAsia="zh-CN"/>
              </w:rPr>
            </w:pPr>
          </w:p>
          <w:p>
            <w:pPr>
              <w:pStyle w:val="106"/>
              <w:rPr>
                <w:rFonts w:hint="eastAsia"/>
                <w:color w:val="auto"/>
                <w:sz w:val="24"/>
                <w:lang w:eastAsia="zh-CN"/>
              </w:rPr>
            </w:pPr>
          </w:p>
          <w:p>
            <w:pPr>
              <w:pStyle w:val="106"/>
              <w:rPr>
                <w:rFonts w:hint="eastAsia"/>
                <w:color w:val="auto"/>
                <w:sz w:val="24"/>
                <w:lang w:eastAsia="zh-CN"/>
              </w:rPr>
            </w:pPr>
          </w:p>
          <w:p>
            <w:pPr>
              <w:pStyle w:val="106"/>
              <w:rPr>
                <w:rFonts w:hint="eastAsia"/>
                <w:color w:val="auto"/>
                <w:sz w:val="24"/>
                <w:lang w:eastAsia="zh-CN"/>
              </w:rPr>
            </w:pPr>
          </w:p>
          <w:p>
            <w:pPr>
              <w:pStyle w:val="106"/>
              <w:rPr>
                <w:rFonts w:hint="eastAsia"/>
                <w:color w:val="auto"/>
                <w:sz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452" w:type="dxa"/>
            <w:vAlign w:val="center"/>
          </w:tcPr>
          <w:p>
            <w:pPr>
              <w:adjustRightInd w:val="0"/>
              <w:snapToGrid w:val="0"/>
              <w:jc w:val="center"/>
              <w:rPr>
                <w:color w:val="auto"/>
                <w:kern w:val="0"/>
                <w:sz w:val="24"/>
              </w:rPr>
            </w:pPr>
            <w:r>
              <w:rPr>
                <w:color w:val="auto"/>
                <w:kern w:val="0"/>
                <w:sz w:val="24"/>
              </w:rPr>
              <w:t>生态环境保护目标</w:t>
            </w:r>
          </w:p>
        </w:tc>
        <w:tc>
          <w:tcPr>
            <w:tcW w:w="8070" w:type="dxa"/>
            <w:vAlign w:val="center"/>
          </w:tcPr>
          <w:p>
            <w:pPr>
              <w:autoSpaceDE w:val="0"/>
              <w:autoSpaceDN w:val="0"/>
              <w:spacing w:line="360" w:lineRule="auto"/>
              <w:ind w:firstLine="480" w:firstLineChars="200"/>
              <w:rPr>
                <w:color w:val="auto"/>
                <w:sz w:val="24"/>
                <w:szCs w:val="24"/>
              </w:rPr>
            </w:pPr>
            <w:r>
              <w:rPr>
                <w:color w:val="auto"/>
                <w:sz w:val="24"/>
                <w:szCs w:val="24"/>
              </w:rPr>
              <w:t>根据项目建设所处地理位置和当地的自然环境功能以及本区域环境污染特征，其主要环境保护目标为：</w:t>
            </w:r>
          </w:p>
          <w:p>
            <w:pPr>
              <w:autoSpaceDE w:val="0"/>
              <w:autoSpaceDN w:val="0"/>
              <w:spacing w:line="360" w:lineRule="auto"/>
              <w:ind w:firstLine="480" w:firstLineChars="200"/>
              <w:rPr>
                <w:color w:val="auto"/>
                <w:sz w:val="24"/>
                <w:szCs w:val="24"/>
              </w:rPr>
            </w:pPr>
            <w:r>
              <w:rPr>
                <w:color w:val="auto"/>
                <w:sz w:val="24"/>
                <w:szCs w:val="24"/>
              </w:rPr>
              <w:t>1、区域环境空气质量：保证项目所在区域及附近区域的空气质量达到《环境空气质量标准》（GB3095-2012）中二类标准。</w:t>
            </w:r>
          </w:p>
          <w:p>
            <w:pPr>
              <w:autoSpaceDE w:val="0"/>
              <w:autoSpaceDN w:val="0"/>
              <w:spacing w:line="360" w:lineRule="auto"/>
              <w:ind w:firstLine="480" w:firstLineChars="200"/>
              <w:rPr>
                <w:color w:val="auto"/>
                <w:sz w:val="24"/>
                <w:szCs w:val="24"/>
              </w:rPr>
            </w:pPr>
            <w:r>
              <w:rPr>
                <w:color w:val="auto"/>
                <w:sz w:val="24"/>
                <w:szCs w:val="24"/>
              </w:rPr>
              <w:t>2、区域地表水环境：使项目所在区域的地表水环境质量达到《地表水环境质量标准》（GB3838-</w:t>
            </w:r>
            <w:r>
              <w:rPr>
                <w:rFonts w:ascii="Times New Roman" w:hAnsi="Times New Roman" w:eastAsia="宋体" w:cs="Times New Roman"/>
                <w:color w:val="auto"/>
                <w:sz w:val="24"/>
                <w:szCs w:val="24"/>
              </w:rPr>
              <w:t>2002）</w:t>
            </w:r>
            <w:r>
              <w:rPr>
                <w:rFonts w:hint="default" w:ascii="Times New Roman" w:hAnsi="Times New Roman" w:eastAsia="宋体" w:cs="Times New Roman"/>
                <w:color w:val="auto"/>
                <w:sz w:val="24"/>
                <w:szCs w:val="24"/>
              </w:rPr>
              <w:t>Ⅳ</w:t>
            </w:r>
            <w:r>
              <w:rPr>
                <w:rFonts w:ascii="Times New Roman" w:hAnsi="Times New Roman" w:eastAsia="宋体" w:cs="Times New Roman"/>
                <w:color w:val="auto"/>
                <w:sz w:val="24"/>
                <w:szCs w:val="24"/>
              </w:rPr>
              <w:t>类标准。</w:t>
            </w:r>
          </w:p>
          <w:p>
            <w:pPr>
              <w:autoSpaceDE w:val="0"/>
              <w:autoSpaceDN w:val="0"/>
              <w:spacing w:line="360" w:lineRule="auto"/>
              <w:ind w:firstLine="480" w:firstLineChars="200"/>
              <w:rPr>
                <w:color w:val="auto"/>
                <w:sz w:val="24"/>
                <w:szCs w:val="24"/>
              </w:rPr>
            </w:pPr>
            <w:r>
              <w:rPr>
                <w:color w:val="auto"/>
                <w:sz w:val="24"/>
                <w:szCs w:val="24"/>
              </w:rPr>
              <w:t>3、区域环境噪声：使项目所在区域的声环境质量达到《声环境质量标准》（GB3096-2008）2类标准。</w:t>
            </w:r>
          </w:p>
          <w:p>
            <w:pPr>
              <w:spacing w:line="360" w:lineRule="auto"/>
              <w:ind w:firstLine="471"/>
              <w:contextualSpacing/>
              <w:rPr>
                <w:color w:val="auto"/>
              </w:rPr>
            </w:pPr>
            <w:r>
              <w:rPr>
                <w:color w:val="auto"/>
                <w:sz w:val="24"/>
                <w:szCs w:val="24"/>
              </w:rPr>
              <w:t>4、环境敏感目标：根据对项目地周边环境现状调查，项目建设和运行过程中需要特别关注的环境敏感点及主要环境保护级别见表3-</w:t>
            </w:r>
            <w:r>
              <w:rPr>
                <w:rFonts w:hint="eastAsia"/>
                <w:color w:val="auto"/>
                <w:sz w:val="24"/>
                <w:szCs w:val="24"/>
                <w:lang w:val="en-US" w:eastAsia="zh-CN"/>
              </w:rPr>
              <w:t>4</w:t>
            </w:r>
            <w:r>
              <w:rPr>
                <w:color w:val="auto"/>
                <w:sz w:val="24"/>
                <w:szCs w:val="24"/>
              </w:rPr>
              <w:t>。</w:t>
            </w:r>
          </w:p>
          <w:p>
            <w:pPr>
              <w:adjustRightInd w:val="0"/>
              <w:snapToGrid w:val="0"/>
              <w:jc w:val="center"/>
              <w:rPr>
                <w:b/>
                <w:bCs/>
                <w:color w:val="auto"/>
              </w:rPr>
            </w:pPr>
            <w:r>
              <w:rPr>
                <w:b/>
                <w:bCs/>
                <w:color w:val="auto"/>
              </w:rPr>
              <w:t>表3-</w:t>
            </w:r>
            <w:r>
              <w:rPr>
                <w:rFonts w:hint="eastAsia"/>
                <w:b/>
                <w:bCs/>
                <w:color w:val="auto"/>
                <w:lang w:val="en-US" w:eastAsia="zh-CN"/>
              </w:rPr>
              <w:t>4</w:t>
            </w:r>
            <w:r>
              <w:rPr>
                <w:b/>
                <w:bCs/>
                <w:color w:val="auto"/>
              </w:rPr>
              <w:t xml:space="preserve">  本项目主要环境敏感保护目标及级别一览表</w:t>
            </w:r>
          </w:p>
          <w:tbl>
            <w:tblPr>
              <w:tblStyle w:val="26"/>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68"/>
              <w:gridCol w:w="1222"/>
              <w:gridCol w:w="1488"/>
              <w:gridCol w:w="677"/>
              <w:gridCol w:w="813"/>
              <w:gridCol w:w="702"/>
              <w:gridCol w:w="550"/>
              <w:gridCol w:w="1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66" w:hRule="atLeast"/>
              </w:trPr>
              <w:tc>
                <w:tcPr>
                  <w:tcW w:w="363" w:type="pct"/>
                  <w:noWrap w:val="0"/>
                  <w:vAlign w:val="center"/>
                </w:tcPr>
                <w:p>
                  <w:pPr>
                    <w:spacing w:line="240" w:lineRule="auto"/>
                    <w:jc w:val="center"/>
                    <w:rPr>
                      <w:rFonts w:hint="default"/>
                      <w:color w:val="auto"/>
                    </w:rPr>
                  </w:pPr>
                  <w:r>
                    <w:rPr>
                      <w:rFonts w:hint="default"/>
                      <w:color w:val="auto"/>
                    </w:rPr>
                    <w:t>环境功能</w:t>
                  </w:r>
                </w:p>
                <w:p>
                  <w:pPr>
                    <w:spacing w:line="240" w:lineRule="auto"/>
                    <w:jc w:val="center"/>
                    <w:rPr>
                      <w:rFonts w:hint="default"/>
                      <w:color w:val="auto"/>
                    </w:rPr>
                  </w:pPr>
                </w:p>
              </w:tc>
              <w:tc>
                <w:tcPr>
                  <w:tcW w:w="780" w:type="pct"/>
                  <w:noWrap w:val="0"/>
                  <w:vAlign w:val="center"/>
                </w:tcPr>
                <w:p>
                  <w:pPr>
                    <w:spacing w:line="240" w:lineRule="auto"/>
                    <w:jc w:val="center"/>
                    <w:rPr>
                      <w:rFonts w:hint="default"/>
                      <w:color w:val="auto"/>
                    </w:rPr>
                  </w:pPr>
                  <w:r>
                    <w:rPr>
                      <w:rFonts w:hint="default"/>
                      <w:color w:val="auto"/>
                    </w:rPr>
                    <w:t>敏感目标</w:t>
                  </w:r>
                </w:p>
                <w:p>
                  <w:pPr>
                    <w:spacing w:line="240" w:lineRule="auto"/>
                    <w:jc w:val="center"/>
                    <w:rPr>
                      <w:rFonts w:hint="default"/>
                      <w:color w:val="auto"/>
                    </w:rPr>
                  </w:pPr>
                  <w:r>
                    <w:rPr>
                      <w:rFonts w:hint="default"/>
                      <w:color w:val="auto"/>
                    </w:rPr>
                    <w:t>名称</w:t>
                  </w:r>
                </w:p>
              </w:tc>
              <w:tc>
                <w:tcPr>
                  <w:tcW w:w="950" w:type="pct"/>
                  <w:noWrap w:val="0"/>
                  <w:vAlign w:val="center"/>
                </w:tcPr>
                <w:p>
                  <w:pPr>
                    <w:spacing w:line="240" w:lineRule="auto"/>
                    <w:jc w:val="center"/>
                    <w:rPr>
                      <w:rFonts w:hint="default"/>
                      <w:color w:val="auto"/>
                    </w:rPr>
                  </w:pPr>
                  <w:r>
                    <w:rPr>
                      <w:rFonts w:hint="default"/>
                      <w:color w:val="auto"/>
                    </w:rPr>
                    <w:t>中心坐标</w:t>
                  </w:r>
                </w:p>
              </w:tc>
              <w:tc>
                <w:tcPr>
                  <w:tcW w:w="432" w:type="pct"/>
                  <w:noWrap w:val="0"/>
                  <w:vAlign w:val="center"/>
                </w:tcPr>
                <w:p>
                  <w:pPr>
                    <w:spacing w:line="240" w:lineRule="auto"/>
                    <w:jc w:val="center"/>
                    <w:rPr>
                      <w:rFonts w:hint="default"/>
                      <w:color w:val="auto"/>
                    </w:rPr>
                  </w:pPr>
                  <w:r>
                    <w:rPr>
                      <w:rFonts w:hint="default"/>
                      <w:color w:val="auto"/>
                    </w:rPr>
                    <w:t>方位</w:t>
                  </w:r>
                </w:p>
              </w:tc>
              <w:tc>
                <w:tcPr>
                  <w:tcW w:w="519" w:type="pct"/>
                  <w:noWrap w:val="0"/>
                  <w:vAlign w:val="center"/>
                </w:tcPr>
                <w:p>
                  <w:pPr>
                    <w:spacing w:line="240" w:lineRule="auto"/>
                    <w:jc w:val="center"/>
                    <w:rPr>
                      <w:rFonts w:hint="default"/>
                      <w:color w:val="auto"/>
                    </w:rPr>
                  </w:pPr>
                  <w:r>
                    <w:rPr>
                      <w:rFonts w:hint="default"/>
                      <w:color w:val="auto"/>
                    </w:rPr>
                    <w:t>距离</w:t>
                  </w:r>
                  <w:r>
                    <w:rPr>
                      <w:rFonts w:hint="eastAsia"/>
                      <w:color w:val="auto"/>
                      <w:lang w:eastAsia="zh-CN"/>
                    </w:rPr>
                    <w:t>厂区边界</w:t>
                  </w:r>
                  <w:r>
                    <w:rPr>
                      <w:rFonts w:hint="default"/>
                      <w:color w:val="auto"/>
                    </w:rPr>
                    <w:t>（m）</w:t>
                  </w:r>
                </w:p>
              </w:tc>
              <w:tc>
                <w:tcPr>
                  <w:tcW w:w="448" w:type="pct"/>
                  <w:noWrap w:val="0"/>
                  <w:vAlign w:val="center"/>
                </w:tcPr>
                <w:p>
                  <w:pPr>
                    <w:widowControl/>
                    <w:spacing w:line="240" w:lineRule="auto"/>
                    <w:jc w:val="center"/>
                    <w:rPr>
                      <w:rFonts w:hint="default"/>
                      <w:color w:val="auto"/>
                    </w:rPr>
                  </w:pPr>
                  <w:r>
                    <w:rPr>
                      <w:rFonts w:hint="default"/>
                      <w:color w:val="auto"/>
                    </w:rPr>
                    <w:t>人数</w:t>
                  </w:r>
                </w:p>
              </w:tc>
              <w:tc>
                <w:tcPr>
                  <w:tcW w:w="351" w:type="pct"/>
                  <w:noWrap w:val="0"/>
                  <w:vAlign w:val="center"/>
                </w:tcPr>
                <w:p>
                  <w:pPr>
                    <w:spacing w:line="240" w:lineRule="auto"/>
                    <w:jc w:val="center"/>
                    <w:rPr>
                      <w:rFonts w:hint="default"/>
                      <w:color w:val="auto"/>
                    </w:rPr>
                  </w:pPr>
                  <w:r>
                    <w:rPr>
                      <w:rFonts w:hint="default"/>
                      <w:color w:val="auto"/>
                    </w:rPr>
                    <w:t>功能</w:t>
                  </w:r>
                </w:p>
              </w:tc>
              <w:tc>
                <w:tcPr>
                  <w:tcW w:w="1155" w:type="pct"/>
                  <w:noWrap w:val="0"/>
                  <w:vAlign w:val="center"/>
                </w:tcPr>
                <w:p>
                  <w:pPr>
                    <w:spacing w:line="240" w:lineRule="auto"/>
                    <w:jc w:val="center"/>
                    <w:rPr>
                      <w:rFonts w:hint="default"/>
                      <w:color w:val="auto"/>
                    </w:rPr>
                  </w:pPr>
                  <w:r>
                    <w:rPr>
                      <w:rFonts w:hint="default"/>
                      <w:color w:val="auto"/>
                    </w:rPr>
                    <w:t>环境敏感因子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363" w:type="pct"/>
                  <w:noWrap w:val="0"/>
                  <w:vAlign w:val="center"/>
                </w:tcPr>
                <w:p>
                  <w:pPr>
                    <w:spacing w:line="320" w:lineRule="exact"/>
                    <w:jc w:val="center"/>
                    <w:rPr>
                      <w:rFonts w:hint="default"/>
                      <w:color w:val="auto"/>
                      <w:lang w:eastAsia="zh-CN"/>
                    </w:rPr>
                  </w:pPr>
                  <w:r>
                    <w:rPr>
                      <w:rFonts w:hint="default"/>
                      <w:color w:val="auto"/>
                    </w:rPr>
                    <w:t>大气环</w:t>
                  </w:r>
                  <w:r>
                    <w:rPr>
                      <w:rFonts w:hint="default"/>
                      <w:color w:val="auto"/>
                      <w:lang w:eastAsia="zh-CN"/>
                    </w:rPr>
                    <w:t>境</w:t>
                  </w:r>
                </w:p>
                <w:p>
                  <w:pPr>
                    <w:spacing w:line="320" w:lineRule="exact"/>
                    <w:jc w:val="center"/>
                    <w:rPr>
                      <w:rFonts w:hint="eastAsia"/>
                      <w:color w:val="auto"/>
                      <w:lang w:eastAsia="zh-CN"/>
                    </w:rPr>
                  </w:pPr>
                </w:p>
              </w:tc>
              <w:tc>
                <w:tcPr>
                  <w:tcW w:w="780" w:type="pct"/>
                  <w:noWrap w:val="0"/>
                  <w:vAlign w:val="center"/>
                </w:tcPr>
                <w:p>
                  <w:pPr>
                    <w:spacing w:line="320" w:lineRule="exact"/>
                    <w:jc w:val="center"/>
                    <w:rPr>
                      <w:rFonts w:hint="default"/>
                      <w:color w:val="auto"/>
                      <w:lang w:eastAsia="zh-CN"/>
                    </w:rPr>
                  </w:pPr>
                  <w:r>
                    <w:rPr>
                      <w:rFonts w:hint="eastAsia"/>
                      <w:color w:val="auto"/>
                      <w:lang w:eastAsia="zh-CN"/>
                    </w:rPr>
                    <w:t>凤凰上镜小区</w:t>
                  </w:r>
                </w:p>
              </w:tc>
              <w:tc>
                <w:tcPr>
                  <w:tcW w:w="950" w:type="pct"/>
                  <w:noWrap w:val="0"/>
                  <w:vAlign w:val="center"/>
                </w:tcPr>
                <w:p>
                  <w:pPr>
                    <w:spacing w:line="300" w:lineRule="exact"/>
                    <w:ind w:left="-107" w:leftChars="-51"/>
                    <w:jc w:val="center"/>
                    <w:rPr>
                      <w:rFonts w:hint="default"/>
                      <w:color w:val="auto"/>
                    </w:rPr>
                  </w:pPr>
                  <w:r>
                    <w:rPr>
                      <w:rFonts w:hint="default"/>
                      <w:color w:val="auto"/>
                    </w:rPr>
                    <w:t>107.5435151, 35.2946199</w:t>
                  </w:r>
                </w:p>
              </w:tc>
              <w:tc>
                <w:tcPr>
                  <w:tcW w:w="432" w:type="pct"/>
                  <w:noWrap w:val="0"/>
                  <w:vAlign w:val="center"/>
                </w:tcPr>
                <w:p>
                  <w:pPr>
                    <w:spacing w:line="320" w:lineRule="exact"/>
                    <w:jc w:val="center"/>
                    <w:rPr>
                      <w:rFonts w:hint="eastAsia"/>
                      <w:color w:val="auto"/>
                      <w:lang w:eastAsia="zh-CN"/>
                    </w:rPr>
                  </w:pPr>
                  <w:r>
                    <w:rPr>
                      <w:rFonts w:hint="eastAsia"/>
                      <w:color w:val="auto"/>
                      <w:lang w:val="en-US" w:eastAsia="zh-CN"/>
                    </w:rPr>
                    <w:t>桥梁东南侧</w:t>
                  </w:r>
                </w:p>
              </w:tc>
              <w:tc>
                <w:tcPr>
                  <w:tcW w:w="519" w:type="pct"/>
                  <w:noWrap w:val="0"/>
                  <w:vAlign w:val="center"/>
                </w:tcPr>
                <w:p>
                  <w:pPr>
                    <w:spacing w:line="320" w:lineRule="exact"/>
                    <w:jc w:val="center"/>
                    <w:rPr>
                      <w:rFonts w:hint="default"/>
                      <w:color w:val="auto"/>
                      <w:lang w:val="en-US" w:eastAsia="zh-CN"/>
                    </w:rPr>
                  </w:pPr>
                  <w:r>
                    <w:rPr>
                      <w:rFonts w:hint="eastAsia"/>
                      <w:color w:val="auto"/>
                      <w:lang w:val="en-US" w:eastAsia="zh-CN"/>
                    </w:rPr>
                    <w:t>40</w:t>
                  </w:r>
                </w:p>
              </w:tc>
              <w:tc>
                <w:tcPr>
                  <w:tcW w:w="448" w:type="pct"/>
                  <w:noWrap w:val="0"/>
                  <w:vAlign w:val="center"/>
                </w:tcPr>
                <w:p>
                  <w:pPr>
                    <w:spacing w:line="320" w:lineRule="exact"/>
                    <w:jc w:val="center"/>
                    <w:rPr>
                      <w:rFonts w:hint="default"/>
                      <w:color w:val="auto"/>
                      <w:lang w:eastAsia="zh-CN"/>
                    </w:rPr>
                  </w:pPr>
                  <w:r>
                    <w:rPr>
                      <w:rFonts w:hint="eastAsia"/>
                      <w:color w:val="auto"/>
                      <w:lang w:val="en-US" w:eastAsia="zh-CN"/>
                    </w:rPr>
                    <w:t>约500</w:t>
                  </w:r>
                  <w:r>
                    <w:rPr>
                      <w:rFonts w:hint="default"/>
                      <w:color w:val="auto"/>
                      <w:lang w:val="en-US" w:eastAsia="zh-CN"/>
                    </w:rPr>
                    <w:t>户</w:t>
                  </w:r>
                </w:p>
              </w:tc>
              <w:tc>
                <w:tcPr>
                  <w:tcW w:w="351" w:type="pct"/>
                  <w:noWrap w:val="0"/>
                  <w:vAlign w:val="center"/>
                </w:tcPr>
                <w:p>
                  <w:pPr>
                    <w:spacing w:line="320" w:lineRule="exact"/>
                    <w:jc w:val="center"/>
                    <w:rPr>
                      <w:rFonts w:hint="eastAsia"/>
                      <w:color w:val="auto"/>
                      <w:lang w:val="en-US" w:eastAsia="zh-CN"/>
                    </w:rPr>
                  </w:pPr>
                  <w:r>
                    <w:rPr>
                      <w:rFonts w:hint="eastAsia"/>
                      <w:color w:val="auto"/>
                      <w:lang w:val="en-US" w:eastAsia="zh-CN"/>
                    </w:rPr>
                    <w:t>居住区</w:t>
                  </w:r>
                </w:p>
              </w:tc>
              <w:tc>
                <w:tcPr>
                  <w:tcW w:w="1155" w:type="pct"/>
                  <w:noWrap w:val="0"/>
                  <w:vAlign w:val="center"/>
                </w:tcPr>
                <w:p>
                  <w:pPr>
                    <w:adjustRightInd w:val="0"/>
                    <w:snapToGrid w:val="0"/>
                    <w:jc w:val="center"/>
                    <w:rPr>
                      <w:rFonts w:hint="default"/>
                      <w:color w:val="auto"/>
                    </w:rPr>
                  </w:pPr>
                  <w:r>
                    <w:rPr>
                      <w:rFonts w:hint="default"/>
                      <w:color w:val="auto"/>
                      <w:lang w:val="en-US" w:eastAsia="zh-CN"/>
                    </w:rPr>
                    <w:t>《环境空气质量标准》（GB3095-2012）及2018年修改单二级标准及2018年修改单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 w:hRule="atLeast"/>
              </w:trPr>
              <w:tc>
                <w:tcPr>
                  <w:tcW w:w="363" w:type="pct"/>
                  <w:noWrap w:val="0"/>
                  <w:vAlign w:val="center"/>
                </w:tcPr>
                <w:p>
                  <w:pPr>
                    <w:spacing w:line="320" w:lineRule="exact"/>
                    <w:jc w:val="center"/>
                    <w:rPr>
                      <w:rFonts w:hint="eastAsia"/>
                      <w:color w:val="auto"/>
                      <w:lang w:eastAsia="zh-CN"/>
                    </w:rPr>
                  </w:pPr>
                  <w:r>
                    <w:rPr>
                      <w:rFonts w:hint="eastAsia"/>
                      <w:color w:val="auto"/>
                      <w:lang w:eastAsia="zh-CN"/>
                    </w:rPr>
                    <w:t>声环境</w:t>
                  </w:r>
                </w:p>
              </w:tc>
              <w:tc>
                <w:tcPr>
                  <w:tcW w:w="780" w:type="pct"/>
                  <w:noWrap w:val="0"/>
                  <w:vAlign w:val="center"/>
                </w:tcPr>
                <w:p>
                  <w:pPr>
                    <w:spacing w:line="320" w:lineRule="exact"/>
                    <w:jc w:val="center"/>
                    <w:rPr>
                      <w:rFonts w:hint="default"/>
                      <w:color w:val="auto"/>
                      <w:lang w:eastAsia="zh-CN"/>
                    </w:rPr>
                  </w:pPr>
                  <w:r>
                    <w:rPr>
                      <w:rFonts w:hint="eastAsia"/>
                      <w:color w:val="auto"/>
                      <w:lang w:eastAsia="zh-CN"/>
                    </w:rPr>
                    <w:t>凤凰上镜小区</w:t>
                  </w:r>
                </w:p>
              </w:tc>
              <w:tc>
                <w:tcPr>
                  <w:tcW w:w="950" w:type="pct"/>
                  <w:noWrap w:val="0"/>
                  <w:vAlign w:val="center"/>
                </w:tcPr>
                <w:p>
                  <w:pPr>
                    <w:spacing w:line="300" w:lineRule="exact"/>
                    <w:ind w:left="-107" w:leftChars="-51"/>
                    <w:jc w:val="center"/>
                    <w:rPr>
                      <w:rFonts w:hint="default"/>
                      <w:color w:val="auto"/>
                      <w:lang w:eastAsia="zh-CN"/>
                    </w:rPr>
                  </w:pPr>
                  <w:r>
                    <w:rPr>
                      <w:rFonts w:hint="default"/>
                      <w:color w:val="auto"/>
                    </w:rPr>
                    <w:t>107.5435151, 35.2946199</w:t>
                  </w:r>
                </w:p>
              </w:tc>
              <w:tc>
                <w:tcPr>
                  <w:tcW w:w="432" w:type="pct"/>
                  <w:noWrap w:val="0"/>
                  <w:vAlign w:val="center"/>
                </w:tcPr>
                <w:p>
                  <w:pPr>
                    <w:spacing w:line="320" w:lineRule="exact"/>
                    <w:jc w:val="center"/>
                    <w:rPr>
                      <w:rFonts w:hint="default"/>
                      <w:color w:val="auto"/>
                      <w:lang w:val="en-US" w:eastAsia="zh-CN"/>
                    </w:rPr>
                  </w:pPr>
                  <w:r>
                    <w:rPr>
                      <w:rFonts w:hint="eastAsia"/>
                      <w:color w:val="auto"/>
                      <w:lang w:val="en-US" w:eastAsia="zh-CN"/>
                    </w:rPr>
                    <w:t>桥梁东南侧</w:t>
                  </w:r>
                </w:p>
              </w:tc>
              <w:tc>
                <w:tcPr>
                  <w:tcW w:w="519" w:type="pct"/>
                  <w:noWrap w:val="0"/>
                  <w:vAlign w:val="center"/>
                </w:tcPr>
                <w:p>
                  <w:pPr>
                    <w:spacing w:line="320" w:lineRule="exact"/>
                    <w:jc w:val="center"/>
                    <w:rPr>
                      <w:rFonts w:hint="default"/>
                      <w:color w:val="auto"/>
                      <w:lang w:val="en-US" w:eastAsia="zh-CN"/>
                    </w:rPr>
                  </w:pPr>
                  <w:r>
                    <w:rPr>
                      <w:rFonts w:hint="eastAsia"/>
                      <w:color w:val="auto"/>
                      <w:lang w:val="en-US" w:eastAsia="zh-CN"/>
                    </w:rPr>
                    <w:t>40</w:t>
                  </w:r>
                </w:p>
              </w:tc>
              <w:tc>
                <w:tcPr>
                  <w:tcW w:w="448" w:type="pct"/>
                  <w:noWrap w:val="0"/>
                  <w:vAlign w:val="center"/>
                </w:tcPr>
                <w:p>
                  <w:pPr>
                    <w:spacing w:line="320" w:lineRule="exact"/>
                    <w:jc w:val="center"/>
                    <w:rPr>
                      <w:rFonts w:hint="eastAsia"/>
                      <w:color w:val="auto"/>
                      <w:lang w:val="en-US" w:eastAsia="zh-CN"/>
                    </w:rPr>
                  </w:pPr>
                  <w:r>
                    <w:rPr>
                      <w:rFonts w:hint="eastAsia"/>
                      <w:color w:val="auto"/>
                      <w:lang w:val="en-US" w:eastAsia="zh-CN"/>
                    </w:rPr>
                    <w:t>约500</w:t>
                  </w:r>
                  <w:r>
                    <w:rPr>
                      <w:rFonts w:hint="default"/>
                      <w:color w:val="auto"/>
                      <w:lang w:val="en-US" w:eastAsia="zh-CN"/>
                    </w:rPr>
                    <w:t>户</w:t>
                  </w:r>
                </w:p>
              </w:tc>
              <w:tc>
                <w:tcPr>
                  <w:tcW w:w="351" w:type="pct"/>
                  <w:noWrap w:val="0"/>
                  <w:vAlign w:val="center"/>
                </w:tcPr>
                <w:p>
                  <w:pPr>
                    <w:spacing w:line="320" w:lineRule="exact"/>
                    <w:jc w:val="center"/>
                    <w:rPr>
                      <w:rFonts w:hint="eastAsia"/>
                      <w:color w:val="auto"/>
                      <w:lang w:val="en-US" w:eastAsia="zh-CN"/>
                    </w:rPr>
                  </w:pPr>
                  <w:r>
                    <w:rPr>
                      <w:rFonts w:hint="eastAsia"/>
                      <w:color w:val="auto"/>
                      <w:lang w:val="en-US" w:eastAsia="zh-CN"/>
                    </w:rPr>
                    <w:t>居住区</w:t>
                  </w:r>
                </w:p>
              </w:tc>
              <w:tc>
                <w:tcPr>
                  <w:tcW w:w="1155" w:type="pct"/>
                  <w:noWrap w:val="0"/>
                  <w:vAlign w:val="center"/>
                </w:tcPr>
                <w:p>
                  <w:pPr>
                    <w:spacing w:line="320" w:lineRule="exact"/>
                    <w:jc w:val="center"/>
                    <w:rPr>
                      <w:rFonts w:hint="default"/>
                      <w:color w:val="auto"/>
                      <w:lang w:val="en-US" w:eastAsia="zh-CN"/>
                    </w:rPr>
                  </w:pPr>
                  <w:r>
                    <w:rPr>
                      <w:rFonts w:hint="eastAsia"/>
                      <w:color w:val="auto"/>
                      <w:lang w:val="en-US" w:eastAsia="zh-CN"/>
                    </w:rPr>
                    <w:t>《声环境质量标准》（GB3096-2008）2类标准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 w:hRule="atLeast"/>
              </w:trPr>
              <w:tc>
                <w:tcPr>
                  <w:tcW w:w="363" w:type="pct"/>
                  <w:noWrap w:val="0"/>
                  <w:vAlign w:val="center"/>
                </w:tcPr>
                <w:p>
                  <w:pPr>
                    <w:spacing w:line="320" w:lineRule="exact"/>
                    <w:jc w:val="center"/>
                    <w:rPr>
                      <w:rFonts w:hint="eastAsia"/>
                      <w:color w:val="auto"/>
                      <w:lang w:eastAsia="zh-CN"/>
                    </w:rPr>
                  </w:pPr>
                  <w:r>
                    <w:rPr>
                      <w:rFonts w:hint="eastAsia"/>
                      <w:color w:val="auto"/>
                      <w:lang w:eastAsia="zh-CN"/>
                    </w:rPr>
                    <w:t>地表水</w:t>
                  </w:r>
                </w:p>
              </w:tc>
              <w:tc>
                <w:tcPr>
                  <w:tcW w:w="780" w:type="pct"/>
                  <w:noWrap w:val="0"/>
                  <w:vAlign w:val="center"/>
                </w:tcPr>
                <w:p>
                  <w:pPr>
                    <w:spacing w:line="320" w:lineRule="exact"/>
                    <w:jc w:val="center"/>
                    <w:rPr>
                      <w:rFonts w:hint="default"/>
                      <w:color w:val="auto"/>
                      <w:lang w:eastAsia="zh-CN"/>
                    </w:rPr>
                  </w:pPr>
                  <w:r>
                    <w:rPr>
                      <w:rFonts w:hint="eastAsia"/>
                      <w:color w:val="auto"/>
                      <w:lang w:eastAsia="zh-CN"/>
                    </w:rPr>
                    <w:t>马莲河</w:t>
                  </w:r>
                </w:p>
              </w:tc>
              <w:tc>
                <w:tcPr>
                  <w:tcW w:w="950" w:type="pct"/>
                  <w:noWrap w:val="0"/>
                  <w:vAlign w:val="center"/>
                </w:tcPr>
                <w:p>
                  <w:pPr>
                    <w:spacing w:line="300" w:lineRule="exact"/>
                    <w:ind w:left="-107" w:leftChars="-51"/>
                    <w:jc w:val="center"/>
                    <w:rPr>
                      <w:rFonts w:hint="eastAsia"/>
                      <w:color w:val="auto"/>
                      <w:lang w:val="en-US" w:eastAsia="zh-CN"/>
                    </w:rPr>
                  </w:pPr>
                  <w:r>
                    <w:rPr>
                      <w:rFonts w:hint="eastAsia"/>
                      <w:color w:val="auto"/>
                      <w:lang w:val="en-US" w:eastAsia="zh-CN"/>
                    </w:rPr>
                    <w:t>/</w:t>
                  </w:r>
                </w:p>
              </w:tc>
              <w:tc>
                <w:tcPr>
                  <w:tcW w:w="432" w:type="pct"/>
                  <w:noWrap w:val="0"/>
                  <w:vAlign w:val="center"/>
                </w:tcPr>
                <w:p>
                  <w:pPr>
                    <w:spacing w:line="320" w:lineRule="exact"/>
                    <w:jc w:val="center"/>
                    <w:rPr>
                      <w:rFonts w:hint="default"/>
                      <w:color w:val="auto"/>
                      <w:lang w:val="en-US" w:eastAsia="zh-CN"/>
                    </w:rPr>
                  </w:pPr>
                  <w:r>
                    <w:rPr>
                      <w:rFonts w:hint="eastAsia"/>
                      <w:color w:val="auto"/>
                      <w:lang w:val="en-US" w:eastAsia="zh-CN"/>
                    </w:rPr>
                    <w:t>穿越</w:t>
                  </w:r>
                </w:p>
              </w:tc>
              <w:tc>
                <w:tcPr>
                  <w:tcW w:w="519" w:type="pct"/>
                  <w:noWrap w:val="0"/>
                  <w:vAlign w:val="center"/>
                </w:tcPr>
                <w:p>
                  <w:pPr>
                    <w:spacing w:line="320" w:lineRule="exact"/>
                    <w:jc w:val="center"/>
                    <w:rPr>
                      <w:rFonts w:hint="default"/>
                      <w:color w:val="auto"/>
                      <w:lang w:val="en-US" w:eastAsia="zh-CN"/>
                    </w:rPr>
                  </w:pPr>
                  <w:r>
                    <w:rPr>
                      <w:rFonts w:hint="eastAsia"/>
                      <w:color w:val="auto"/>
                      <w:lang w:val="en-US" w:eastAsia="zh-CN"/>
                    </w:rPr>
                    <w:t>/</w:t>
                  </w:r>
                </w:p>
              </w:tc>
              <w:tc>
                <w:tcPr>
                  <w:tcW w:w="448" w:type="pct"/>
                  <w:noWrap w:val="0"/>
                  <w:vAlign w:val="center"/>
                </w:tcPr>
                <w:p>
                  <w:pPr>
                    <w:spacing w:line="320" w:lineRule="exact"/>
                    <w:jc w:val="center"/>
                    <w:rPr>
                      <w:rFonts w:hint="default"/>
                      <w:color w:val="auto"/>
                      <w:lang w:val="en-US" w:eastAsia="zh-CN"/>
                    </w:rPr>
                  </w:pPr>
                  <w:r>
                    <w:rPr>
                      <w:rFonts w:hint="eastAsia"/>
                      <w:color w:val="auto"/>
                      <w:lang w:val="en-US" w:eastAsia="zh-CN"/>
                    </w:rPr>
                    <w:t>/</w:t>
                  </w:r>
                </w:p>
              </w:tc>
              <w:tc>
                <w:tcPr>
                  <w:tcW w:w="351" w:type="pct"/>
                  <w:noWrap w:val="0"/>
                  <w:vAlign w:val="center"/>
                </w:tcPr>
                <w:p>
                  <w:pPr>
                    <w:spacing w:line="320" w:lineRule="exact"/>
                    <w:jc w:val="center"/>
                    <w:rPr>
                      <w:rFonts w:hint="default"/>
                      <w:color w:val="auto"/>
                      <w:lang w:val="en-US" w:eastAsia="zh-CN"/>
                    </w:rPr>
                  </w:pPr>
                  <w:r>
                    <w:rPr>
                      <w:rFonts w:hint="eastAsia"/>
                      <w:color w:val="auto"/>
                      <w:lang w:val="en-US" w:eastAsia="zh-CN"/>
                    </w:rPr>
                    <w:t>/</w:t>
                  </w:r>
                </w:p>
              </w:tc>
              <w:tc>
                <w:tcPr>
                  <w:tcW w:w="1155" w:type="pct"/>
                  <w:noWrap w:val="0"/>
                  <w:vAlign w:val="center"/>
                </w:tcPr>
                <w:p>
                  <w:pPr>
                    <w:spacing w:line="320" w:lineRule="exact"/>
                    <w:jc w:val="center"/>
                    <w:rPr>
                      <w:rFonts w:hint="eastAsia"/>
                      <w:color w:val="auto"/>
                      <w:lang w:val="en-US" w:eastAsia="zh-CN"/>
                    </w:rPr>
                  </w:pPr>
                  <w:r>
                    <w:rPr>
                      <w:rFonts w:hint="default"/>
                      <w:color w:val="auto"/>
                      <w:lang w:val="en-US" w:eastAsia="zh-CN"/>
                    </w:rPr>
                    <w:t>《地表水环境质量标准》（GB3838-2002）中Ⅳ类标准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95" w:hRule="atLeast"/>
              </w:trPr>
              <w:tc>
                <w:tcPr>
                  <w:tcW w:w="363" w:type="pct"/>
                  <w:noWrap w:val="0"/>
                  <w:vAlign w:val="center"/>
                </w:tcPr>
                <w:p>
                  <w:pPr>
                    <w:spacing w:line="320" w:lineRule="exact"/>
                    <w:jc w:val="center"/>
                    <w:rPr>
                      <w:rFonts w:hint="eastAsia"/>
                      <w:color w:val="auto"/>
                      <w:lang w:eastAsia="zh-CN"/>
                    </w:rPr>
                  </w:pPr>
                  <w:r>
                    <w:rPr>
                      <w:rFonts w:hint="eastAsia" w:ascii="Times New Roman" w:hAnsi="Times New Roman" w:eastAsia="宋体"/>
                      <w:color w:val="FF0000"/>
                      <w:sz w:val="21"/>
                      <w:szCs w:val="21"/>
                    </w:rPr>
                    <w:t>生态系统</w:t>
                  </w:r>
                </w:p>
              </w:tc>
              <w:tc>
                <w:tcPr>
                  <w:tcW w:w="4636" w:type="pct"/>
                  <w:gridSpan w:val="7"/>
                  <w:noWrap w:val="0"/>
                  <w:vAlign w:val="center"/>
                </w:tcPr>
                <w:p>
                  <w:pPr>
                    <w:spacing w:line="320" w:lineRule="exact"/>
                    <w:jc w:val="center"/>
                    <w:rPr>
                      <w:rFonts w:hint="default"/>
                      <w:color w:val="auto"/>
                      <w:lang w:val="en-US" w:eastAsia="zh-CN"/>
                    </w:rPr>
                  </w:pPr>
                  <w:r>
                    <w:rPr>
                      <w:rFonts w:hint="eastAsia"/>
                      <w:color w:val="FF0000"/>
                      <w:sz w:val="21"/>
                      <w:szCs w:val="21"/>
                      <w:lang w:eastAsia="zh-CN"/>
                    </w:rPr>
                    <w:t>桥梁两侧沿岸</w:t>
                  </w:r>
                  <w:r>
                    <w:rPr>
                      <w:rFonts w:hint="eastAsia" w:ascii="Times New Roman" w:hAnsi="Times New Roman" w:eastAsia="宋体"/>
                      <w:color w:val="FF0000"/>
                      <w:sz w:val="21"/>
                      <w:szCs w:val="21"/>
                    </w:rPr>
                    <w:t>植被</w:t>
                  </w:r>
                  <w:r>
                    <w:rPr>
                      <w:rFonts w:hint="eastAsia"/>
                      <w:color w:val="FF0000"/>
                      <w:sz w:val="21"/>
                      <w:szCs w:val="21"/>
                      <w:lang w:eastAsia="zh-CN"/>
                    </w:rPr>
                    <w:t>，马莲河水生生物</w:t>
                  </w:r>
                </w:p>
              </w:tc>
            </w:tr>
          </w:tbl>
          <w:p>
            <w:pPr>
              <w:adjustRightInd w:val="0"/>
              <w:snapToGrid w:val="0"/>
              <w:rPr>
                <w:color w:val="auto"/>
              </w:rPr>
            </w:pPr>
          </w:p>
          <w:p>
            <w:pPr>
              <w:pStyle w:val="7"/>
              <w:rPr>
                <w:color w:val="auto"/>
              </w:rPr>
            </w:pPr>
          </w:p>
          <w:p>
            <w:pPr>
              <w:rPr>
                <w:color w:val="auto"/>
              </w:rPr>
            </w:pPr>
          </w:p>
          <w:p>
            <w:pPr>
              <w:pStyle w:val="7"/>
              <w:rPr>
                <w:color w:val="auto"/>
              </w:rPr>
            </w:pPr>
          </w:p>
          <w:p>
            <w:pPr>
              <w:rPr>
                <w:color w:val="auto"/>
              </w:rPr>
            </w:pPr>
          </w:p>
          <w:p>
            <w:pPr>
              <w:pStyle w:val="7"/>
              <w:ind w:left="0" w:leftChars="0" w:firstLine="0" w:firstLineChars="0"/>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2" w:type="dxa"/>
            <w:vAlign w:val="center"/>
          </w:tcPr>
          <w:p>
            <w:pPr>
              <w:adjustRightInd w:val="0"/>
              <w:snapToGrid w:val="0"/>
              <w:jc w:val="center"/>
              <w:rPr>
                <w:color w:val="auto"/>
                <w:kern w:val="0"/>
                <w:sz w:val="24"/>
              </w:rPr>
            </w:pPr>
            <w:r>
              <w:rPr>
                <w:color w:val="auto"/>
                <w:kern w:val="0"/>
                <w:sz w:val="24"/>
              </w:rPr>
              <w:t>评价</w:t>
            </w:r>
          </w:p>
          <w:p>
            <w:pPr>
              <w:adjustRightInd w:val="0"/>
              <w:snapToGrid w:val="0"/>
              <w:jc w:val="center"/>
              <w:rPr>
                <w:color w:val="auto"/>
                <w:kern w:val="0"/>
                <w:sz w:val="24"/>
              </w:rPr>
            </w:pPr>
            <w:r>
              <w:rPr>
                <w:color w:val="auto"/>
                <w:kern w:val="0"/>
                <w:sz w:val="24"/>
              </w:rPr>
              <w:t>标准</w:t>
            </w:r>
          </w:p>
        </w:tc>
        <w:tc>
          <w:tcPr>
            <w:tcW w:w="8070" w:type="dxa"/>
            <w:vAlign w:val="center"/>
          </w:tcPr>
          <w:p>
            <w:pPr>
              <w:spacing w:line="360" w:lineRule="auto"/>
              <w:rPr>
                <w:b/>
                <w:bCs/>
                <w:color w:val="auto"/>
                <w:kern w:val="0"/>
                <w:sz w:val="24"/>
              </w:rPr>
            </w:pPr>
            <w:r>
              <w:rPr>
                <w:b/>
                <w:bCs/>
                <w:color w:val="auto"/>
                <w:kern w:val="0"/>
                <w:sz w:val="24"/>
              </w:rPr>
              <w:t>1、质量标准</w:t>
            </w:r>
          </w:p>
          <w:p>
            <w:pPr>
              <w:spacing w:line="360" w:lineRule="auto"/>
              <w:rPr>
                <w:color w:val="auto"/>
                <w:kern w:val="0"/>
                <w:sz w:val="24"/>
              </w:rPr>
            </w:pPr>
            <w:r>
              <w:rPr>
                <w:color w:val="auto"/>
                <w:kern w:val="0"/>
                <w:sz w:val="24"/>
              </w:rPr>
              <w:t>1.环境空气质量标准</w:t>
            </w:r>
          </w:p>
          <w:p>
            <w:pPr>
              <w:spacing w:line="360" w:lineRule="auto"/>
              <w:ind w:firstLine="480" w:firstLineChars="200"/>
              <w:rPr>
                <w:color w:val="auto"/>
                <w:kern w:val="0"/>
                <w:sz w:val="24"/>
              </w:rPr>
            </w:pPr>
            <w:r>
              <w:rPr>
                <w:color w:val="auto"/>
                <w:kern w:val="0"/>
                <w:sz w:val="24"/>
              </w:rPr>
              <w:t>环境空气质量现状执行《环境空气质量标准》（GB3095-2012）中的二级标准；各项污染物浓度限值见表3-</w:t>
            </w:r>
            <w:r>
              <w:rPr>
                <w:rFonts w:hint="eastAsia"/>
                <w:color w:val="auto"/>
                <w:kern w:val="0"/>
                <w:sz w:val="24"/>
                <w:lang w:val="en-US" w:eastAsia="zh-CN"/>
              </w:rPr>
              <w:t>5</w:t>
            </w:r>
            <w:r>
              <w:rPr>
                <w:color w:val="auto"/>
                <w:kern w:val="0"/>
                <w:sz w:val="24"/>
              </w:rPr>
              <w:t>。</w:t>
            </w:r>
          </w:p>
          <w:p>
            <w:pPr>
              <w:adjustRightInd w:val="0"/>
              <w:snapToGrid w:val="0"/>
              <w:jc w:val="center"/>
              <w:rPr>
                <w:b/>
                <w:color w:val="auto"/>
                <w:szCs w:val="21"/>
              </w:rPr>
            </w:pPr>
            <w:r>
              <w:rPr>
                <w:b/>
                <w:color w:val="auto"/>
                <w:szCs w:val="21"/>
              </w:rPr>
              <w:t>表3-</w:t>
            </w:r>
            <w:r>
              <w:rPr>
                <w:rFonts w:hint="eastAsia"/>
                <w:b/>
                <w:color w:val="auto"/>
                <w:szCs w:val="21"/>
                <w:lang w:val="en-US" w:eastAsia="zh-CN"/>
              </w:rPr>
              <w:t>5</w:t>
            </w:r>
            <w:r>
              <w:rPr>
                <w:b/>
                <w:color w:val="auto"/>
                <w:szCs w:val="21"/>
              </w:rPr>
              <w:t xml:space="preserve">   环境空气二级标准污染物浓度限值</w:t>
            </w:r>
          </w:p>
          <w:tbl>
            <w:tblPr>
              <w:tblStyle w:val="26"/>
              <w:tblW w:w="7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6"/>
              <w:gridCol w:w="2294"/>
              <w:gridCol w:w="2054"/>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6" w:type="dxa"/>
                  <w:vAlign w:val="center"/>
                </w:tcPr>
                <w:p>
                  <w:pPr>
                    <w:jc w:val="center"/>
                    <w:rPr>
                      <w:color w:val="auto"/>
                      <w:szCs w:val="21"/>
                    </w:rPr>
                  </w:pPr>
                  <w:r>
                    <w:rPr>
                      <w:color w:val="auto"/>
                      <w:szCs w:val="21"/>
                    </w:rPr>
                    <w:t>污染物</w:t>
                  </w:r>
                </w:p>
              </w:tc>
              <w:tc>
                <w:tcPr>
                  <w:tcW w:w="2294" w:type="dxa"/>
                  <w:vAlign w:val="center"/>
                </w:tcPr>
                <w:p>
                  <w:pPr>
                    <w:jc w:val="center"/>
                    <w:rPr>
                      <w:color w:val="auto"/>
                      <w:szCs w:val="21"/>
                    </w:rPr>
                  </w:pPr>
                  <w:r>
                    <w:rPr>
                      <w:color w:val="auto"/>
                      <w:szCs w:val="21"/>
                    </w:rPr>
                    <w:t>取值时间</w:t>
                  </w:r>
                </w:p>
              </w:tc>
              <w:tc>
                <w:tcPr>
                  <w:tcW w:w="2054" w:type="dxa"/>
                  <w:vAlign w:val="center"/>
                </w:tcPr>
                <w:p>
                  <w:pPr>
                    <w:jc w:val="center"/>
                    <w:rPr>
                      <w:color w:val="auto"/>
                      <w:szCs w:val="21"/>
                    </w:rPr>
                  </w:pPr>
                  <w:r>
                    <w:rPr>
                      <w:color w:val="auto"/>
                      <w:szCs w:val="21"/>
                    </w:rPr>
                    <w:t>浓度限值</w:t>
                  </w:r>
                </w:p>
              </w:tc>
              <w:tc>
                <w:tcPr>
                  <w:tcW w:w="1450" w:type="dxa"/>
                  <w:vAlign w:val="center"/>
                </w:tcPr>
                <w:p>
                  <w:pPr>
                    <w:jc w:val="center"/>
                    <w:rPr>
                      <w:color w:val="auto"/>
                      <w:szCs w:val="21"/>
                    </w:rPr>
                  </w:pPr>
                  <w:r>
                    <w:rPr>
                      <w:color w:val="auto"/>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6" w:type="dxa"/>
                  <w:vMerge w:val="restart"/>
                  <w:vAlign w:val="center"/>
                </w:tcPr>
                <w:p>
                  <w:pPr>
                    <w:jc w:val="center"/>
                    <w:rPr>
                      <w:color w:val="auto"/>
                      <w:szCs w:val="21"/>
                    </w:rPr>
                  </w:pPr>
                  <w:r>
                    <w:rPr>
                      <w:color w:val="auto"/>
                      <w:szCs w:val="21"/>
                    </w:rPr>
                    <w:t>SO</w:t>
                  </w:r>
                  <w:r>
                    <w:rPr>
                      <w:color w:val="auto"/>
                      <w:szCs w:val="21"/>
                      <w:vertAlign w:val="subscript"/>
                    </w:rPr>
                    <w:t>2</w:t>
                  </w:r>
                </w:p>
              </w:tc>
              <w:tc>
                <w:tcPr>
                  <w:tcW w:w="2294" w:type="dxa"/>
                  <w:vAlign w:val="center"/>
                </w:tcPr>
                <w:p>
                  <w:pPr>
                    <w:jc w:val="center"/>
                    <w:rPr>
                      <w:color w:val="auto"/>
                      <w:szCs w:val="21"/>
                    </w:rPr>
                  </w:pPr>
                  <w:r>
                    <w:rPr>
                      <w:color w:val="auto"/>
                      <w:szCs w:val="21"/>
                    </w:rPr>
                    <w:t>年平均</w:t>
                  </w:r>
                </w:p>
              </w:tc>
              <w:tc>
                <w:tcPr>
                  <w:tcW w:w="2054" w:type="dxa"/>
                  <w:vAlign w:val="center"/>
                </w:tcPr>
                <w:p>
                  <w:pPr>
                    <w:jc w:val="center"/>
                    <w:rPr>
                      <w:color w:val="auto"/>
                      <w:szCs w:val="21"/>
                    </w:rPr>
                  </w:pPr>
                  <w:r>
                    <w:rPr>
                      <w:color w:val="auto"/>
                      <w:szCs w:val="21"/>
                    </w:rPr>
                    <w:t>60</w:t>
                  </w:r>
                </w:p>
              </w:tc>
              <w:tc>
                <w:tcPr>
                  <w:tcW w:w="1450" w:type="dxa"/>
                  <w:vMerge w:val="restart"/>
                  <w:vAlign w:val="center"/>
                </w:tcPr>
                <w:p>
                  <w:pPr>
                    <w:jc w:val="center"/>
                    <w:rPr>
                      <w:color w:val="auto"/>
                      <w:szCs w:val="21"/>
                    </w:rPr>
                  </w:pPr>
                  <w:r>
                    <w:rPr>
                      <w:color w:val="auto"/>
                      <w:szCs w:val="21"/>
                    </w:rPr>
                    <w:t>ug/m³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6" w:type="dxa"/>
                  <w:vMerge w:val="continue"/>
                  <w:vAlign w:val="center"/>
                </w:tcPr>
                <w:p>
                  <w:pPr>
                    <w:jc w:val="center"/>
                    <w:rPr>
                      <w:color w:val="auto"/>
                      <w:szCs w:val="21"/>
                    </w:rPr>
                  </w:pPr>
                </w:p>
              </w:tc>
              <w:tc>
                <w:tcPr>
                  <w:tcW w:w="2294" w:type="dxa"/>
                  <w:vAlign w:val="center"/>
                </w:tcPr>
                <w:p>
                  <w:pPr>
                    <w:jc w:val="center"/>
                    <w:rPr>
                      <w:color w:val="auto"/>
                      <w:szCs w:val="21"/>
                    </w:rPr>
                  </w:pPr>
                  <w:r>
                    <w:rPr>
                      <w:color w:val="auto"/>
                      <w:szCs w:val="21"/>
                    </w:rPr>
                    <w:t>24小时平均</w:t>
                  </w:r>
                </w:p>
              </w:tc>
              <w:tc>
                <w:tcPr>
                  <w:tcW w:w="2054" w:type="dxa"/>
                  <w:vAlign w:val="center"/>
                </w:tcPr>
                <w:p>
                  <w:pPr>
                    <w:jc w:val="center"/>
                    <w:rPr>
                      <w:color w:val="auto"/>
                      <w:szCs w:val="21"/>
                    </w:rPr>
                  </w:pPr>
                  <w:r>
                    <w:rPr>
                      <w:color w:val="auto"/>
                      <w:szCs w:val="21"/>
                    </w:rPr>
                    <w:t>150</w:t>
                  </w:r>
                </w:p>
              </w:tc>
              <w:tc>
                <w:tcPr>
                  <w:tcW w:w="1450" w:type="dxa"/>
                  <w:vMerge w:val="continue"/>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6" w:type="dxa"/>
                  <w:vMerge w:val="continue"/>
                  <w:vAlign w:val="center"/>
                </w:tcPr>
                <w:p>
                  <w:pPr>
                    <w:jc w:val="center"/>
                    <w:rPr>
                      <w:color w:val="auto"/>
                      <w:szCs w:val="21"/>
                    </w:rPr>
                  </w:pPr>
                </w:p>
              </w:tc>
              <w:tc>
                <w:tcPr>
                  <w:tcW w:w="2294" w:type="dxa"/>
                  <w:vAlign w:val="center"/>
                </w:tcPr>
                <w:p>
                  <w:pPr>
                    <w:jc w:val="center"/>
                    <w:rPr>
                      <w:color w:val="auto"/>
                      <w:szCs w:val="21"/>
                    </w:rPr>
                  </w:pPr>
                  <w:r>
                    <w:rPr>
                      <w:color w:val="auto"/>
                      <w:szCs w:val="21"/>
                    </w:rPr>
                    <w:t>1小时平均</w:t>
                  </w:r>
                </w:p>
              </w:tc>
              <w:tc>
                <w:tcPr>
                  <w:tcW w:w="2054" w:type="dxa"/>
                  <w:vAlign w:val="center"/>
                </w:tcPr>
                <w:p>
                  <w:pPr>
                    <w:jc w:val="center"/>
                    <w:rPr>
                      <w:color w:val="auto"/>
                      <w:szCs w:val="21"/>
                    </w:rPr>
                  </w:pPr>
                  <w:r>
                    <w:rPr>
                      <w:color w:val="auto"/>
                      <w:szCs w:val="21"/>
                    </w:rPr>
                    <w:t>500</w:t>
                  </w:r>
                </w:p>
              </w:tc>
              <w:tc>
                <w:tcPr>
                  <w:tcW w:w="1450" w:type="dxa"/>
                  <w:vMerge w:val="continue"/>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6" w:type="dxa"/>
                  <w:vMerge w:val="restart"/>
                  <w:vAlign w:val="center"/>
                </w:tcPr>
                <w:p>
                  <w:pPr>
                    <w:jc w:val="center"/>
                    <w:rPr>
                      <w:color w:val="auto"/>
                      <w:szCs w:val="21"/>
                    </w:rPr>
                  </w:pPr>
                  <w:r>
                    <w:rPr>
                      <w:color w:val="auto"/>
                      <w:szCs w:val="21"/>
                    </w:rPr>
                    <w:t>PM</w:t>
                  </w:r>
                  <w:r>
                    <w:rPr>
                      <w:color w:val="auto"/>
                      <w:szCs w:val="21"/>
                      <w:vertAlign w:val="subscript"/>
                    </w:rPr>
                    <w:t>10</w:t>
                  </w:r>
                </w:p>
              </w:tc>
              <w:tc>
                <w:tcPr>
                  <w:tcW w:w="2294" w:type="dxa"/>
                  <w:vAlign w:val="center"/>
                </w:tcPr>
                <w:p>
                  <w:pPr>
                    <w:jc w:val="center"/>
                    <w:rPr>
                      <w:color w:val="auto"/>
                      <w:szCs w:val="21"/>
                    </w:rPr>
                  </w:pPr>
                  <w:r>
                    <w:rPr>
                      <w:color w:val="auto"/>
                      <w:szCs w:val="21"/>
                    </w:rPr>
                    <w:t>年平均</w:t>
                  </w:r>
                </w:p>
              </w:tc>
              <w:tc>
                <w:tcPr>
                  <w:tcW w:w="2054" w:type="dxa"/>
                  <w:vAlign w:val="center"/>
                </w:tcPr>
                <w:p>
                  <w:pPr>
                    <w:jc w:val="center"/>
                    <w:rPr>
                      <w:color w:val="auto"/>
                      <w:szCs w:val="21"/>
                    </w:rPr>
                  </w:pPr>
                  <w:r>
                    <w:rPr>
                      <w:color w:val="auto"/>
                      <w:szCs w:val="21"/>
                    </w:rPr>
                    <w:t>70</w:t>
                  </w:r>
                </w:p>
              </w:tc>
              <w:tc>
                <w:tcPr>
                  <w:tcW w:w="1450" w:type="dxa"/>
                  <w:vMerge w:val="continue"/>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6" w:type="dxa"/>
                  <w:vMerge w:val="continue"/>
                  <w:vAlign w:val="center"/>
                </w:tcPr>
                <w:p>
                  <w:pPr>
                    <w:jc w:val="center"/>
                    <w:rPr>
                      <w:color w:val="auto"/>
                      <w:szCs w:val="21"/>
                    </w:rPr>
                  </w:pPr>
                  <w:r>
                    <w:rPr>
                      <w:color w:val="auto"/>
                      <w:szCs w:val="21"/>
                    </w:rPr>
                    <w:t xml:space="preserve">  </w:t>
                  </w:r>
                </w:p>
              </w:tc>
              <w:tc>
                <w:tcPr>
                  <w:tcW w:w="2294" w:type="dxa"/>
                  <w:vAlign w:val="center"/>
                </w:tcPr>
                <w:p>
                  <w:pPr>
                    <w:jc w:val="center"/>
                    <w:rPr>
                      <w:color w:val="auto"/>
                      <w:szCs w:val="21"/>
                    </w:rPr>
                  </w:pPr>
                  <w:r>
                    <w:rPr>
                      <w:color w:val="auto"/>
                      <w:szCs w:val="21"/>
                    </w:rPr>
                    <w:t>24小时平均</w:t>
                  </w:r>
                </w:p>
              </w:tc>
              <w:tc>
                <w:tcPr>
                  <w:tcW w:w="2054" w:type="dxa"/>
                  <w:vAlign w:val="center"/>
                </w:tcPr>
                <w:p>
                  <w:pPr>
                    <w:jc w:val="center"/>
                    <w:rPr>
                      <w:color w:val="auto"/>
                      <w:szCs w:val="21"/>
                    </w:rPr>
                  </w:pPr>
                  <w:r>
                    <w:rPr>
                      <w:color w:val="auto"/>
                      <w:szCs w:val="21"/>
                    </w:rPr>
                    <w:t>150</w:t>
                  </w:r>
                </w:p>
              </w:tc>
              <w:tc>
                <w:tcPr>
                  <w:tcW w:w="1450" w:type="dxa"/>
                  <w:vMerge w:val="continue"/>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6" w:type="dxa"/>
                  <w:vMerge w:val="restart"/>
                  <w:vAlign w:val="center"/>
                </w:tcPr>
                <w:p>
                  <w:pPr>
                    <w:jc w:val="center"/>
                    <w:rPr>
                      <w:color w:val="auto"/>
                      <w:szCs w:val="21"/>
                    </w:rPr>
                  </w:pPr>
                  <w:r>
                    <w:rPr>
                      <w:color w:val="auto"/>
                      <w:szCs w:val="21"/>
                    </w:rPr>
                    <w:t>PM</w:t>
                  </w:r>
                  <w:r>
                    <w:rPr>
                      <w:color w:val="auto"/>
                      <w:szCs w:val="21"/>
                      <w:vertAlign w:val="subscript"/>
                    </w:rPr>
                    <w:t>2.5</w:t>
                  </w:r>
                </w:p>
              </w:tc>
              <w:tc>
                <w:tcPr>
                  <w:tcW w:w="2294" w:type="dxa"/>
                  <w:vAlign w:val="center"/>
                </w:tcPr>
                <w:p>
                  <w:pPr>
                    <w:jc w:val="center"/>
                    <w:rPr>
                      <w:color w:val="auto"/>
                      <w:szCs w:val="21"/>
                    </w:rPr>
                  </w:pPr>
                  <w:r>
                    <w:rPr>
                      <w:color w:val="auto"/>
                      <w:szCs w:val="21"/>
                    </w:rPr>
                    <w:t>年平均</w:t>
                  </w:r>
                </w:p>
              </w:tc>
              <w:tc>
                <w:tcPr>
                  <w:tcW w:w="2054" w:type="dxa"/>
                  <w:vAlign w:val="center"/>
                </w:tcPr>
                <w:p>
                  <w:pPr>
                    <w:jc w:val="center"/>
                    <w:rPr>
                      <w:color w:val="auto"/>
                      <w:szCs w:val="21"/>
                    </w:rPr>
                  </w:pPr>
                  <w:r>
                    <w:rPr>
                      <w:color w:val="auto"/>
                      <w:szCs w:val="21"/>
                    </w:rPr>
                    <w:t>35</w:t>
                  </w:r>
                </w:p>
              </w:tc>
              <w:tc>
                <w:tcPr>
                  <w:tcW w:w="1450" w:type="dxa"/>
                  <w:vMerge w:val="continue"/>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6" w:type="dxa"/>
                  <w:vMerge w:val="continue"/>
                  <w:vAlign w:val="center"/>
                </w:tcPr>
                <w:p>
                  <w:pPr>
                    <w:jc w:val="center"/>
                    <w:rPr>
                      <w:color w:val="auto"/>
                      <w:szCs w:val="21"/>
                    </w:rPr>
                  </w:pPr>
                </w:p>
              </w:tc>
              <w:tc>
                <w:tcPr>
                  <w:tcW w:w="2294" w:type="dxa"/>
                  <w:vAlign w:val="center"/>
                </w:tcPr>
                <w:p>
                  <w:pPr>
                    <w:jc w:val="center"/>
                    <w:rPr>
                      <w:color w:val="auto"/>
                      <w:szCs w:val="21"/>
                    </w:rPr>
                  </w:pPr>
                  <w:r>
                    <w:rPr>
                      <w:color w:val="auto"/>
                      <w:szCs w:val="21"/>
                    </w:rPr>
                    <w:t>24小时平均</w:t>
                  </w:r>
                </w:p>
              </w:tc>
              <w:tc>
                <w:tcPr>
                  <w:tcW w:w="2054" w:type="dxa"/>
                  <w:vAlign w:val="center"/>
                </w:tcPr>
                <w:p>
                  <w:pPr>
                    <w:jc w:val="center"/>
                    <w:rPr>
                      <w:color w:val="auto"/>
                      <w:szCs w:val="21"/>
                    </w:rPr>
                  </w:pPr>
                  <w:r>
                    <w:rPr>
                      <w:color w:val="auto"/>
                      <w:szCs w:val="21"/>
                    </w:rPr>
                    <w:t>75</w:t>
                  </w:r>
                </w:p>
              </w:tc>
              <w:tc>
                <w:tcPr>
                  <w:tcW w:w="1450" w:type="dxa"/>
                  <w:vMerge w:val="continue"/>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6" w:type="dxa"/>
                  <w:vMerge w:val="restart"/>
                  <w:vAlign w:val="center"/>
                </w:tcPr>
                <w:p>
                  <w:pPr>
                    <w:jc w:val="center"/>
                    <w:rPr>
                      <w:color w:val="auto"/>
                      <w:szCs w:val="21"/>
                    </w:rPr>
                  </w:pPr>
                  <w:r>
                    <w:rPr>
                      <w:color w:val="auto"/>
                      <w:szCs w:val="21"/>
                    </w:rPr>
                    <w:t>NO</w:t>
                  </w:r>
                  <w:r>
                    <w:rPr>
                      <w:color w:val="auto"/>
                      <w:szCs w:val="21"/>
                      <w:vertAlign w:val="subscript"/>
                    </w:rPr>
                    <w:t>2</w:t>
                  </w:r>
                </w:p>
              </w:tc>
              <w:tc>
                <w:tcPr>
                  <w:tcW w:w="2294" w:type="dxa"/>
                  <w:vAlign w:val="center"/>
                </w:tcPr>
                <w:p>
                  <w:pPr>
                    <w:jc w:val="center"/>
                    <w:rPr>
                      <w:color w:val="auto"/>
                      <w:szCs w:val="21"/>
                    </w:rPr>
                  </w:pPr>
                  <w:r>
                    <w:rPr>
                      <w:color w:val="auto"/>
                      <w:szCs w:val="21"/>
                    </w:rPr>
                    <w:t>年平均</w:t>
                  </w:r>
                </w:p>
              </w:tc>
              <w:tc>
                <w:tcPr>
                  <w:tcW w:w="2054" w:type="dxa"/>
                  <w:vAlign w:val="center"/>
                </w:tcPr>
                <w:p>
                  <w:pPr>
                    <w:jc w:val="center"/>
                    <w:rPr>
                      <w:color w:val="auto"/>
                      <w:szCs w:val="21"/>
                    </w:rPr>
                  </w:pPr>
                  <w:r>
                    <w:rPr>
                      <w:color w:val="auto"/>
                      <w:szCs w:val="21"/>
                    </w:rPr>
                    <w:t>40</w:t>
                  </w:r>
                </w:p>
              </w:tc>
              <w:tc>
                <w:tcPr>
                  <w:tcW w:w="1450" w:type="dxa"/>
                  <w:vMerge w:val="continue"/>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6" w:type="dxa"/>
                  <w:vMerge w:val="continue"/>
                  <w:vAlign w:val="center"/>
                </w:tcPr>
                <w:p>
                  <w:pPr>
                    <w:jc w:val="center"/>
                    <w:rPr>
                      <w:color w:val="auto"/>
                      <w:szCs w:val="21"/>
                    </w:rPr>
                  </w:pPr>
                </w:p>
              </w:tc>
              <w:tc>
                <w:tcPr>
                  <w:tcW w:w="2294" w:type="dxa"/>
                  <w:vAlign w:val="center"/>
                </w:tcPr>
                <w:p>
                  <w:pPr>
                    <w:jc w:val="center"/>
                    <w:rPr>
                      <w:color w:val="auto"/>
                      <w:szCs w:val="21"/>
                    </w:rPr>
                  </w:pPr>
                  <w:r>
                    <w:rPr>
                      <w:color w:val="auto"/>
                      <w:szCs w:val="21"/>
                    </w:rPr>
                    <w:t>24小时平均</w:t>
                  </w:r>
                </w:p>
              </w:tc>
              <w:tc>
                <w:tcPr>
                  <w:tcW w:w="2054" w:type="dxa"/>
                  <w:vAlign w:val="center"/>
                </w:tcPr>
                <w:p>
                  <w:pPr>
                    <w:jc w:val="center"/>
                    <w:rPr>
                      <w:color w:val="auto"/>
                      <w:szCs w:val="21"/>
                    </w:rPr>
                  </w:pPr>
                  <w:r>
                    <w:rPr>
                      <w:color w:val="auto"/>
                      <w:szCs w:val="21"/>
                    </w:rPr>
                    <w:t>80</w:t>
                  </w:r>
                </w:p>
              </w:tc>
              <w:tc>
                <w:tcPr>
                  <w:tcW w:w="1450" w:type="dxa"/>
                  <w:vMerge w:val="continue"/>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6" w:type="dxa"/>
                  <w:vMerge w:val="continue"/>
                  <w:vAlign w:val="center"/>
                </w:tcPr>
                <w:p>
                  <w:pPr>
                    <w:jc w:val="center"/>
                    <w:rPr>
                      <w:color w:val="auto"/>
                      <w:szCs w:val="21"/>
                    </w:rPr>
                  </w:pPr>
                </w:p>
              </w:tc>
              <w:tc>
                <w:tcPr>
                  <w:tcW w:w="2294" w:type="dxa"/>
                  <w:vAlign w:val="center"/>
                </w:tcPr>
                <w:p>
                  <w:pPr>
                    <w:jc w:val="center"/>
                    <w:rPr>
                      <w:color w:val="auto"/>
                      <w:szCs w:val="21"/>
                    </w:rPr>
                  </w:pPr>
                  <w:r>
                    <w:rPr>
                      <w:color w:val="auto"/>
                      <w:szCs w:val="21"/>
                    </w:rPr>
                    <w:t>1小时平均</w:t>
                  </w:r>
                </w:p>
              </w:tc>
              <w:tc>
                <w:tcPr>
                  <w:tcW w:w="2054" w:type="dxa"/>
                  <w:vAlign w:val="center"/>
                </w:tcPr>
                <w:p>
                  <w:pPr>
                    <w:jc w:val="center"/>
                    <w:rPr>
                      <w:color w:val="auto"/>
                      <w:szCs w:val="21"/>
                    </w:rPr>
                  </w:pPr>
                  <w:r>
                    <w:rPr>
                      <w:color w:val="auto"/>
                      <w:szCs w:val="21"/>
                    </w:rPr>
                    <w:t>200</w:t>
                  </w:r>
                </w:p>
              </w:tc>
              <w:tc>
                <w:tcPr>
                  <w:tcW w:w="1450" w:type="dxa"/>
                  <w:vMerge w:val="continue"/>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6" w:type="dxa"/>
                  <w:vMerge w:val="restart"/>
                  <w:vAlign w:val="center"/>
                </w:tcPr>
                <w:p>
                  <w:pPr>
                    <w:jc w:val="center"/>
                    <w:rPr>
                      <w:color w:val="auto"/>
                      <w:szCs w:val="21"/>
                    </w:rPr>
                  </w:pPr>
                  <w:r>
                    <w:rPr>
                      <w:color w:val="auto"/>
                      <w:szCs w:val="21"/>
                    </w:rPr>
                    <w:t>O</w:t>
                  </w:r>
                  <w:r>
                    <w:rPr>
                      <w:color w:val="auto"/>
                      <w:szCs w:val="21"/>
                      <w:vertAlign w:val="subscript"/>
                    </w:rPr>
                    <w:t>3</w:t>
                  </w:r>
                </w:p>
              </w:tc>
              <w:tc>
                <w:tcPr>
                  <w:tcW w:w="2294" w:type="dxa"/>
                  <w:vAlign w:val="center"/>
                </w:tcPr>
                <w:p>
                  <w:pPr>
                    <w:jc w:val="center"/>
                    <w:rPr>
                      <w:color w:val="auto"/>
                      <w:szCs w:val="21"/>
                    </w:rPr>
                  </w:pPr>
                  <w:r>
                    <w:rPr>
                      <w:color w:val="auto"/>
                      <w:szCs w:val="21"/>
                    </w:rPr>
                    <w:t>1小时平均</w:t>
                  </w:r>
                </w:p>
              </w:tc>
              <w:tc>
                <w:tcPr>
                  <w:tcW w:w="2054" w:type="dxa"/>
                  <w:vAlign w:val="center"/>
                </w:tcPr>
                <w:p>
                  <w:pPr>
                    <w:jc w:val="center"/>
                    <w:rPr>
                      <w:color w:val="auto"/>
                      <w:szCs w:val="21"/>
                    </w:rPr>
                  </w:pPr>
                  <w:r>
                    <w:rPr>
                      <w:color w:val="auto"/>
                      <w:szCs w:val="21"/>
                    </w:rPr>
                    <w:t>200</w:t>
                  </w:r>
                </w:p>
              </w:tc>
              <w:tc>
                <w:tcPr>
                  <w:tcW w:w="1450" w:type="dxa"/>
                  <w:vMerge w:val="continue"/>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6" w:type="dxa"/>
                  <w:vMerge w:val="continue"/>
                  <w:vAlign w:val="center"/>
                </w:tcPr>
                <w:p>
                  <w:pPr>
                    <w:jc w:val="center"/>
                    <w:rPr>
                      <w:color w:val="auto"/>
                      <w:szCs w:val="21"/>
                    </w:rPr>
                  </w:pPr>
                </w:p>
              </w:tc>
              <w:tc>
                <w:tcPr>
                  <w:tcW w:w="2294" w:type="dxa"/>
                  <w:vAlign w:val="center"/>
                </w:tcPr>
                <w:p>
                  <w:pPr>
                    <w:jc w:val="center"/>
                    <w:rPr>
                      <w:color w:val="auto"/>
                      <w:szCs w:val="21"/>
                    </w:rPr>
                  </w:pPr>
                  <w:r>
                    <w:rPr>
                      <w:color w:val="auto"/>
                      <w:szCs w:val="21"/>
                    </w:rPr>
                    <w:t>24小时平均</w:t>
                  </w:r>
                </w:p>
              </w:tc>
              <w:tc>
                <w:tcPr>
                  <w:tcW w:w="2054" w:type="dxa"/>
                  <w:vAlign w:val="center"/>
                </w:tcPr>
                <w:p>
                  <w:pPr>
                    <w:jc w:val="center"/>
                    <w:rPr>
                      <w:color w:val="auto"/>
                      <w:szCs w:val="21"/>
                    </w:rPr>
                  </w:pPr>
                  <w:r>
                    <w:rPr>
                      <w:color w:val="auto"/>
                      <w:szCs w:val="21"/>
                    </w:rPr>
                    <w:t>160（8h）</w:t>
                  </w:r>
                </w:p>
              </w:tc>
              <w:tc>
                <w:tcPr>
                  <w:tcW w:w="1450" w:type="dxa"/>
                  <w:vMerge w:val="continue"/>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6" w:type="dxa"/>
                  <w:vMerge w:val="restart"/>
                  <w:vAlign w:val="center"/>
                </w:tcPr>
                <w:p>
                  <w:pPr>
                    <w:jc w:val="center"/>
                    <w:rPr>
                      <w:color w:val="auto"/>
                      <w:szCs w:val="21"/>
                    </w:rPr>
                  </w:pPr>
                  <w:r>
                    <w:rPr>
                      <w:color w:val="auto"/>
                      <w:szCs w:val="21"/>
                    </w:rPr>
                    <w:t>CO</w:t>
                  </w:r>
                </w:p>
              </w:tc>
              <w:tc>
                <w:tcPr>
                  <w:tcW w:w="2294" w:type="dxa"/>
                  <w:vAlign w:val="center"/>
                </w:tcPr>
                <w:p>
                  <w:pPr>
                    <w:jc w:val="center"/>
                    <w:rPr>
                      <w:color w:val="auto"/>
                      <w:szCs w:val="21"/>
                    </w:rPr>
                  </w:pPr>
                  <w:r>
                    <w:rPr>
                      <w:color w:val="auto"/>
                      <w:szCs w:val="21"/>
                    </w:rPr>
                    <w:t>1小时平均</w:t>
                  </w:r>
                </w:p>
              </w:tc>
              <w:tc>
                <w:tcPr>
                  <w:tcW w:w="2054" w:type="dxa"/>
                  <w:vAlign w:val="center"/>
                </w:tcPr>
                <w:p>
                  <w:pPr>
                    <w:jc w:val="center"/>
                    <w:rPr>
                      <w:color w:val="auto"/>
                      <w:szCs w:val="21"/>
                    </w:rPr>
                  </w:pPr>
                  <w:r>
                    <w:rPr>
                      <w:color w:val="auto"/>
                      <w:szCs w:val="21"/>
                    </w:rPr>
                    <w:t>10</w:t>
                  </w:r>
                </w:p>
              </w:tc>
              <w:tc>
                <w:tcPr>
                  <w:tcW w:w="1450" w:type="dxa"/>
                  <w:vMerge w:val="restart"/>
                  <w:vAlign w:val="center"/>
                </w:tcPr>
                <w:p>
                  <w:pPr>
                    <w:jc w:val="center"/>
                    <w:rPr>
                      <w:color w:val="auto"/>
                      <w:szCs w:val="21"/>
                    </w:rPr>
                  </w:pPr>
                  <w:r>
                    <w:rPr>
                      <w:color w:val="auto"/>
                      <w:szCs w:val="21"/>
                    </w:rPr>
                    <w:t>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6" w:type="dxa"/>
                  <w:vMerge w:val="continue"/>
                  <w:vAlign w:val="center"/>
                </w:tcPr>
                <w:p>
                  <w:pPr>
                    <w:jc w:val="center"/>
                    <w:rPr>
                      <w:color w:val="auto"/>
                      <w:szCs w:val="21"/>
                    </w:rPr>
                  </w:pPr>
                </w:p>
              </w:tc>
              <w:tc>
                <w:tcPr>
                  <w:tcW w:w="2294" w:type="dxa"/>
                  <w:vAlign w:val="center"/>
                </w:tcPr>
                <w:p>
                  <w:pPr>
                    <w:jc w:val="center"/>
                    <w:rPr>
                      <w:color w:val="auto"/>
                      <w:szCs w:val="21"/>
                    </w:rPr>
                  </w:pPr>
                  <w:r>
                    <w:rPr>
                      <w:color w:val="auto"/>
                      <w:szCs w:val="21"/>
                    </w:rPr>
                    <w:t>24小时平均</w:t>
                  </w:r>
                </w:p>
              </w:tc>
              <w:tc>
                <w:tcPr>
                  <w:tcW w:w="2054" w:type="dxa"/>
                  <w:vAlign w:val="center"/>
                </w:tcPr>
                <w:p>
                  <w:pPr>
                    <w:jc w:val="center"/>
                    <w:rPr>
                      <w:color w:val="auto"/>
                      <w:szCs w:val="21"/>
                    </w:rPr>
                  </w:pPr>
                  <w:r>
                    <w:rPr>
                      <w:color w:val="auto"/>
                      <w:szCs w:val="21"/>
                    </w:rPr>
                    <w:t>4</w:t>
                  </w:r>
                </w:p>
              </w:tc>
              <w:tc>
                <w:tcPr>
                  <w:tcW w:w="1450" w:type="dxa"/>
                  <w:vMerge w:val="continue"/>
                  <w:vAlign w:val="center"/>
                </w:tcPr>
                <w:p>
                  <w:pPr>
                    <w:jc w:val="center"/>
                    <w:rPr>
                      <w:color w:val="auto"/>
                      <w:szCs w:val="21"/>
                    </w:rPr>
                  </w:pPr>
                </w:p>
              </w:tc>
            </w:tr>
          </w:tbl>
          <w:p>
            <w:pPr>
              <w:spacing w:line="360" w:lineRule="auto"/>
              <w:rPr>
                <w:color w:val="auto"/>
                <w:kern w:val="0"/>
                <w:sz w:val="24"/>
              </w:rPr>
            </w:pPr>
            <w:r>
              <w:rPr>
                <w:color w:val="auto"/>
                <w:kern w:val="0"/>
                <w:sz w:val="24"/>
              </w:rPr>
              <w:t>2.水环境质量标准</w:t>
            </w:r>
          </w:p>
          <w:p>
            <w:pPr>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项目涉及水体—马莲河为IV类水体，地表水环境质量执行《地表水环境质量标准》（GB3838-2002）IV类水质标准，标准（摘录）内容见下表</w:t>
            </w:r>
            <w:r>
              <w:rPr>
                <w:rFonts w:hint="eastAsia" w:ascii="Times New Roman" w:hAnsi="Times New Roman" w:eastAsia="宋体" w:cs="Times New Roman"/>
                <w:color w:val="auto"/>
                <w:kern w:val="0"/>
                <w:sz w:val="24"/>
                <w:lang w:val="en-US" w:eastAsia="zh-CN"/>
              </w:rPr>
              <w:t>3-6</w:t>
            </w:r>
            <w:r>
              <w:rPr>
                <w:rFonts w:hint="default" w:ascii="Times New Roman" w:hAnsi="Times New Roman" w:eastAsia="宋体" w:cs="Times New Roman"/>
                <w:color w:val="auto"/>
                <w:kern w:val="0"/>
                <w:sz w:val="24"/>
              </w:rPr>
              <w:t>。</w:t>
            </w:r>
          </w:p>
          <w:p>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表</w:t>
            </w:r>
            <w:r>
              <w:rPr>
                <w:rFonts w:hint="eastAsia" w:ascii="Times New Roman" w:hAnsi="Times New Roman" w:eastAsia="宋体" w:cs="Times New Roman"/>
                <w:b/>
                <w:color w:val="auto"/>
                <w:szCs w:val="21"/>
                <w:lang w:val="en-US" w:eastAsia="zh-CN"/>
              </w:rPr>
              <w:t>3-6</w:t>
            </w:r>
            <w:r>
              <w:rPr>
                <w:rFonts w:hint="default" w:ascii="Times New Roman" w:hAnsi="Times New Roman" w:eastAsia="宋体" w:cs="Times New Roman"/>
                <w:b/>
                <w:color w:val="auto"/>
                <w:szCs w:val="21"/>
              </w:rPr>
              <w:t xml:space="preserve">  《地表水环境质量标准》（GB3838-2002）  mg/L（pH为无量纲）（摘录）</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10"/>
              <w:gridCol w:w="846"/>
              <w:gridCol w:w="889"/>
              <w:gridCol w:w="929"/>
              <w:gridCol w:w="929"/>
              <w:gridCol w:w="929"/>
              <w:gridCol w:w="929"/>
              <w:gridCol w:w="929"/>
              <w:gridCol w:w="93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8"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项目</w:t>
                  </w:r>
                </w:p>
              </w:tc>
              <w:tc>
                <w:tcPr>
                  <w:tcW w:w="757"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pH</w:t>
                  </w:r>
                </w:p>
              </w:tc>
              <w:tc>
                <w:tcPr>
                  <w:tcW w:w="1019"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COD</w:t>
                  </w:r>
                </w:p>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(mg/L)</w:t>
                  </w:r>
                </w:p>
              </w:tc>
              <w:tc>
                <w:tcPr>
                  <w:tcW w:w="1125"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BOD</w:t>
                  </w:r>
                  <w:r>
                    <w:rPr>
                      <w:rFonts w:hint="default" w:ascii="Times New Roman" w:hAnsi="Times New Roman" w:eastAsia="宋体" w:cs="Times New Roman"/>
                      <w:b w:val="0"/>
                      <w:bCs w:val="0"/>
                      <w:color w:val="auto"/>
                      <w:szCs w:val="21"/>
                      <w:vertAlign w:val="subscript"/>
                    </w:rPr>
                    <w:t>5</w:t>
                  </w:r>
                </w:p>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(mg/L)</w:t>
                  </w:r>
                </w:p>
              </w:tc>
              <w:tc>
                <w:tcPr>
                  <w:tcW w:w="1125"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氨氮</w:t>
                  </w:r>
                </w:p>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(mg/L)</w:t>
                  </w:r>
                </w:p>
              </w:tc>
              <w:tc>
                <w:tcPr>
                  <w:tcW w:w="1125"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氟化物</w:t>
                  </w:r>
                </w:p>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(mg/L)</w:t>
                  </w:r>
                </w:p>
              </w:tc>
              <w:tc>
                <w:tcPr>
                  <w:tcW w:w="1125"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挥发酚</w:t>
                  </w:r>
                </w:p>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(mg/L)</w:t>
                  </w:r>
                </w:p>
              </w:tc>
              <w:tc>
                <w:tcPr>
                  <w:tcW w:w="1125"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石油类</w:t>
                  </w:r>
                </w:p>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(mg/L)</w:t>
                  </w:r>
                </w:p>
              </w:tc>
              <w:tc>
                <w:tcPr>
                  <w:tcW w:w="1125"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粪大肠菌群（个/L）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8"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标准限值</w:t>
                  </w:r>
                </w:p>
              </w:tc>
              <w:tc>
                <w:tcPr>
                  <w:tcW w:w="757"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6-9</w:t>
                  </w:r>
                </w:p>
              </w:tc>
              <w:tc>
                <w:tcPr>
                  <w:tcW w:w="1019"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≤30</w:t>
                  </w:r>
                </w:p>
              </w:tc>
              <w:tc>
                <w:tcPr>
                  <w:tcW w:w="1125"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≤6</w:t>
                  </w:r>
                </w:p>
              </w:tc>
              <w:tc>
                <w:tcPr>
                  <w:tcW w:w="1125"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≤1.5</w:t>
                  </w:r>
                </w:p>
              </w:tc>
              <w:tc>
                <w:tcPr>
                  <w:tcW w:w="1125"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≤1.5</w:t>
                  </w:r>
                </w:p>
              </w:tc>
              <w:tc>
                <w:tcPr>
                  <w:tcW w:w="1125"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≤0.01</w:t>
                  </w:r>
                </w:p>
              </w:tc>
              <w:tc>
                <w:tcPr>
                  <w:tcW w:w="1125"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≤0.5</w:t>
                  </w:r>
                </w:p>
              </w:tc>
              <w:tc>
                <w:tcPr>
                  <w:tcW w:w="1125"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20000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8"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项目</w:t>
                  </w:r>
                </w:p>
              </w:tc>
              <w:tc>
                <w:tcPr>
                  <w:tcW w:w="757"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温度（℃）</w:t>
                  </w:r>
                </w:p>
              </w:tc>
              <w:tc>
                <w:tcPr>
                  <w:tcW w:w="1019"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溶解氧</w:t>
                  </w:r>
                </w:p>
              </w:tc>
              <w:tc>
                <w:tcPr>
                  <w:tcW w:w="1125"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高锰酸盐指数(mg/L)</w:t>
                  </w:r>
                </w:p>
              </w:tc>
              <w:tc>
                <w:tcPr>
                  <w:tcW w:w="1125"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总磷(mg/L)</w:t>
                  </w:r>
                </w:p>
              </w:tc>
              <w:tc>
                <w:tcPr>
                  <w:tcW w:w="1125"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总氮(mg/L)</w:t>
                  </w:r>
                </w:p>
              </w:tc>
              <w:tc>
                <w:tcPr>
                  <w:tcW w:w="1125"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六价铬(mg/L)</w:t>
                  </w:r>
                </w:p>
              </w:tc>
              <w:tc>
                <w:tcPr>
                  <w:tcW w:w="1125"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氰化物(mg/L)</w:t>
                  </w:r>
                </w:p>
              </w:tc>
              <w:tc>
                <w:tcPr>
                  <w:tcW w:w="1125"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硒(mg/L)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8"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标准限值</w:t>
                  </w:r>
                </w:p>
              </w:tc>
              <w:tc>
                <w:tcPr>
                  <w:tcW w:w="757"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w:t>
                  </w:r>
                </w:p>
              </w:tc>
              <w:tc>
                <w:tcPr>
                  <w:tcW w:w="1019"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≥2</w:t>
                  </w:r>
                </w:p>
              </w:tc>
              <w:tc>
                <w:tcPr>
                  <w:tcW w:w="1125"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≤10</w:t>
                  </w:r>
                </w:p>
              </w:tc>
              <w:tc>
                <w:tcPr>
                  <w:tcW w:w="1125"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≤0.3</w:t>
                  </w:r>
                </w:p>
              </w:tc>
              <w:tc>
                <w:tcPr>
                  <w:tcW w:w="1125"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≤1.5</w:t>
                  </w:r>
                </w:p>
              </w:tc>
              <w:tc>
                <w:tcPr>
                  <w:tcW w:w="1125"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≤0.05</w:t>
                  </w:r>
                </w:p>
              </w:tc>
              <w:tc>
                <w:tcPr>
                  <w:tcW w:w="1125"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≤0.2</w:t>
                  </w:r>
                </w:p>
              </w:tc>
              <w:tc>
                <w:tcPr>
                  <w:tcW w:w="1125"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8"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项目</w:t>
                  </w:r>
                </w:p>
              </w:tc>
              <w:tc>
                <w:tcPr>
                  <w:tcW w:w="757"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砷(mg/L)</w:t>
                  </w:r>
                </w:p>
              </w:tc>
              <w:tc>
                <w:tcPr>
                  <w:tcW w:w="1019"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汞(mg/L)</w:t>
                  </w:r>
                </w:p>
              </w:tc>
              <w:tc>
                <w:tcPr>
                  <w:tcW w:w="1125"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镉(mg/L)</w:t>
                  </w:r>
                </w:p>
              </w:tc>
              <w:tc>
                <w:tcPr>
                  <w:tcW w:w="1125"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铅(mg/L)</w:t>
                  </w:r>
                </w:p>
              </w:tc>
              <w:tc>
                <w:tcPr>
                  <w:tcW w:w="1125"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锌(mg/L)</w:t>
                  </w:r>
                </w:p>
              </w:tc>
              <w:tc>
                <w:tcPr>
                  <w:tcW w:w="1125"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铜(mg/L)</w:t>
                  </w:r>
                </w:p>
              </w:tc>
              <w:tc>
                <w:tcPr>
                  <w:tcW w:w="1125"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阴离子表面活性剂(mg/L)</w:t>
                  </w:r>
                </w:p>
              </w:tc>
              <w:tc>
                <w:tcPr>
                  <w:tcW w:w="1125"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硫化物(mg/L)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8"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标准限值</w:t>
                  </w:r>
                </w:p>
              </w:tc>
              <w:tc>
                <w:tcPr>
                  <w:tcW w:w="757"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≤0.1</w:t>
                  </w:r>
                </w:p>
              </w:tc>
              <w:tc>
                <w:tcPr>
                  <w:tcW w:w="1019"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≤0.001</w:t>
                  </w:r>
                </w:p>
              </w:tc>
              <w:tc>
                <w:tcPr>
                  <w:tcW w:w="1125"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≤0.005</w:t>
                  </w:r>
                </w:p>
              </w:tc>
              <w:tc>
                <w:tcPr>
                  <w:tcW w:w="1125"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≤0.05</w:t>
                  </w:r>
                </w:p>
              </w:tc>
              <w:tc>
                <w:tcPr>
                  <w:tcW w:w="1125"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≤2.0</w:t>
                  </w:r>
                </w:p>
              </w:tc>
              <w:tc>
                <w:tcPr>
                  <w:tcW w:w="1125"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≤1.0</w:t>
                  </w:r>
                </w:p>
              </w:tc>
              <w:tc>
                <w:tcPr>
                  <w:tcW w:w="1125"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≤0.3</w:t>
                  </w:r>
                </w:p>
              </w:tc>
              <w:tc>
                <w:tcPr>
                  <w:tcW w:w="1125" w:type="dxa"/>
                  <w:noWrap w:val="0"/>
                  <w:vAlign w:val="center"/>
                </w:tcPr>
                <w:p>
                  <w:pPr>
                    <w:pStyle w:val="107"/>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≤0.5</w:t>
                  </w:r>
                </w:p>
              </w:tc>
            </w:tr>
          </w:tbl>
          <w:p>
            <w:pPr>
              <w:spacing w:line="360" w:lineRule="auto"/>
              <w:rPr>
                <w:color w:val="auto"/>
                <w:kern w:val="0"/>
                <w:sz w:val="24"/>
              </w:rPr>
            </w:pPr>
            <w:r>
              <w:rPr>
                <w:color w:val="auto"/>
                <w:kern w:val="0"/>
                <w:sz w:val="24"/>
              </w:rPr>
              <w:t>3.声环境质量标准</w:t>
            </w:r>
          </w:p>
          <w:p>
            <w:pPr>
              <w:spacing w:line="360" w:lineRule="auto"/>
              <w:ind w:firstLine="480" w:firstLineChars="200"/>
              <w:rPr>
                <w:color w:val="auto"/>
                <w:sz w:val="24"/>
              </w:rPr>
            </w:pPr>
            <w:r>
              <w:rPr>
                <w:rFonts w:hint="eastAsia"/>
                <w:color w:val="auto"/>
                <w:sz w:val="24"/>
                <w:lang w:eastAsia="zh-CN"/>
              </w:rPr>
              <w:t>滨河路东南侧临路首排建筑一侧</w:t>
            </w:r>
            <w:r>
              <w:rPr>
                <w:rFonts w:hint="eastAsia"/>
                <w:color w:val="auto"/>
                <w:sz w:val="24"/>
              </w:rPr>
              <w:t>执行《声环境质量标准》（</w:t>
            </w:r>
            <w:r>
              <w:rPr>
                <w:color w:val="auto"/>
                <w:sz w:val="24"/>
              </w:rPr>
              <w:t>GB 3096-2008</w:t>
            </w:r>
            <w:r>
              <w:rPr>
                <w:rFonts w:hint="eastAsia"/>
                <w:color w:val="auto"/>
                <w:sz w:val="24"/>
              </w:rPr>
              <w:t>）</w:t>
            </w:r>
            <w:r>
              <w:rPr>
                <w:color w:val="auto"/>
                <w:sz w:val="24"/>
              </w:rPr>
              <w:t>4a</w:t>
            </w:r>
            <w:r>
              <w:rPr>
                <w:rFonts w:hint="eastAsia"/>
                <w:color w:val="auto"/>
                <w:sz w:val="24"/>
              </w:rPr>
              <w:t>类</w:t>
            </w:r>
            <w:r>
              <w:rPr>
                <w:rFonts w:hint="eastAsia"/>
                <w:color w:val="auto"/>
                <w:sz w:val="24"/>
                <w:lang w:eastAsia="zh-CN"/>
              </w:rPr>
              <w:t>标准</w:t>
            </w:r>
            <w:r>
              <w:rPr>
                <w:rFonts w:hint="eastAsia"/>
                <w:color w:val="auto"/>
                <w:sz w:val="24"/>
              </w:rPr>
              <w:t>。</w:t>
            </w:r>
            <w:r>
              <w:rPr>
                <w:rFonts w:hint="eastAsia"/>
                <w:color w:val="auto"/>
                <w:sz w:val="24"/>
                <w:lang w:eastAsia="zh-CN"/>
              </w:rPr>
              <w:t>其他执行</w:t>
            </w:r>
            <w:r>
              <w:rPr>
                <w:rFonts w:hint="eastAsia"/>
                <w:color w:val="auto"/>
                <w:sz w:val="24"/>
                <w:lang w:val="en-US" w:eastAsia="zh-CN"/>
              </w:rPr>
              <w:t>2类标准，</w:t>
            </w:r>
            <w:r>
              <w:rPr>
                <w:rFonts w:hint="eastAsia"/>
                <w:color w:val="auto"/>
                <w:sz w:val="24"/>
              </w:rPr>
              <w:t>具体限值见表</w:t>
            </w:r>
            <w:r>
              <w:rPr>
                <w:color w:val="auto"/>
                <w:sz w:val="24"/>
              </w:rPr>
              <w:t>3-</w:t>
            </w:r>
            <w:r>
              <w:rPr>
                <w:rFonts w:hint="eastAsia"/>
                <w:color w:val="auto"/>
                <w:sz w:val="24"/>
                <w:lang w:val="en-US" w:eastAsia="zh-CN"/>
              </w:rPr>
              <w:t>7</w:t>
            </w:r>
            <w:r>
              <w:rPr>
                <w:rFonts w:hint="eastAsia"/>
                <w:color w:val="auto"/>
                <w:sz w:val="24"/>
              </w:rPr>
              <w:t>。</w:t>
            </w:r>
          </w:p>
          <w:p>
            <w:pPr>
              <w:adjustRightInd w:val="0"/>
              <w:snapToGrid w:val="0"/>
              <w:spacing w:line="240" w:lineRule="auto"/>
              <w:jc w:val="center"/>
              <w:rPr>
                <w:b/>
                <w:color w:val="auto"/>
                <w:szCs w:val="21"/>
              </w:rPr>
            </w:pPr>
            <w:r>
              <w:rPr>
                <w:rFonts w:hint="eastAsia"/>
                <w:b/>
                <w:color w:val="auto"/>
                <w:szCs w:val="21"/>
              </w:rPr>
              <w:t>表</w:t>
            </w:r>
            <w:r>
              <w:rPr>
                <w:b/>
                <w:color w:val="auto"/>
                <w:szCs w:val="21"/>
              </w:rPr>
              <w:t>3-</w:t>
            </w:r>
            <w:r>
              <w:rPr>
                <w:rFonts w:hint="eastAsia"/>
                <w:b/>
                <w:color w:val="auto"/>
                <w:szCs w:val="21"/>
                <w:lang w:val="en-US" w:eastAsia="zh-CN"/>
              </w:rPr>
              <w:t>7</w:t>
            </w:r>
            <w:r>
              <w:rPr>
                <w:b/>
                <w:color w:val="auto"/>
                <w:szCs w:val="21"/>
              </w:rPr>
              <w:t xml:space="preserve">     </w:t>
            </w:r>
            <w:r>
              <w:rPr>
                <w:rFonts w:hint="eastAsia"/>
                <w:b/>
                <w:color w:val="auto"/>
                <w:szCs w:val="21"/>
              </w:rPr>
              <w:t>环境噪声限值</w:t>
            </w:r>
            <w:r>
              <w:rPr>
                <w:b/>
                <w:color w:val="auto"/>
                <w:szCs w:val="21"/>
              </w:rPr>
              <w:t xml:space="preserve">    </w:t>
            </w:r>
            <w:r>
              <w:rPr>
                <w:rFonts w:hint="eastAsia"/>
                <w:b/>
                <w:color w:val="auto"/>
                <w:szCs w:val="21"/>
              </w:rPr>
              <w:t>单位：</w:t>
            </w:r>
            <w:r>
              <w:rPr>
                <w:b/>
                <w:color w:val="auto"/>
                <w:szCs w:val="21"/>
              </w:rPr>
              <w:t>dB</w:t>
            </w:r>
            <w:r>
              <w:rPr>
                <w:rFonts w:hint="eastAsia"/>
                <w:b/>
                <w:color w:val="auto"/>
                <w:szCs w:val="21"/>
              </w:rPr>
              <w:t>（</w:t>
            </w:r>
            <w:r>
              <w:rPr>
                <w:b/>
                <w:color w:val="auto"/>
                <w:szCs w:val="21"/>
              </w:rPr>
              <w:t>A</w:t>
            </w:r>
            <w:r>
              <w:rPr>
                <w:rFonts w:hint="eastAsia"/>
                <w:b/>
                <w:color w:val="auto"/>
                <w:szCs w:val="21"/>
              </w:rPr>
              <w:t>）</w:t>
            </w:r>
          </w:p>
          <w:tbl>
            <w:tblPr>
              <w:tblStyle w:val="26"/>
              <w:tblpPr w:leftFromText="180" w:rightFromText="180" w:vertAnchor="text" w:horzAnchor="margin" w:tblpXSpec="center" w:tblpY="59"/>
              <w:tblOverlap w:val="never"/>
              <w:tblW w:w="7834"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2800"/>
              <w:gridCol w:w="2997"/>
              <w:gridCol w:w="203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800" w:type="dxa"/>
                  <w:tcBorders>
                    <w:top w:val="single" w:color="auto" w:sz="8" w:space="0"/>
                    <w:left w:val="single" w:color="auto" w:sz="8" w:space="0"/>
                    <w:bottom w:val="single" w:color="auto" w:sz="6" w:space="0"/>
                    <w:right w:val="single" w:color="auto" w:sz="6" w:space="0"/>
                  </w:tcBorders>
                  <w:vAlign w:val="center"/>
                </w:tcPr>
                <w:p>
                  <w:pPr>
                    <w:pStyle w:val="72"/>
                    <w:adjustRightInd w:val="0"/>
                    <w:snapToGrid w:val="0"/>
                    <w:spacing w:line="240" w:lineRule="auto"/>
                    <w:jc w:val="center"/>
                    <w:rPr>
                      <w:rFonts w:ascii="Times New Roman" w:hAnsi="Times New Roman"/>
                      <w:color w:val="auto"/>
                    </w:rPr>
                  </w:pPr>
                  <w:r>
                    <w:rPr>
                      <w:rFonts w:hint="eastAsia" w:ascii="Times New Roman" w:hAnsi="Times New Roman"/>
                      <w:color w:val="auto"/>
                    </w:rPr>
                    <w:t>类别</w:t>
                  </w:r>
                </w:p>
              </w:tc>
              <w:tc>
                <w:tcPr>
                  <w:tcW w:w="2997" w:type="dxa"/>
                  <w:tcBorders>
                    <w:top w:val="single" w:color="auto" w:sz="8" w:space="0"/>
                    <w:left w:val="single" w:color="auto" w:sz="6" w:space="0"/>
                    <w:bottom w:val="single" w:color="auto" w:sz="6" w:space="0"/>
                    <w:right w:val="single" w:color="auto" w:sz="6" w:space="0"/>
                  </w:tcBorders>
                  <w:vAlign w:val="center"/>
                </w:tcPr>
                <w:p>
                  <w:pPr>
                    <w:pStyle w:val="72"/>
                    <w:adjustRightInd w:val="0"/>
                    <w:snapToGrid w:val="0"/>
                    <w:spacing w:line="240" w:lineRule="auto"/>
                    <w:jc w:val="center"/>
                    <w:rPr>
                      <w:rFonts w:ascii="Times New Roman" w:hAnsi="Times New Roman"/>
                      <w:color w:val="auto"/>
                    </w:rPr>
                  </w:pPr>
                  <w:r>
                    <w:rPr>
                      <w:rFonts w:hint="eastAsia" w:ascii="Times New Roman" w:hAnsi="Times New Roman"/>
                      <w:color w:val="auto"/>
                    </w:rPr>
                    <w:t>昼间</w:t>
                  </w:r>
                </w:p>
              </w:tc>
              <w:tc>
                <w:tcPr>
                  <w:tcW w:w="2037" w:type="dxa"/>
                  <w:tcBorders>
                    <w:top w:val="single" w:color="auto" w:sz="8" w:space="0"/>
                    <w:left w:val="single" w:color="auto" w:sz="6" w:space="0"/>
                    <w:bottom w:val="single" w:color="auto" w:sz="6" w:space="0"/>
                    <w:right w:val="single" w:color="auto" w:sz="8" w:space="0"/>
                  </w:tcBorders>
                  <w:vAlign w:val="center"/>
                </w:tcPr>
                <w:p>
                  <w:pPr>
                    <w:pStyle w:val="72"/>
                    <w:adjustRightInd w:val="0"/>
                    <w:snapToGrid w:val="0"/>
                    <w:spacing w:line="240" w:lineRule="auto"/>
                    <w:jc w:val="center"/>
                    <w:rPr>
                      <w:rFonts w:ascii="Times New Roman" w:hAnsi="Times New Roman"/>
                      <w:color w:val="auto"/>
                    </w:rPr>
                  </w:pPr>
                  <w:r>
                    <w:rPr>
                      <w:rFonts w:hint="eastAsia" w:ascii="Times New Roman" w:hAnsi="Times New Roman"/>
                      <w:color w:val="auto"/>
                    </w:rPr>
                    <w:t>夜间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2" w:hRule="atLeast"/>
              </w:trPr>
              <w:tc>
                <w:tcPr>
                  <w:tcW w:w="2800" w:type="dxa"/>
                  <w:tcBorders>
                    <w:top w:val="single" w:color="auto" w:sz="6" w:space="0"/>
                    <w:left w:val="single" w:color="auto" w:sz="8" w:space="0"/>
                    <w:bottom w:val="single" w:color="auto" w:sz="6" w:space="0"/>
                    <w:right w:val="single" w:color="auto" w:sz="6" w:space="0"/>
                  </w:tcBorders>
                  <w:vAlign w:val="center"/>
                </w:tcPr>
                <w:p>
                  <w:pPr>
                    <w:pStyle w:val="72"/>
                    <w:adjustRightInd w:val="0"/>
                    <w:snapToGrid w:val="0"/>
                    <w:spacing w:line="240" w:lineRule="auto"/>
                    <w:jc w:val="center"/>
                    <w:rPr>
                      <w:rFonts w:ascii="Times New Roman" w:hAnsi="Times New Roman"/>
                      <w:color w:val="auto"/>
                    </w:rPr>
                  </w:pPr>
                  <w:r>
                    <w:rPr>
                      <w:rFonts w:ascii="Times New Roman" w:hAnsi="Times New Roman"/>
                      <w:color w:val="auto"/>
                    </w:rPr>
                    <w:t>2</w:t>
                  </w:r>
                </w:p>
              </w:tc>
              <w:tc>
                <w:tcPr>
                  <w:tcW w:w="2997" w:type="dxa"/>
                  <w:tcBorders>
                    <w:top w:val="single" w:color="auto" w:sz="6" w:space="0"/>
                    <w:left w:val="single" w:color="auto" w:sz="6" w:space="0"/>
                    <w:bottom w:val="single" w:color="auto" w:sz="6" w:space="0"/>
                    <w:right w:val="single" w:color="auto" w:sz="6" w:space="0"/>
                  </w:tcBorders>
                  <w:vAlign w:val="center"/>
                </w:tcPr>
                <w:p>
                  <w:pPr>
                    <w:pStyle w:val="72"/>
                    <w:adjustRightInd w:val="0"/>
                    <w:snapToGrid w:val="0"/>
                    <w:spacing w:line="240" w:lineRule="auto"/>
                    <w:jc w:val="center"/>
                    <w:rPr>
                      <w:rFonts w:ascii="Times New Roman" w:hAnsi="Times New Roman"/>
                      <w:color w:val="auto"/>
                    </w:rPr>
                  </w:pPr>
                  <w:r>
                    <w:rPr>
                      <w:rFonts w:ascii="Times New Roman" w:hAnsi="Times New Roman"/>
                      <w:color w:val="auto"/>
                    </w:rPr>
                    <w:t>60</w:t>
                  </w:r>
                </w:p>
              </w:tc>
              <w:tc>
                <w:tcPr>
                  <w:tcW w:w="2037" w:type="dxa"/>
                  <w:tcBorders>
                    <w:top w:val="single" w:color="auto" w:sz="6" w:space="0"/>
                    <w:left w:val="single" w:color="auto" w:sz="6" w:space="0"/>
                    <w:bottom w:val="single" w:color="auto" w:sz="6" w:space="0"/>
                    <w:right w:val="single" w:color="auto" w:sz="8" w:space="0"/>
                  </w:tcBorders>
                  <w:vAlign w:val="center"/>
                </w:tcPr>
                <w:p>
                  <w:pPr>
                    <w:pStyle w:val="72"/>
                    <w:adjustRightInd w:val="0"/>
                    <w:snapToGrid w:val="0"/>
                    <w:spacing w:line="240" w:lineRule="auto"/>
                    <w:jc w:val="center"/>
                    <w:rPr>
                      <w:rFonts w:ascii="Times New Roman" w:hAnsi="Times New Roman"/>
                      <w:color w:val="auto"/>
                    </w:rPr>
                  </w:pPr>
                  <w:r>
                    <w:rPr>
                      <w:rFonts w:ascii="Times New Roman" w:hAnsi="Times New Roman"/>
                      <w:color w:val="auto"/>
                    </w:rPr>
                    <w:t>50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2" w:hRule="atLeast"/>
              </w:trPr>
              <w:tc>
                <w:tcPr>
                  <w:tcW w:w="2800" w:type="dxa"/>
                  <w:tcBorders>
                    <w:top w:val="single" w:color="auto" w:sz="6" w:space="0"/>
                    <w:left w:val="single" w:color="auto" w:sz="8" w:space="0"/>
                    <w:bottom w:val="single" w:color="auto" w:sz="8" w:space="0"/>
                    <w:right w:val="single" w:color="auto" w:sz="6" w:space="0"/>
                  </w:tcBorders>
                  <w:vAlign w:val="center"/>
                </w:tcPr>
                <w:p>
                  <w:pPr>
                    <w:pStyle w:val="72"/>
                    <w:adjustRightInd w:val="0"/>
                    <w:snapToGrid w:val="0"/>
                    <w:spacing w:line="240" w:lineRule="auto"/>
                    <w:jc w:val="center"/>
                    <w:rPr>
                      <w:rFonts w:ascii="Times New Roman" w:hAnsi="Times New Roman"/>
                      <w:color w:val="auto"/>
                    </w:rPr>
                  </w:pPr>
                  <w:r>
                    <w:rPr>
                      <w:rFonts w:ascii="Times New Roman" w:hAnsi="Times New Roman"/>
                      <w:color w:val="auto"/>
                    </w:rPr>
                    <w:t>4a</w:t>
                  </w:r>
                </w:p>
              </w:tc>
              <w:tc>
                <w:tcPr>
                  <w:tcW w:w="2997" w:type="dxa"/>
                  <w:tcBorders>
                    <w:top w:val="single" w:color="auto" w:sz="6" w:space="0"/>
                    <w:left w:val="single" w:color="auto" w:sz="6" w:space="0"/>
                    <w:bottom w:val="single" w:color="auto" w:sz="8" w:space="0"/>
                    <w:right w:val="single" w:color="auto" w:sz="6" w:space="0"/>
                  </w:tcBorders>
                  <w:vAlign w:val="center"/>
                </w:tcPr>
                <w:p>
                  <w:pPr>
                    <w:pStyle w:val="72"/>
                    <w:adjustRightInd w:val="0"/>
                    <w:snapToGrid w:val="0"/>
                    <w:spacing w:line="240" w:lineRule="auto"/>
                    <w:jc w:val="center"/>
                    <w:rPr>
                      <w:rFonts w:ascii="Times New Roman" w:hAnsi="Times New Roman"/>
                      <w:color w:val="auto"/>
                    </w:rPr>
                  </w:pPr>
                  <w:r>
                    <w:rPr>
                      <w:rFonts w:ascii="Times New Roman" w:hAnsi="Times New Roman"/>
                      <w:color w:val="auto"/>
                    </w:rPr>
                    <w:t>70</w:t>
                  </w:r>
                </w:p>
              </w:tc>
              <w:tc>
                <w:tcPr>
                  <w:tcW w:w="2037" w:type="dxa"/>
                  <w:tcBorders>
                    <w:top w:val="single" w:color="auto" w:sz="6" w:space="0"/>
                    <w:left w:val="single" w:color="auto" w:sz="6" w:space="0"/>
                    <w:bottom w:val="single" w:color="auto" w:sz="8" w:space="0"/>
                    <w:right w:val="single" w:color="auto" w:sz="8" w:space="0"/>
                  </w:tcBorders>
                  <w:vAlign w:val="center"/>
                </w:tcPr>
                <w:p>
                  <w:pPr>
                    <w:pStyle w:val="72"/>
                    <w:adjustRightInd w:val="0"/>
                    <w:snapToGrid w:val="0"/>
                    <w:spacing w:line="240" w:lineRule="auto"/>
                    <w:jc w:val="center"/>
                    <w:rPr>
                      <w:rFonts w:ascii="Times New Roman" w:hAnsi="Times New Roman"/>
                      <w:color w:val="auto"/>
                    </w:rPr>
                  </w:pPr>
                  <w:r>
                    <w:rPr>
                      <w:rFonts w:ascii="Times New Roman" w:hAnsi="Times New Roman"/>
                      <w:color w:val="auto"/>
                    </w:rPr>
                    <w:t>55</w:t>
                  </w:r>
                </w:p>
              </w:tc>
            </w:tr>
          </w:tbl>
          <w:p>
            <w:pPr>
              <w:spacing w:line="360" w:lineRule="auto"/>
              <w:ind w:right="-1"/>
              <w:rPr>
                <w:color w:val="auto"/>
                <w:sz w:val="24"/>
              </w:rPr>
            </w:pPr>
            <w:r>
              <w:rPr>
                <w:color w:val="auto"/>
                <w:sz w:val="24"/>
              </w:rPr>
              <w:t>备注：夜间突发的噪声，其最大声级超过环境噪声限值的幅度不得高于15dB（A）。</w:t>
            </w:r>
          </w:p>
          <w:p>
            <w:pPr>
              <w:spacing w:line="360" w:lineRule="auto"/>
              <w:rPr>
                <w:b/>
                <w:color w:val="auto"/>
                <w:sz w:val="24"/>
              </w:rPr>
            </w:pPr>
            <w:r>
              <w:rPr>
                <w:b/>
                <w:color w:val="auto"/>
                <w:sz w:val="24"/>
              </w:rPr>
              <w:t>2、排放标准</w:t>
            </w:r>
          </w:p>
          <w:p>
            <w:pPr>
              <w:spacing w:line="360" w:lineRule="auto"/>
              <w:ind w:firstLine="480" w:firstLineChars="200"/>
              <w:rPr>
                <w:bCs/>
                <w:color w:val="auto"/>
                <w:sz w:val="24"/>
              </w:rPr>
            </w:pPr>
            <w:r>
              <w:rPr>
                <w:bCs/>
                <w:color w:val="auto"/>
                <w:sz w:val="24"/>
              </w:rPr>
              <w:t>1、大气污染物排放标准</w:t>
            </w:r>
          </w:p>
          <w:p>
            <w:pPr>
              <w:spacing w:line="360" w:lineRule="auto"/>
              <w:ind w:firstLine="480" w:firstLineChars="200"/>
              <w:rPr>
                <w:color w:val="auto"/>
                <w:sz w:val="24"/>
              </w:rPr>
            </w:pPr>
            <w:r>
              <w:rPr>
                <w:color w:val="auto"/>
                <w:sz w:val="24"/>
              </w:rPr>
              <w:t>项目施工期扬尘执行《大气污染物综合排放标准》（GB16297-1996）中的无组织排放监控浓度限值。具体限值可见下表3-</w:t>
            </w:r>
            <w:r>
              <w:rPr>
                <w:rFonts w:hint="eastAsia"/>
                <w:color w:val="auto"/>
                <w:sz w:val="24"/>
                <w:lang w:val="en-US" w:eastAsia="zh-CN"/>
              </w:rPr>
              <w:t>8</w:t>
            </w:r>
            <w:r>
              <w:rPr>
                <w:color w:val="auto"/>
                <w:sz w:val="24"/>
              </w:rPr>
              <w:t>。</w:t>
            </w:r>
          </w:p>
          <w:p>
            <w:pPr>
              <w:adjustRightInd w:val="0"/>
              <w:snapToGrid w:val="0"/>
              <w:jc w:val="center"/>
              <w:rPr>
                <w:b/>
                <w:color w:val="auto"/>
                <w:szCs w:val="21"/>
              </w:rPr>
            </w:pPr>
            <w:r>
              <w:rPr>
                <w:b/>
                <w:color w:val="auto"/>
                <w:szCs w:val="21"/>
              </w:rPr>
              <w:t>表3-</w:t>
            </w:r>
            <w:r>
              <w:rPr>
                <w:rFonts w:hint="eastAsia"/>
                <w:b/>
                <w:color w:val="auto"/>
                <w:szCs w:val="21"/>
                <w:lang w:val="en-US" w:eastAsia="zh-CN"/>
              </w:rPr>
              <w:t>8</w:t>
            </w:r>
            <w:r>
              <w:rPr>
                <w:b/>
                <w:color w:val="auto"/>
                <w:szCs w:val="21"/>
              </w:rPr>
              <w:t xml:space="preserve">  《大气污染物综合排放标准》</w:t>
            </w:r>
          </w:p>
          <w:tbl>
            <w:tblPr>
              <w:tblStyle w:val="26"/>
              <w:tblW w:w="7844"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7"/>
              <w:gridCol w:w="1891"/>
              <w:gridCol w:w="2285"/>
              <w:gridCol w:w="264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7" w:type="dxa"/>
                  <w:vMerge w:val="restart"/>
                  <w:vAlign w:val="center"/>
                </w:tcPr>
                <w:p>
                  <w:pPr>
                    <w:jc w:val="center"/>
                    <w:rPr>
                      <w:color w:val="auto"/>
                      <w:szCs w:val="21"/>
                    </w:rPr>
                  </w:pPr>
                  <w:r>
                    <w:rPr>
                      <w:color w:val="auto"/>
                      <w:szCs w:val="21"/>
                    </w:rPr>
                    <w:t>污染物</w:t>
                  </w:r>
                </w:p>
              </w:tc>
              <w:tc>
                <w:tcPr>
                  <w:tcW w:w="1891" w:type="dxa"/>
                  <w:vMerge w:val="restart"/>
                  <w:vAlign w:val="center"/>
                </w:tcPr>
                <w:p>
                  <w:pPr>
                    <w:jc w:val="center"/>
                    <w:rPr>
                      <w:color w:val="auto"/>
                      <w:szCs w:val="21"/>
                    </w:rPr>
                  </w:pPr>
                  <w:r>
                    <w:rPr>
                      <w:color w:val="auto"/>
                      <w:szCs w:val="21"/>
                    </w:rPr>
                    <w:t>最高允许排放浓度（mg/m</w:t>
                  </w:r>
                  <w:r>
                    <w:rPr>
                      <w:color w:val="auto"/>
                      <w:szCs w:val="21"/>
                      <w:vertAlign w:val="superscript"/>
                    </w:rPr>
                    <w:t>3</w:t>
                  </w:r>
                  <w:r>
                    <w:rPr>
                      <w:color w:val="auto"/>
                      <w:szCs w:val="21"/>
                    </w:rPr>
                    <w:t>）</w:t>
                  </w:r>
                </w:p>
              </w:tc>
              <w:tc>
                <w:tcPr>
                  <w:tcW w:w="4926" w:type="dxa"/>
                  <w:gridSpan w:val="2"/>
                  <w:vAlign w:val="center"/>
                </w:tcPr>
                <w:p>
                  <w:pPr>
                    <w:jc w:val="center"/>
                    <w:rPr>
                      <w:color w:val="auto"/>
                      <w:szCs w:val="21"/>
                    </w:rPr>
                  </w:pPr>
                  <w:r>
                    <w:rPr>
                      <w:color w:val="auto"/>
                      <w:szCs w:val="21"/>
                    </w:rPr>
                    <w:t>无组织排放监控浓度限值（mg/m</w:t>
                  </w:r>
                  <w:r>
                    <w:rPr>
                      <w:color w:val="auto"/>
                      <w:szCs w:val="21"/>
                      <w:vertAlign w:val="superscript"/>
                    </w:rPr>
                    <w:t>3</w:t>
                  </w:r>
                  <w:r>
                    <w:rPr>
                      <w:color w:val="auto"/>
                      <w:szCs w:val="21"/>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7" w:type="dxa"/>
                  <w:vMerge w:val="continue"/>
                  <w:vAlign w:val="center"/>
                </w:tcPr>
                <w:p>
                  <w:pPr>
                    <w:jc w:val="center"/>
                    <w:rPr>
                      <w:color w:val="auto"/>
                      <w:szCs w:val="21"/>
                    </w:rPr>
                  </w:pPr>
                </w:p>
              </w:tc>
              <w:tc>
                <w:tcPr>
                  <w:tcW w:w="1891" w:type="dxa"/>
                  <w:vMerge w:val="continue"/>
                  <w:vAlign w:val="center"/>
                </w:tcPr>
                <w:p>
                  <w:pPr>
                    <w:jc w:val="center"/>
                    <w:rPr>
                      <w:color w:val="auto"/>
                      <w:szCs w:val="21"/>
                    </w:rPr>
                  </w:pPr>
                </w:p>
              </w:tc>
              <w:tc>
                <w:tcPr>
                  <w:tcW w:w="2285" w:type="dxa"/>
                  <w:vAlign w:val="center"/>
                </w:tcPr>
                <w:p>
                  <w:pPr>
                    <w:jc w:val="center"/>
                    <w:rPr>
                      <w:color w:val="auto"/>
                      <w:szCs w:val="21"/>
                    </w:rPr>
                  </w:pPr>
                  <w:r>
                    <w:rPr>
                      <w:color w:val="auto"/>
                      <w:szCs w:val="21"/>
                    </w:rPr>
                    <w:t>监控点</w:t>
                  </w:r>
                </w:p>
              </w:tc>
              <w:tc>
                <w:tcPr>
                  <w:tcW w:w="2641" w:type="dxa"/>
                  <w:vAlign w:val="center"/>
                </w:tcPr>
                <w:p>
                  <w:pPr>
                    <w:jc w:val="center"/>
                    <w:rPr>
                      <w:color w:val="auto"/>
                      <w:szCs w:val="21"/>
                    </w:rPr>
                  </w:pPr>
                  <w:r>
                    <w:rPr>
                      <w:color w:val="auto"/>
                      <w:szCs w:val="21"/>
                    </w:rPr>
                    <w:t>浓度</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7" w:type="dxa"/>
                  <w:vAlign w:val="center"/>
                </w:tcPr>
                <w:p>
                  <w:pPr>
                    <w:jc w:val="center"/>
                    <w:rPr>
                      <w:color w:val="auto"/>
                      <w:szCs w:val="21"/>
                    </w:rPr>
                  </w:pPr>
                  <w:r>
                    <w:rPr>
                      <w:color w:val="auto"/>
                      <w:szCs w:val="21"/>
                    </w:rPr>
                    <w:t>颗粒物</w:t>
                  </w:r>
                </w:p>
              </w:tc>
              <w:tc>
                <w:tcPr>
                  <w:tcW w:w="1891" w:type="dxa"/>
                  <w:vAlign w:val="center"/>
                </w:tcPr>
                <w:p>
                  <w:pPr>
                    <w:jc w:val="center"/>
                    <w:rPr>
                      <w:rFonts w:hint="eastAsia" w:eastAsia="宋体"/>
                      <w:color w:val="auto"/>
                      <w:szCs w:val="21"/>
                      <w:lang w:eastAsia="zh-CN"/>
                    </w:rPr>
                  </w:pPr>
                  <w:r>
                    <w:rPr>
                      <w:rFonts w:hint="eastAsia"/>
                      <w:color w:val="auto"/>
                      <w:szCs w:val="21"/>
                      <w:lang w:val="en-US" w:eastAsia="zh-CN"/>
                    </w:rPr>
                    <w:t>/</w:t>
                  </w:r>
                </w:p>
              </w:tc>
              <w:tc>
                <w:tcPr>
                  <w:tcW w:w="2285" w:type="dxa"/>
                  <w:vAlign w:val="center"/>
                </w:tcPr>
                <w:p>
                  <w:pPr>
                    <w:jc w:val="center"/>
                    <w:rPr>
                      <w:rFonts w:hint="eastAsia" w:eastAsia="宋体"/>
                      <w:color w:val="auto"/>
                      <w:szCs w:val="21"/>
                      <w:lang w:eastAsia="zh-CN"/>
                    </w:rPr>
                  </w:pPr>
                  <w:r>
                    <w:rPr>
                      <w:rFonts w:hint="eastAsia"/>
                      <w:color w:val="auto"/>
                      <w:szCs w:val="21"/>
                      <w:lang w:eastAsia="zh-CN"/>
                    </w:rPr>
                    <w:t>周界外浓度最高点</w:t>
                  </w:r>
                </w:p>
              </w:tc>
              <w:tc>
                <w:tcPr>
                  <w:tcW w:w="2641" w:type="dxa"/>
                  <w:vAlign w:val="center"/>
                </w:tcPr>
                <w:p>
                  <w:pPr>
                    <w:jc w:val="center"/>
                    <w:rPr>
                      <w:color w:val="auto"/>
                      <w:szCs w:val="21"/>
                    </w:rPr>
                  </w:pPr>
                  <w:r>
                    <w:rPr>
                      <w:color w:val="auto"/>
                      <w:szCs w:val="21"/>
                    </w:rPr>
                    <w:t>1.0</w:t>
                  </w:r>
                </w:p>
              </w:tc>
            </w:tr>
          </w:tbl>
          <w:p>
            <w:pPr>
              <w:spacing w:line="360" w:lineRule="auto"/>
              <w:ind w:firstLine="480" w:firstLineChars="200"/>
              <w:rPr>
                <w:rFonts w:ascii="Times New Roman" w:hAnsi="Times New Roman" w:cs="Times New Roman"/>
                <w:color w:val="auto"/>
                <w:sz w:val="24"/>
              </w:rPr>
            </w:pPr>
            <w:r>
              <w:rPr>
                <w:rFonts w:hint="eastAsia" w:cs="Times New Roman"/>
                <w:color w:val="auto"/>
                <w:sz w:val="24"/>
                <w:lang w:val="en-US" w:eastAsia="zh-CN"/>
              </w:rPr>
              <w:t>2</w:t>
            </w:r>
            <w:r>
              <w:rPr>
                <w:rFonts w:ascii="Times New Roman" w:hAnsi="Times New Roman" w:cs="Times New Roman"/>
                <w:color w:val="auto"/>
                <w:sz w:val="24"/>
              </w:rPr>
              <w:t>、噪声</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项目噪声执行《建筑施工场界噪声排放标准》（GB12523－2011）标准，见表3-</w:t>
            </w:r>
            <w:r>
              <w:rPr>
                <w:rFonts w:hint="eastAsia" w:cs="Times New Roman"/>
                <w:color w:val="auto"/>
                <w:sz w:val="24"/>
                <w:lang w:val="en-US" w:eastAsia="zh-CN"/>
              </w:rPr>
              <w:t>9</w:t>
            </w:r>
            <w:r>
              <w:rPr>
                <w:rFonts w:ascii="Times New Roman" w:hAnsi="Times New Roman" w:cs="Times New Roman"/>
                <w:color w:val="auto"/>
                <w:sz w:val="24"/>
              </w:rPr>
              <w:t>。</w:t>
            </w:r>
          </w:p>
          <w:p>
            <w:pPr>
              <w:adjustRightInd w:val="0"/>
              <w:snapToGrid w:val="0"/>
              <w:jc w:val="center"/>
              <w:rPr>
                <w:b/>
                <w:color w:val="auto"/>
                <w:szCs w:val="21"/>
              </w:rPr>
            </w:pPr>
            <w:r>
              <w:rPr>
                <w:b/>
                <w:color w:val="auto"/>
                <w:szCs w:val="21"/>
              </w:rPr>
              <w:t>表3-</w:t>
            </w:r>
            <w:r>
              <w:rPr>
                <w:rFonts w:hint="eastAsia"/>
                <w:b/>
                <w:color w:val="auto"/>
                <w:szCs w:val="21"/>
                <w:lang w:val="en-US" w:eastAsia="zh-CN"/>
              </w:rPr>
              <w:t>9</w:t>
            </w:r>
            <w:r>
              <w:rPr>
                <w:b/>
                <w:color w:val="auto"/>
                <w:szCs w:val="21"/>
              </w:rPr>
              <w:t xml:space="preserve"> 建筑施工场界噪声排放标准（GB12523-2011） 单位：dB(A)</w:t>
            </w:r>
          </w:p>
          <w:tbl>
            <w:tblPr>
              <w:tblStyle w:val="26"/>
              <w:tblW w:w="783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3795"/>
              <w:gridCol w:w="404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1" w:hRule="atLeast"/>
              </w:trPr>
              <w:tc>
                <w:tcPr>
                  <w:tcW w:w="3795" w:type="dxa"/>
                  <w:vAlign w:val="center"/>
                </w:tcPr>
                <w:p>
                  <w:pPr>
                    <w:tabs>
                      <w:tab w:val="left" w:pos="360"/>
                    </w:tabs>
                    <w:adjustRightInd w:val="0"/>
                    <w:snapToGrid w:val="0"/>
                    <w:ind w:firstLine="420"/>
                    <w:jc w:val="center"/>
                    <w:rPr>
                      <w:color w:val="auto"/>
                      <w:szCs w:val="21"/>
                    </w:rPr>
                  </w:pPr>
                  <w:r>
                    <w:rPr>
                      <w:color w:val="auto"/>
                      <w:szCs w:val="21"/>
                    </w:rPr>
                    <w:t>昼间</w:t>
                  </w:r>
                </w:p>
              </w:tc>
              <w:tc>
                <w:tcPr>
                  <w:tcW w:w="4043" w:type="dxa"/>
                  <w:vAlign w:val="center"/>
                </w:tcPr>
                <w:p>
                  <w:pPr>
                    <w:tabs>
                      <w:tab w:val="left" w:pos="360"/>
                    </w:tabs>
                    <w:adjustRightInd w:val="0"/>
                    <w:snapToGrid w:val="0"/>
                    <w:ind w:firstLine="420"/>
                    <w:jc w:val="center"/>
                    <w:rPr>
                      <w:color w:val="auto"/>
                      <w:szCs w:val="21"/>
                    </w:rPr>
                  </w:pPr>
                  <w:r>
                    <w:rPr>
                      <w:color w:val="auto"/>
                      <w:szCs w:val="21"/>
                    </w:rPr>
                    <w:t>夜间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2" w:hRule="atLeast"/>
              </w:trPr>
              <w:tc>
                <w:tcPr>
                  <w:tcW w:w="3795" w:type="dxa"/>
                  <w:vAlign w:val="center"/>
                </w:tcPr>
                <w:p>
                  <w:pPr>
                    <w:tabs>
                      <w:tab w:val="left" w:pos="360"/>
                    </w:tabs>
                    <w:adjustRightInd w:val="0"/>
                    <w:snapToGrid w:val="0"/>
                    <w:ind w:firstLine="420"/>
                    <w:jc w:val="center"/>
                    <w:rPr>
                      <w:color w:val="auto"/>
                      <w:szCs w:val="21"/>
                    </w:rPr>
                  </w:pPr>
                  <w:r>
                    <w:rPr>
                      <w:color w:val="auto"/>
                      <w:szCs w:val="21"/>
                    </w:rPr>
                    <w:t>70</w:t>
                  </w:r>
                </w:p>
              </w:tc>
              <w:tc>
                <w:tcPr>
                  <w:tcW w:w="4043" w:type="dxa"/>
                  <w:vAlign w:val="center"/>
                </w:tcPr>
                <w:p>
                  <w:pPr>
                    <w:tabs>
                      <w:tab w:val="left" w:pos="360"/>
                    </w:tabs>
                    <w:adjustRightInd w:val="0"/>
                    <w:snapToGrid w:val="0"/>
                    <w:ind w:firstLine="420"/>
                    <w:jc w:val="center"/>
                    <w:rPr>
                      <w:color w:val="auto"/>
                      <w:szCs w:val="21"/>
                    </w:rPr>
                  </w:pPr>
                  <w:r>
                    <w:rPr>
                      <w:color w:val="auto"/>
                      <w:szCs w:val="21"/>
                    </w:rPr>
                    <w:t>55</w:t>
                  </w:r>
                </w:p>
              </w:tc>
            </w:tr>
          </w:tbl>
          <w:p>
            <w:pPr>
              <w:pStyle w:val="25"/>
              <w:spacing w:line="360" w:lineRule="auto"/>
              <w:ind w:firstLine="480" w:firstLineChars="200"/>
              <w:rPr>
                <w:color w:val="auto"/>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28" w:hRule="atLeast"/>
          <w:jc w:val="center"/>
        </w:trPr>
        <w:tc>
          <w:tcPr>
            <w:tcW w:w="452" w:type="dxa"/>
            <w:vAlign w:val="center"/>
          </w:tcPr>
          <w:p>
            <w:pPr>
              <w:adjustRightInd w:val="0"/>
              <w:snapToGrid w:val="0"/>
              <w:jc w:val="center"/>
              <w:rPr>
                <w:color w:val="auto"/>
                <w:kern w:val="0"/>
                <w:sz w:val="24"/>
              </w:rPr>
            </w:pPr>
            <w:r>
              <w:rPr>
                <w:color w:val="auto"/>
                <w:kern w:val="0"/>
                <w:sz w:val="24"/>
              </w:rPr>
              <w:t>其他</w:t>
            </w:r>
          </w:p>
        </w:tc>
        <w:tc>
          <w:tcPr>
            <w:tcW w:w="8070" w:type="dxa"/>
            <w:vAlign w:val="center"/>
          </w:tcPr>
          <w:p>
            <w:pPr>
              <w:spacing w:line="360" w:lineRule="auto"/>
              <w:rPr>
                <w:b/>
                <w:bCs/>
                <w:color w:val="auto"/>
                <w:sz w:val="24"/>
              </w:rPr>
            </w:pPr>
          </w:p>
          <w:p>
            <w:pPr>
              <w:pStyle w:val="7"/>
              <w:rPr>
                <w:rFonts w:hint="eastAsia"/>
                <w:color w:val="auto"/>
                <w:sz w:val="24"/>
                <w:lang w:eastAsia="zh-CN"/>
              </w:rPr>
            </w:pPr>
          </w:p>
          <w:p>
            <w:pPr>
              <w:pStyle w:val="7"/>
              <w:rPr>
                <w:rFonts w:hint="eastAsia"/>
                <w:color w:val="auto"/>
                <w:sz w:val="24"/>
                <w:lang w:eastAsia="zh-CN"/>
              </w:rPr>
            </w:pPr>
          </w:p>
          <w:p>
            <w:pPr>
              <w:pStyle w:val="7"/>
              <w:rPr>
                <w:rFonts w:hint="eastAsia" w:eastAsia="宋体"/>
                <w:color w:val="auto"/>
                <w:sz w:val="24"/>
                <w:lang w:eastAsia="zh-CN"/>
              </w:rPr>
            </w:pPr>
            <w:r>
              <w:rPr>
                <w:rFonts w:hint="eastAsia"/>
                <w:color w:val="auto"/>
                <w:sz w:val="24"/>
                <w:lang w:eastAsia="zh-CN"/>
              </w:rPr>
              <w:t>无</w:t>
            </w:r>
          </w:p>
          <w:p>
            <w:pPr>
              <w:rPr>
                <w:color w:val="auto"/>
                <w:sz w:val="24"/>
              </w:rPr>
            </w:pPr>
          </w:p>
          <w:p>
            <w:pPr>
              <w:pStyle w:val="7"/>
              <w:rPr>
                <w:color w:val="auto"/>
                <w:sz w:val="24"/>
              </w:rPr>
            </w:pPr>
          </w:p>
          <w:p>
            <w:pPr>
              <w:pStyle w:val="5"/>
              <w:rPr>
                <w:rFonts w:hint="eastAsia"/>
                <w:color w:val="auto"/>
              </w:rPr>
            </w:pPr>
          </w:p>
        </w:tc>
      </w:tr>
    </w:tbl>
    <w:p>
      <w:pPr>
        <w:pStyle w:val="21"/>
        <w:jc w:val="center"/>
        <w:outlineLvl w:val="0"/>
        <w:rPr>
          <w:rFonts w:ascii="Times New Roman" w:hAnsi="Times New Roman"/>
          <w:snapToGrid w:val="0"/>
          <w:color w:val="auto"/>
          <w:sz w:val="30"/>
          <w:szCs w:val="30"/>
        </w:rPr>
      </w:pPr>
      <w:r>
        <w:rPr>
          <w:rFonts w:ascii="Times New Roman" w:hAnsi="Times New Roman"/>
          <w:snapToGrid w:val="0"/>
          <w:color w:val="auto"/>
          <w:kern w:val="2"/>
          <w:sz w:val="36"/>
          <w:szCs w:val="36"/>
        </w:rPr>
        <w:br w:type="page"/>
      </w:r>
      <w:r>
        <w:rPr>
          <w:rFonts w:ascii="Times New Roman" w:hAnsi="Times New Roman"/>
          <w:snapToGrid w:val="0"/>
          <w:color w:val="auto"/>
          <w:sz w:val="30"/>
          <w:szCs w:val="30"/>
        </w:rPr>
        <w:t>四、生态环境影响分析</w:t>
      </w:r>
    </w:p>
    <w:tbl>
      <w:tblPr>
        <w:tblStyle w:val="26"/>
        <w:tblW w:w="84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42"/>
        <w:gridCol w:w="80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4" w:hRule="atLeast"/>
          <w:jc w:val="center"/>
        </w:trPr>
        <w:tc>
          <w:tcPr>
            <w:tcW w:w="780" w:type="dxa"/>
            <w:tcMar>
              <w:left w:w="28" w:type="dxa"/>
              <w:right w:w="28" w:type="dxa"/>
            </w:tcMar>
            <w:vAlign w:val="center"/>
          </w:tcPr>
          <w:p>
            <w:pPr>
              <w:pStyle w:val="21"/>
              <w:adjustRightInd w:val="0"/>
              <w:snapToGrid w:val="0"/>
              <w:spacing w:before="0" w:beforeAutospacing="0" w:after="0" w:afterAutospacing="0"/>
              <w:jc w:val="center"/>
              <w:rPr>
                <w:rFonts w:ascii="Times New Roman" w:hAnsi="Times New Roman"/>
                <w:bCs/>
                <w:color w:val="auto"/>
                <w:kern w:val="2"/>
              </w:rPr>
            </w:pPr>
            <w:r>
              <w:rPr>
                <w:rFonts w:ascii="Times New Roman" w:hAnsi="Times New Roman"/>
                <w:bCs/>
                <w:color w:val="auto"/>
                <w:spacing w:val="10"/>
                <w:kern w:val="2"/>
              </w:rPr>
              <w:t>施工期生态环境影响分析</w:t>
            </w:r>
          </w:p>
        </w:tc>
        <w:tc>
          <w:tcPr>
            <w:tcW w:w="7662" w:type="dxa"/>
          </w:tcPr>
          <w:p>
            <w:pPr>
              <w:keepNext w:val="0"/>
              <w:keepLines w:val="0"/>
              <w:pageBreakBefore w:val="0"/>
              <w:widowControl/>
              <w:suppressLineNumbers w:val="0"/>
              <w:kinsoku/>
              <w:wordWrap/>
              <w:overflowPunct/>
              <w:topLinePunct w:val="0"/>
              <w:bidi w:val="0"/>
              <w:adjustRightInd/>
              <w:snapToGrid/>
              <w:spacing w:line="360" w:lineRule="auto"/>
              <w:jc w:val="left"/>
              <w:textAlignment w:val="auto"/>
              <w:rPr>
                <w:rFonts w:ascii="Times New Roman" w:hAnsi="Times New Roman" w:eastAsia="宋体"/>
                <w:b/>
                <w:color w:val="auto"/>
                <w:sz w:val="24"/>
                <w:szCs w:val="24"/>
                <w:highlight w:val="none"/>
              </w:rPr>
            </w:pPr>
            <w:r>
              <w:rPr>
                <w:rFonts w:hint="default" w:ascii="Times New Roman" w:hAnsi="Times New Roman" w:cs="Times New Roman"/>
                <w:color w:val="auto"/>
                <w:sz w:val="24"/>
                <w:szCs w:val="24"/>
                <w:highlight w:val="none"/>
                <w:lang w:val="en-US" w:eastAsia="zh-CN"/>
              </w:rPr>
              <w:t>1</w:t>
            </w:r>
            <w:r>
              <w:rPr>
                <w:rFonts w:hint="default" w:ascii="Times New Roman" w:hAnsi="Times New Roman" w:eastAsia="宋体" w:cs="Times New Roman"/>
                <w:b/>
                <w:color w:val="auto"/>
                <w:sz w:val="24"/>
                <w:szCs w:val="24"/>
                <w:highlight w:val="none"/>
                <w:lang w:val="en-US" w:eastAsia="zh-CN"/>
              </w:rPr>
              <w:t>、</w:t>
            </w:r>
            <w:r>
              <w:rPr>
                <w:rFonts w:hint="eastAsia" w:ascii="Times New Roman" w:hAnsi="Times New Roman" w:eastAsia="宋体"/>
                <w:b/>
                <w:color w:val="auto"/>
                <w:sz w:val="24"/>
                <w:szCs w:val="24"/>
                <w:highlight w:val="none"/>
                <w:lang w:eastAsia="zh-CN"/>
              </w:rPr>
              <w:t>生态</w:t>
            </w:r>
            <w:r>
              <w:rPr>
                <w:rFonts w:ascii="Times New Roman" w:hAnsi="Times New Roman" w:eastAsia="宋体"/>
                <w:b/>
                <w:color w:val="auto"/>
                <w:sz w:val="24"/>
                <w:szCs w:val="24"/>
                <w:highlight w:val="none"/>
                <w:lang w:val="en-US" w:eastAsia="zh-CN"/>
              </w:rPr>
              <w:t>破坏和环境</w:t>
            </w:r>
            <w:r>
              <w:rPr>
                <w:rFonts w:ascii="Times New Roman" w:hAnsi="Times New Roman" w:eastAsia="宋体"/>
                <w:b/>
                <w:color w:val="auto"/>
                <w:sz w:val="24"/>
                <w:szCs w:val="24"/>
                <w:highlight w:val="none"/>
              </w:rPr>
              <w:t>污染工序</w:t>
            </w:r>
          </w:p>
          <w:p>
            <w:pPr>
              <w:keepNext w:val="0"/>
              <w:keepLines w:val="0"/>
              <w:pageBreakBefore w:val="0"/>
              <w:kinsoku/>
              <w:wordWrap/>
              <w:overflowPunct/>
              <w:topLinePunct w:val="0"/>
              <w:bidi w:val="0"/>
              <w:adjustRightInd/>
              <w:snapToGrid/>
              <w:spacing w:line="360" w:lineRule="auto"/>
              <w:ind w:firstLine="482"/>
              <w:contextualSpacing/>
              <w:jc w:val="left"/>
              <w:textAlignment w:val="auto"/>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本项目施工方式主要</w:t>
            </w:r>
            <w:r>
              <w:rPr>
                <w:rFonts w:hint="eastAsia"/>
                <w:color w:val="auto"/>
                <w:sz w:val="24"/>
                <w:szCs w:val="24"/>
                <w:highlight w:val="none"/>
                <w:lang w:eastAsia="zh-CN"/>
              </w:rPr>
              <w:t>采取</w:t>
            </w:r>
            <w:r>
              <w:rPr>
                <w:rFonts w:hint="eastAsia" w:ascii="Times New Roman" w:hAnsi="Times New Roman" w:eastAsia="宋体"/>
                <w:color w:val="auto"/>
                <w:sz w:val="24"/>
                <w:szCs w:val="24"/>
                <w:highlight w:val="none"/>
              </w:rPr>
              <w:t>机械施工方式，部分</w:t>
            </w:r>
            <w:r>
              <w:rPr>
                <w:rFonts w:hint="eastAsia"/>
                <w:color w:val="auto"/>
                <w:sz w:val="24"/>
                <w:szCs w:val="24"/>
                <w:highlight w:val="none"/>
                <w:lang w:eastAsia="zh-CN"/>
              </w:rPr>
              <w:t>工序</w:t>
            </w:r>
            <w:r>
              <w:rPr>
                <w:rFonts w:hint="eastAsia" w:ascii="Times New Roman" w:hAnsi="Times New Roman" w:eastAsia="宋体"/>
                <w:color w:val="auto"/>
                <w:sz w:val="24"/>
                <w:szCs w:val="24"/>
                <w:highlight w:val="none"/>
              </w:rPr>
              <w:t>采用人工施工方式。</w:t>
            </w:r>
          </w:p>
          <w:p>
            <w:pPr>
              <w:keepNext w:val="0"/>
              <w:keepLines w:val="0"/>
              <w:pageBreakBefore w:val="0"/>
              <w:kinsoku/>
              <w:wordWrap/>
              <w:overflowPunct/>
              <w:topLinePunct w:val="0"/>
              <w:bidi w:val="0"/>
              <w:adjustRightInd/>
              <w:snapToGrid/>
              <w:spacing w:line="360" w:lineRule="auto"/>
              <w:ind w:firstLine="482"/>
              <w:contextualSpacing/>
              <w:jc w:val="left"/>
              <w:textAlignment w:val="auto"/>
              <w:rPr>
                <w:rFonts w:ascii="Times New Roman" w:hAnsi="Times New Roman" w:eastAsia="宋体"/>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1</w:t>
            </w:r>
            <w:r>
              <w:rPr>
                <w:rFonts w:hint="eastAsia"/>
                <w:color w:val="auto"/>
                <w:sz w:val="24"/>
                <w:szCs w:val="24"/>
                <w:highlight w:val="none"/>
                <w:lang w:eastAsia="zh-CN"/>
              </w:rPr>
              <w:t>）</w:t>
            </w:r>
            <w:r>
              <w:rPr>
                <w:rFonts w:hint="eastAsia" w:ascii="Times New Roman" w:hAnsi="Times New Roman" w:eastAsia="宋体"/>
                <w:color w:val="auto"/>
                <w:sz w:val="24"/>
                <w:szCs w:val="24"/>
                <w:highlight w:val="none"/>
              </w:rPr>
              <w:t>场地清理</w:t>
            </w:r>
            <w:r>
              <w:rPr>
                <w:rFonts w:hint="eastAsia"/>
                <w:color w:val="auto"/>
                <w:sz w:val="24"/>
                <w:szCs w:val="24"/>
                <w:highlight w:val="none"/>
                <w:lang w:eastAsia="zh-CN"/>
              </w:rPr>
              <w:t>造成的植被减少、景观破坏等：</w:t>
            </w:r>
          </w:p>
          <w:p>
            <w:pPr>
              <w:keepNext w:val="0"/>
              <w:keepLines w:val="0"/>
              <w:pageBreakBefore w:val="0"/>
              <w:kinsoku/>
              <w:wordWrap/>
              <w:overflowPunct/>
              <w:topLinePunct w:val="0"/>
              <w:bidi w:val="0"/>
              <w:adjustRightInd/>
              <w:snapToGrid/>
              <w:spacing w:line="360" w:lineRule="auto"/>
              <w:ind w:firstLine="482"/>
              <w:contextualSpacing/>
              <w:jc w:val="left"/>
              <w:textAlignment w:val="auto"/>
              <w:rPr>
                <w:rFonts w:ascii="Times New Roman" w:hAnsi="Times New Roman" w:eastAsia="宋体"/>
                <w:color w:val="auto"/>
                <w:sz w:val="24"/>
                <w:szCs w:val="24"/>
              </w:rPr>
            </w:pPr>
            <w:r>
              <w:rPr>
                <w:rFonts w:hint="eastAsia"/>
                <w:color w:val="auto"/>
                <w:sz w:val="24"/>
                <w:szCs w:val="24"/>
                <w:lang w:val="en-US" w:eastAsia="zh-CN"/>
              </w:rPr>
              <w:t>（2）</w:t>
            </w:r>
            <w:r>
              <w:rPr>
                <w:rFonts w:ascii="Times New Roman" w:hAnsi="Times New Roman" w:eastAsia="宋体"/>
                <w:color w:val="auto"/>
                <w:sz w:val="24"/>
                <w:szCs w:val="24"/>
              </w:rPr>
              <w:t>施工期</w:t>
            </w:r>
            <w:r>
              <w:rPr>
                <w:rFonts w:hint="eastAsia"/>
                <w:color w:val="auto"/>
                <w:sz w:val="24"/>
                <w:szCs w:val="24"/>
                <w:lang w:eastAsia="zh-CN"/>
              </w:rPr>
              <w:t>基础开挖、基础回填及</w:t>
            </w:r>
            <w:r>
              <w:rPr>
                <w:rFonts w:ascii="Times New Roman" w:hAnsi="Times New Roman" w:eastAsia="宋体"/>
                <w:color w:val="auto"/>
                <w:sz w:val="24"/>
                <w:szCs w:val="24"/>
              </w:rPr>
              <w:t>车辆行驶产生的无组织排放扬尘，施工机械、运输车辆排放的尾气；</w:t>
            </w:r>
          </w:p>
          <w:p>
            <w:pPr>
              <w:keepNext w:val="0"/>
              <w:keepLines w:val="0"/>
              <w:pageBreakBefore w:val="0"/>
              <w:kinsoku/>
              <w:wordWrap/>
              <w:overflowPunct/>
              <w:topLinePunct w:val="0"/>
              <w:bidi w:val="0"/>
              <w:adjustRightInd/>
              <w:snapToGrid/>
              <w:spacing w:line="360" w:lineRule="auto"/>
              <w:ind w:firstLine="482"/>
              <w:contextualSpacing/>
              <w:jc w:val="left"/>
              <w:textAlignment w:val="auto"/>
              <w:rPr>
                <w:rFonts w:ascii="Times New Roman" w:hAnsi="Times New Roman" w:eastAsia="宋体"/>
                <w:color w:val="auto"/>
                <w:sz w:val="24"/>
                <w:szCs w:val="24"/>
              </w:rPr>
            </w:pPr>
            <w:r>
              <w:rPr>
                <w:rFonts w:hint="eastAsia"/>
                <w:color w:val="auto"/>
                <w:sz w:val="24"/>
                <w:szCs w:val="24"/>
                <w:lang w:val="en-US" w:eastAsia="zh-CN"/>
              </w:rPr>
              <w:t>（3）</w:t>
            </w:r>
            <w:r>
              <w:rPr>
                <w:rFonts w:ascii="Times New Roman" w:hAnsi="Times New Roman" w:eastAsia="宋体"/>
                <w:bCs/>
                <w:color w:val="auto"/>
                <w:sz w:val="24"/>
                <w:szCs w:val="24"/>
              </w:rPr>
              <w:t>施工过程中</w:t>
            </w:r>
            <w:r>
              <w:rPr>
                <w:rFonts w:hint="eastAsia" w:ascii="Times New Roman" w:hAnsi="Times New Roman" w:eastAsia="宋体"/>
                <w:bCs/>
                <w:color w:val="auto"/>
                <w:sz w:val="24"/>
                <w:szCs w:val="24"/>
                <w:lang w:eastAsia="zh-CN"/>
              </w:rPr>
              <w:t>主要为</w:t>
            </w:r>
            <w:r>
              <w:rPr>
                <w:rFonts w:ascii="Times New Roman" w:hAnsi="Times New Roman" w:eastAsia="宋体"/>
                <w:color w:val="auto"/>
                <w:sz w:val="24"/>
                <w:szCs w:val="24"/>
              </w:rPr>
              <w:t>施工人员</w:t>
            </w:r>
            <w:r>
              <w:rPr>
                <w:rFonts w:hint="eastAsia" w:ascii="Times New Roman" w:hAnsi="Times New Roman" w:eastAsia="宋体"/>
                <w:color w:val="auto"/>
                <w:sz w:val="24"/>
                <w:szCs w:val="24"/>
              </w:rPr>
              <w:t>产生的少量</w:t>
            </w:r>
            <w:r>
              <w:rPr>
                <w:rFonts w:hint="eastAsia"/>
                <w:color w:val="auto"/>
                <w:sz w:val="24"/>
                <w:szCs w:val="24"/>
                <w:lang w:eastAsia="zh-CN"/>
              </w:rPr>
              <w:t>洗漱废水</w:t>
            </w:r>
            <w:r>
              <w:rPr>
                <w:rFonts w:hint="eastAsia" w:ascii="Times New Roman" w:hAnsi="Times New Roman" w:eastAsia="宋体"/>
                <w:color w:val="auto"/>
                <w:sz w:val="24"/>
                <w:szCs w:val="24"/>
              </w:rPr>
              <w:t>；</w:t>
            </w:r>
          </w:p>
          <w:p>
            <w:pPr>
              <w:keepNext w:val="0"/>
              <w:keepLines w:val="0"/>
              <w:pageBreakBefore w:val="0"/>
              <w:kinsoku/>
              <w:wordWrap/>
              <w:overflowPunct/>
              <w:topLinePunct w:val="0"/>
              <w:bidi w:val="0"/>
              <w:adjustRightInd/>
              <w:snapToGrid/>
              <w:spacing w:line="360" w:lineRule="auto"/>
              <w:ind w:firstLine="480" w:firstLineChars="200"/>
              <w:contextualSpacing/>
              <w:jc w:val="left"/>
              <w:textAlignment w:val="auto"/>
              <w:rPr>
                <w:rFonts w:ascii="Times New Roman" w:hAnsi="Times New Roman" w:eastAsia="宋体"/>
                <w:color w:val="auto"/>
                <w:sz w:val="24"/>
                <w:szCs w:val="24"/>
              </w:rPr>
            </w:pPr>
            <w:r>
              <w:rPr>
                <w:rFonts w:hint="eastAsia"/>
                <w:color w:val="auto"/>
                <w:sz w:val="24"/>
                <w:szCs w:val="24"/>
                <w:lang w:val="en-US" w:eastAsia="zh-CN"/>
              </w:rPr>
              <w:t>（4）</w:t>
            </w:r>
            <w:r>
              <w:rPr>
                <w:rFonts w:ascii="Times New Roman" w:hAnsi="Times New Roman" w:eastAsia="宋体"/>
                <w:color w:val="auto"/>
                <w:sz w:val="24"/>
                <w:szCs w:val="24"/>
              </w:rPr>
              <w:t>施工期间挖掘机、推土机、装载机等施工机械产生的机械性噪声；</w:t>
            </w:r>
          </w:p>
          <w:p>
            <w:pPr>
              <w:keepNext w:val="0"/>
              <w:keepLines w:val="0"/>
              <w:pageBreakBefore w:val="0"/>
              <w:kinsoku/>
              <w:wordWrap/>
              <w:overflowPunct/>
              <w:topLinePunct w:val="0"/>
              <w:bidi w:val="0"/>
              <w:adjustRightInd/>
              <w:snapToGrid/>
              <w:spacing w:line="360" w:lineRule="auto"/>
              <w:ind w:firstLine="480" w:firstLineChars="200"/>
              <w:contextualSpacing/>
              <w:jc w:val="left"/>
              <w:textAlignment w:val="auto"/>
              <w:rPr>
                <w:rFonts w:ascii="Times New Roman" w:hAnsi="Times New Roman" w:eastAsia="宋体"/>
                <w:color w:val="auto"/>
                <w:sz w:val="24"/>
                <w:szCs w:val="24"/>
              </w:rPr>
            </w:pPr>
            <w:r>
              <w:rPr>
                <w:rFonts w:hint="eastAsia"/>
                <w:color w:val="auto"/>
                <w:sz w:val="24"/>
                <w:szCs w:val="24"/>
                <w:lang w:val="en-US" w:eastAsia="zh-CN"/>
              </w:rPr>
              <w:t>（5）</w:t>
            </w:r>
            <w:r>
              <w:rPr>
                <w:rFonts w:ascii="Times New Roman" w:hAnsi="Times New Roman" w:eastAsia="宋体"/>
                <w:color w:val="auto"/>
                <w:sz w:val="24"/>
                <w:szCs w:val="24"/>
              </w:rPr>
              <w:t>施工人员</w:t>
            </w:r>
            <w:r>
              <w:rPr>
                <w:rFonts w:hint="eastAsia" w:ascii="Times New Roman" w:hAnsi="Times New Roman" w:eastAsia="宋体"/>
                <w:color w:val="auto"/>
                <w:sz w:val="24"/>
                <w:szCs w:val="24"/>
              </w:rPr>
              <w:t>产生的少量</w:t>
            </w:r>
            <w:r>
              <w:rPr>
                <w:rFonts w:ascii="Times New Roman" w:hAnsi="Times New Roman" w:eastAsia="宋体"/>
                <w:color w:val="auto"/>
                <w:sz w:val="24"/>
                <w:szCs w:val="24"/>
              </w:rPr>
              <w:t>生活</w:t>
            </w:r>
            <w:r>
              <w:rPr>
                <w:rFonts w:hint="eastAsia" w:ascii="Times New Roman" w:hAnsi="Times New Roman" w:eastAsia="宋体"/>
                <w:color w:val="auto"/>
                <w:sz w:val="24"/>
                <w:szCs w:val="24"/>
              </w:rPr>
              <w:t>垃圾；</w:t>
            </w:r>
          </w:p>
          <w:p>
            <w:pPr>
              <w:keepNext w:val="0"/>
              <w:keepLines w:val="0"/>
              <w:pageBreakBefore w:val="0"/>
              <w:kinsoku/>
              <w:wordWrap/>
              <w:overflowPunct/>
              <w:topLinePunct w:val="0"/>
              <w:bidi w:val="0"/>
              <w:adjustRightInd/>
              <w:snapToGrid/>
              <w:spacing w:line="360" w:lineRule="auto"/>
              <w:ind w:firstLine="480" w:firstLineChars="200"/>
              <w:contextualSpacing/>
              <w:jc w:val="left"/>
              <w:textAlignment w:val="auto"/>
              <w:rPr>
                <w:rFonts w:hint="eastAsia" w:ascii="Times New Roman" w:hAnsi="Times New Roman" w:eastAsia="宋体"/>
                <w:color w:val="auto"/>
                <w:sz w:val="24"/>
                <w:szCs w:val="24"/>
              </w:rPr>
            </w:pPr>
            <w:r>
              <w:rPr>
                <w:rFonts w:hint="eastAsia"/>
                <w:color w:val="auto"/>
                <w:sz w:val="24"/>
                <w:szCs w:val="24"/>
                <w:lang w:val="en-US" w:eastAsia="zh-CN"/>
              </w:rPr>
              <w:t>（6）</w:t>
            </w:r>
            <w:r>
              <w:rPr>
                <w:rFonts w:hint="eastAsia" w:ascii="Times New Roman" w:hAnsi="Times New Roman" w:eastAsia="宋体"/>
                <w:color w:val="auto"/>
                <w:sz w:val="24"/>
                <w:szCs w:val="24"/>
              </w:rPr>
              <w:t>场地清理、场地恢复、绿化等过程产生的水土流失。</w:t>
            </w:r>
          </w:p>
          <w:p>
            <w:pPr>
              <w:pStyle w:val="61"/>
              <w:keepNext w:val="0"/>
              <w:keepLines w:val="0"/>
              <w:pageBreakBefore w:val="0"/>
              <w:kinsoku/>
              <w:wordWrap/>
              <w:overflowPunct/>
              <w:topLinePunct w:val="0"/>
              <w:bidi w:val="0"/>
              <w:adjustRightInd/>
              <w:snapToGrid/>
              <w:spacing w:line="360" w:lineRule="auto"/>
              <w:jc w:val="left"/>
              <w:textAlignment w:val="auto"/>
              <w:rPr>
                <w:rFonts w:hint="eastAsia"/>
                <w:color w:val="auto"/>
                <w:sz w:val="24"/>
                <w:szCs w:val="24"/>
                <w:highlight w:val="none"/>
                <w:lang w:val="en-US" w:eastAsia="zh-CN"/>
              </w:rPr>
            </w:pPr>
            <w:r>
              <w:rPr>
                <w:rFonts w:hint="eastAsia"/>
                <w:b w:val="0"/>
                <w:bCs/>
                <w:color w:val="auto"/>
                <w:sz w:val="24"/>
                <w:szCs w:val="24"/>
                <w:highlight w:val="none"/>
                <w:lang w:val="en-US" w:eastAsia="zh-CN"/>
              </w:rPr>
              <w:t>施工期具体产污工序</w:t>
            </w:r>
            <w:r>
              <w:rPr>
                <w:rFonts w:hint="eastAsia"/>
                <w:color w:val="auto"/>
                <w:sz w:val="24"/>
                <w:szCs w:val="24"/>
                <w:highlight w:val="none"/>
                <w:lang w:val="en-US" w:eastAsia="zh-CN"/>
              </w:rPr>
              <w:t>及污染物见表4-1。</w:t>
            </w:r>
          </w:p>
          <w:p>
            <w:pPr>
              <w:pStyle w:val="57"/>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color w:val="auto"/>
                <w:highlight w:val="none"/>
                <w:lang w:val="en-US" w:eastAsia="zh-CN"/>
              </w:rPr>
            </w:pPr>
            <w:r>
              <w:rPr>
                <w:rFonts w:hint="eastAsia"/>
                <w:color w:val="auto"/>
                <w:highlight w:val="none"/>
                <w:lang w:val="en-US" w:eastAsia="zh-CN"/>
              </w:rPr>
              <w:t>表4-1  项目施工期主要污染工序一览表</w:t>
            </w:r>
          </w:p>
          <w:tbl>
            <w:tblPr>
              <w:tblStyle w:val="27"/>
              <w:tblW w:w="76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2067"/>
              <w:gridCol w:w="1458"/>
              <w:gridCol w:w="1734"/>
              <w:gridCol w:w="17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681" w:type="dxa"/>
                  <w:tcBorders>
                    <w:tl2br w:val="nil"/>
                    <w:tr2bl w:val="nil"/>
                  </w:tcBorders>
                  <w:noWrap w:val="0"/>
                  <w:vAlign w:val="center"/>
                </w:tcPr>
                <w:p>
                  <w:pPr>
                    <w:pStyle w:val="56"/>
                    <w:bidi w:val="0"/>
                    <w:jc w:val="center"/>
                    <w:rPr>
                      <w:rFonts w:hint="eastAsia"/>
                      <w:color w:val="auto"/>
                      <w:sz w:val="21"/>
                      <w:szCs w:val="21"/>
                      <w:highlight w:val="none"/>
                      <w:lang w:val="en-US" w:eastAsia="zh-CN"/>
                    </w:rPr>
                  </w:pPr>
                  <w:r>
                    <w:rPr>
                      <w:rFonts w:hint="eastAsia"/>
                      <w:color w:val="auto"/>
                      <w:sz w:val="21"/>
                      <w:szCs w:val="21"/>
                      <w:highlight w:val="none"/>
                      <w:lang w:val="en-US" w:eastAsia="zh-CN"/>
                    </w:rPr>
                    <w:t>项目</w:t>
                  </w:r>
                </w:p>
              </w:tc>
              <w:tc>
                <w:tcPr>
                  <w:tcW w:w="2067" w:type="dxa"/>
                  <w:tcBorders>
                    <w:tl2br w:val="nil"/>
                    <w:tr2bl w:val="nil"/>
                  </w:tcBorders>
                  <w:noWrap w:val="0"/>
                  <w:vAlign w:val="center"/>
                </w:tcPr>
                <w:p>
                  <w:pPr>
                    <w:pStyle w:val="56"/>
                    <w:bidi w:val="0"/>
                    <w:jc w:val="center"/>
                    <w:rPr>
                      <w:rFonts w:hint="eastAsia"/>
                      <w:color w:val="auto"/>
                      <w:sz w:val="21"/>
                      <w:szCs w:val="21"/>
                      <w:highlight w:val="none"/>
                      <w:lang w:val="en-US" w:eastAsia="zh-CN"/>
                    </w:rPr>
                  </w:pPr>
                  <w:r>
                    <w:rPr>
                      <w:rFonts w:hint="eastAsia"/>
                      <w:color w:val="auto"/>
                      <w:sz w:val="21"/>
                      <w:szCs w:val="21"/>
                      <w:highlight w:val="none"/>
                      <w:lang w:val="en-US" w:eastAsia="zh-CN"/>
                    </w:rPr>
                    <w:t>产污环节</w:t>
                  </w:r>
                </w:p>
              </w:tc>
              <w:tc>
                <w:tcPr>
                  <w:tcW w:w="1458" w:type="dxa"/>
                  <w:tcBorders>
                    <w:tl2br w:val="nil"/>
                    <w:tr2bl w:val="nil"/>
                  </w:tcBorders>
                  <w:noWrap w:val="0"/>
                  <w:vAlign w:val="center"/>
                </w:tcPr>
                <w:p>
                  <w:pPr>
                    <w:pStyle w:val="56"/>
                    <w:bidi w:val="0"/>
                    <w:jc w:val="center"/>
                    <w:rPr>
                      <w:rFonts w:hint="eastAsia"/>
                      <w:color w:val="auto"/>
                      <w:sz w:val="21"/>
                      <w:szCs w:val="21"/>
                      <w:highlight w:val="none"/>
                      <w:lang w:val="en-US" w:eastAsia="zh-CN"/>
                    </w:rPr>
                  </w:pPr>
                  <w:r>
                    <w:rPr>
                      <w:rFonts w:hint="eastAsia"/>
                      <w:color w:val="auto"/>
                      <w:sz w:val="21"/>
                      <w:szCs w:val="21"/>
                      <w:highlight w:val="none"/>
                      <w:lang w:val="en-US" w:eastAsia="zh-CN"/>
                    </w:rPr>
                    <w:t>污染物</w:t>
                  </w:r>
                </w:p>
              </w:tc>
              <w:tc>
                <w:tcPr>
                  <w:tcW w:w="1734" w:type="dxa"/>
                  <w:tcBorders>
                    <w:tl2br w:val="nil"/>
                    <w:tr2bl w:val="nil"/>
                  </w:tcBorders>
                  <w:noWrap w:val="0"/>
                  <w:vAlign w:val="center"/>
                </w:tcPr>
                <w:p>
                  <w:pPr>
                    <w:pStyle w:val="56"/>
                    <w:bidi w:val="0"/>
                    <w:jc w:val="center"/>
                    <w:rPr>
                      <w:rFonts w:hint="eastAsia"/>
                      <w:color w:val="auto"/>
                      <w:sz w:val="21"/>
                      <w:szCs w:val="21"/>
                      <w:highlight w:val="none"/>
                      <w:lang w:val="en-US" w:eastAsia="zh-CN"/>
                    </w:rPr>
                  </w:pPr>
                  <w:r>
                    <w:rPr>
                      <w:rFonts w:hint="eastAsia"/>
                      <w:color w:val="auto"/>
                      <w:sz w:val="21"/>
                      <w:szCs w:val="21"/>
                      <w:highlight w:val="none"/>
                      <w:lang w:val="en-US" w:eastAsia="zh-CN"/>
                    </w:rPr>
                    <w:t>污染因子</w:t>
                  </w:r>
                </w:p>
              </w:tc>
              <w:tc>
                <w:tcPr>
                  <w:tcW w:w="1738" w:type="dxa"/>
                  <w:tcBorders>
                    <w:tl2br w:val="nil"/>
                    <w:tr2bl w:val="nil"/>
                  </w:tcBorders>
                  <w:noWrap w:val="0"/>
                  <w:vAlign w:val="center"/>
                </w:tcPr>
                <w:p>
                  <w:pPr>
                    <w:pStyle w:val="56"/>
                    <w:bidi w:val="0"/>
                    <w:jc w:val="center"/>
                    <w:rPr>
                      <w:rFonts w:hint="eastAsia"/>
                      <w:color w:val="auto"/>
                      <w:sz w:val="21"/>
                      <w:szCs w:val="21"/>
                      <w:highlight w:val="none"/>
                      <w:lang w:val="en-US" w:eastAsia="zh-CN"/>
                    </w:rPr>
                  </w:pPr>
                  <w:r>
                    <w:rPr>
                      <w:rFonts w:hint="eastAsia"/>
                      <w:color w:val="auto"/>
                      <w:sz w:val="21"/>
                      <w:szCs w:val="21"/>
                      <w:highlight w:val="none"/>
                      <w:lang w:val="en-US" w:eastAsia="zh-CN"/>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81" w:type="dxa"/>
                  <w:vMerge w:val="restart"/>
                  <w:tcBorders>
                    <w:tl2br w:val="nil"/>
                    <w:tr2bl w:val="nil"/>
                  </w:tcBorders>
                  <w:noWrap w:val="0"/>
                  <w:vAlign w:val="center"/>
                </w:tcPr>
                <w:p>
                  <w:pPr>
                    <w:pStyle w:val="56"/>
                    <w:bidi w:val="0"/>
                    <w:jc w:val="center"/>
                    <w:rPr>
                      <w:rFonts w:hint="eastAsia"/>
                      <w:color w:val="auto"/>
                      <w:sz w:val="21"/>
                      <w:szCs w:val="21"/>
                      <w:highlight w:val="none"/>
                      <w:lang w:val="en-US" w:eastAsia="zh-CN"/>
                    </w:rPr>
                  </w:pPr>
                  <w:r>
                    <w:rPr>
                      <w:rFonts w:hint="eastAsia"/>
                      <w:color w:val="auto"/>
                      <w:sz w:val="21"/>
                      <w:szCs w:val="21"/>
                      <w:highlight w:val="none"/>
                      <w:lang w:val="en-US" w:eastAsia="zh-CN"/>
                    </w:rPr>
                    <w:t>废气</w:t>
                  </w:r>
                </w:p>
              </w:tc>
              <w:tc>
                <w:tcPr>
                  <w:tcW w:w="2067" w:type="dxa"/>
                  <w:tcBorders>
                    <w:tl2br w:val="nil"/>
                    <w:tr2bl w:val="nil"/>
                  </w:tcBorders>
                  <w:noWrap w:val="0"/>
                  <w:vAlign w:val="center"/>
                </w:tcPr>
                <w:p>
                  <w:pPr>
                    <w:pStyle w:val="56"/>
                    <w:bidi w:val="0"/>
                    <w:jc w:val="center"/>
                    <w:rPr>
                      <w:rFonts w:hint="eastAsia"/>
                      <w:color w:val="auto"/>
                      <w:sz w:val="21"/>
                      <w:szCs w:val="21"/>
                      <w:highlight w:val="none"/>
                      <w:lang w:val="en-US" w:eastAsia="zh-CN"/>
                    </w:rPr>
                  </w:pPr>
                  <w:r>
                    <w:rPr>
                      <w:rFonts w:hint="eastAsia"/>
                      <w:color w:val="auto"/>
                      <w:sz w:val="21"/>
                      <w:szCs w:val="21"/>
                      <w:highlight w:val="none"/>
                      <w:lang w:val="en-US" w:eastAsia="zh-CN"/>
                    </w:rPr>
                    <w:t>土方开挖、回填</w:t>
                  </w:r>
                </w:p>
              </w:tc>
              <w:tc>
                <w:tcPr>
                  <w:tcW w:w="1458" w:type="dxa"/>
                  <w:tcBorders>
                    <w:tl2br w:val="nil"/>
                    <w:tr2bl w:val="nil"/>
                  </w:tcBorders>
                  <w:noWrap w:val="0"/>
                  <w:vAlign w:val="center"/>
                </w:tcPr>
                <w:p>
                  <w:pPr>
                    <w:pStyle w:val="56"/>
                    <w:bidi w:val="0"/>
                    <w:jc w:val="center"/>
                    <w:rPr>
                      <w:rFonts w:hint="eastAsia"/>
                      <w:color w:val="auto"/>
                      <w:sz w:val="21"/>
                      <w:szCs w:val="21"/>
                      <w:highlight w:val="none"/>
                      <w:lang w:val="en-US" w:eastAsia="zh-CN"/>
                    </w:rPr>
                  </w:pPr>
                  <w:r>
                    <w:rPr>
                      <w:rFonts w:hint="eastAsia"/>
                      <w:color w:val="auto"/>
                      <w:sz w:val="21"/>
                      <w:szCs w:val="21"/>
                      <w:highlight w:val="none"/>
                      <w:lang w:val="en-US" w:eastAsia="zh-CN"/>
                    </w:rPr>
                    <w:t>扬尘</w:t>
                  </w:r>
                </w:p>
              </w:tc>
              <w:tc>
                <w:tcPr>
                  <w:tcW w:w="1734" w:type="dxa"/>
                  <w:tcBorders>
                    <w:tl2br w:val="nil"/>
                    <w:tr2bl w:val="nil"/>
                  </w:tcBorders>
                  <w:noWrap w:val="0"/>
                  <w:vAlign w:val="center"/>
                </w:tcPr>
                <w:p>
                  <w:pPr>
                    <w:pStyle w:val="56"/>
                    <w:bidi w:val="0"/>
                    <w:jc w:val="center"/>
                    <w:rPr>
                      <w:rFonts w:hint="eastAsia"/>
                      <w:color w:val="auto"/>
                      <w:sz w:val="21"/>
                      <w:szCs w:val="21"/>
                      <w:highlight w:val="none"/>
                      <w:lang w:val="en-US" w:eastAsia="zh-CN"/>
                    </w:rPr>
                  </w:pPr>
                  <w:r>
                    <w:rPr>
                      <w:rFonts w:hint="eastAsia"/>
                      <w:color w:val="auto"/>
                      <w:sz w:val="21"/>
                      <w:szCs w:val="21"/>
                      <w:highlight w:val="none"/>
                      <w:lang w:val="en-US" w:eastAsia="zh-CN"/>
                    </w:rPr>
                    <w:t>TSP</w:t>
                  </w:r>
                </w:p>
              </w:tc>
              <w:tc>
                <w:tcPr>
                  <w:tcW w:w="1738" w:type="dxa"/>
                  <w:vMerge w:val="restart"/>
                  <w:tcBorders>
                    <w:tl2br w:val="nil"/>
                    <w:tr2bl w:val="nil"/>
                  </w:tcBorders>
                  <w:noWrap w:val="0"/>
                  <w:vAlign w:val="center"/>
                </w:tcPr>
                <w:p>
                  <w:pPr>
                    <w:bidi w:val="0"/>
                    <w:jc w:val="center"/>
                    <w:rPr>
                      <w:rFonts w:hint="eastAsia"/>
                      <w:color w:val="auto"/>
                      <w:sz w:val="21"/>
                      <w:szCs w:val="21"/>
                      <w:highlight w:val="none"/>
                      <w:lang w:val="en-US" w:eastAsia="zh-CN"/>
                    </w:rPr>
                  </w:pPr>
                  <w:r>
                    <w:rPr>
                      <w:rFonts w:hint="eastAsia"/>
                      <w:color w:val="auto"/>
                      <w:sz w:val="21"/>
                      <w:szCs w:val="21"/>
                      <w:highlight w:val="none"/>
                      <w:lang w:val="en-US" w:eastAsia="zh-CN"/>
                    </w:rPr>
                    <w:t>无组织挥发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681" w:type="dxa"/>
                  <w:vMerge w:val="continue"/>
                  <w:tcBorders>
                    <w:tl2br w:val="nil"/>
                    <w:tr2bl w:val="nil"/>
                  </w:tcBorders>
                  <w:noWrap w:val="0"/>
                  <w:vAlign w:val="center"/>
                </w:tcPr>
                <w:p>
                  <w:pPr>
                    <w:pStyle w:val="56"/>
                    <w:bidi w:val="0"/>
                    <w:jc w:val="center"/>
                    <w:rPr>
                      <w:rFonts w:hint="eastAsia"/>
                      <w:color w:val="auto"/>
                      <w:sz w:val="21"/>
                      <w:szCs w:val="21"/>
                      <w:highlight w:val="none"/>
                      <w:lang w:val="en-US" w:eastAsia="zh-CN"/>
                    </w:rPr>
                  </w:pPr>
                </w:p>
              </w:tc>
              <w:tc>
                <w:tcPr>
                  <w:tcW w:w="2067" w:type="dxa"/>
                  <w:tcBorders>
                    <w:tl2br w:val="nil"/>
                    <w:tr2bl w:val="nil"/>
                  </w:tcBorders>
                  <w:noWrap w:val="0"/>
                  <w:vAlign w:val="center"/>
                </w:tcPr>
                <w:p>
                  <w:pPr>
                    <w:pStyle w:val="56"/>
                    <w:bidi w:val="0"/>
                    <w:jc w:val="center"/>
                    <w:rPr>
                      <w:rFonts w:hint="eastAsia"/>
                      <w:color w:val="auto"/>
                      <w:sz w:val="21"/>
                      <w:szCs w:val="21"/>
                      <w:highlight w:val="none"/>
                      <w:lang w:val="en-US" w:eastAsia="zh-CN"/>
                    </w:rPr>
                  </w:pPr>
                  <w:r>
                    <w:rPr>
                      <w:rFonts w:hint="eastAsia"/>
                      <w:color w:val="auto"/>
                      <w:sz w:val="21"/>
                      <w:szCs w:val="21"/>
                      <w:highlight w:val="none"/>
                      <w:lang w:val="en-US" w:eastAsia="zh-CN"/>
                    </w:rPr>
                    <w:t>汽车排放尾气</w:t>
                  </w:r>
                </w:p>
              </w:tc>
              <w:tc>
                <w:tcPr>
                  <w:tcW w:w="1458" w:type="dxa"/>
                  <w:tcBorders>
                    <w:tl2br w:val="nil"/>
                    <w:tr2bl w:val="nil"/>
                  </w:tcBorders>
                  <w:noWrap w:val="0"/>
                  <w:vAlign w:val="center"/>
                </w:tcPr>
                <w:p>
                  <w:pPr>
                    <w:pStyle w:val="56"/>
                    <w:bidi w:val="0"/>
                    <w:jc w:val="center"/>
                    <w:rPr>
                      <w:rFonts w:hint="eastAsia"/>
                      <w:color w:val="auto"/>
                      <w:sz w:val="21"/>
                      <w:szCs w:val="21"/>
                      <w:highlight w:val="none"/>
                      <w:lang w:val="en-US" w:eastAsia="zh-CN"/>
                    </w:rPr>
                  </w:pPr>
                  <w:r>
                    <w:rPr>
                      <w:rFonts w:hint="eastAsia"/>
                      <w:color w:val="auto"/>
                      <w:sz w:val="21"/>
                      <w:szCs w:val="21"/>
                      <w:highlight w:val="none"/>
                      <w:lang w:val="en-US" w:eastAsia="zh-CN"/>
                    </w:rPr>
                    <w:t>汽车尾气</w:t>
                  </w:r>
                </w:p>
              </w:tc>
              <w:tc>
                <w:tcPr>
                  <w:tcW w:w="1734" w:type="dxa"/>
                  <w:tcBorders>
                    <w:tl2br w:val="nil"/>
                    <w:tr2bl w:val="nil"/>
                  </w:tcBorders>
                  <w:noWrap w:val="0"/>
                  <w:vAlign w:val="center"/>
                </w:tcPr>
                <w:p>
                  <w:pPr>
                    <w:keepNext w:val="0"/>
                    <w:keepLines w:val="0"/>
                    <w:widowControl/>
                    <w:suppressLineNumbers w:val="0"/>
                    <w:jc w:val="center"/>
                    <w:rPr>
                      <w:rFonts w:hint="eastAsia"/>
                      <w:color w:val="auto"/>
                      <w:sz w:val="21"/>
                      <w:szCs w:val="21"/>
                      <w:highlight w:val="none"/>
                      <w:lang w:val="en-US" w:eastAsia="zh-CN"/>
                    </w:rPr>
                  </w:pPr>
                  <w:r>
                    <w:rPr>
                      <w:rFonts w:hint="eastAsia"/>
                      <w:color w:val="auto"/>
                      <w:sz w:val="21"/>
                      <w:szCs w:val="21"/>
                      <w:highlight w:val="none"/>
                      <w:lang w:val="en-US" w:eastAsia="zh-CN"/>
                    </w:rPr>
                    <w:t>CO、NOx、</w:t>
                  </w:r>
                  <w:r>
                    <w:rPr>
                      <w:rFonts w:hint="default" w:ascii="Times New Roman" w:hAnsi="Times New Roman" w:eastAsia="宋体" w:cs="Times New Roman"/>
                      <w:color w:val="auto"/>
                      <w:kern w:val="0"/>
                      <w:sz w:val="20"/>
                      <w:szCs w:val="20"/>
                      <w:highlight w:val="none"/>
                      <w:lang w:val="en-US" w:eastAsia="zh-CN" w:bidi="ar"/>
                    </w:rPr>
                    <w:t>THC</w:t>
                  </w:r>
                </w:p>
              </w:tc>
              <w:tc>
                <w:tcPr>
                  <w:tcW w:w="1738" w:type="dxa"/>
                  <w:vMerge w:val="continue"/>
                  <w:tcBorders>
                    <w:tl2br w:val="nil"/>
                    <w:tr2bl w:val="nil"/>
                  </w:tcBorders>
                  <w:noWrap w:val="0"/>
                  <w:vAlign w:val="center"/>
                </w:tcPr>
                <w:p>
                  <w:pPr>
                    <w:bidi w:val="0"/>
                    <w:jc w:val="center"/>
                    <w:rPr>
                      <w:rFonts w:hint="eastAsia"/>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681" w:type="dxa"/>
                  <w:tcBorders>
                    <w:tl2br w:val="nil"/>
                    <w:tr2bl w:val="nil"/>
                  </w:tcBorders>
                  <w:noWrap w:val="0"/>
                  <w:vAlign w:val="center"/>
                </w:tcPr>
                <w:p>
                  <w:pPr>
                    <w:pStyle w:val="56"/>
                    <w:bidi w:val="0"/>
                    <w:jc w:val="center"/>
                    <w:rPr>
                      <w:rFonts w:hint="eastAsia"/>
                      <w:color w:val="auto"/>
                      <w:sz w:val="21"/>
                      <w:szCs w:val="21"/>
                      <w:highlight w:val="none"/>
                      <w:lang w:val="en-US" w:eastAsia="zh-CN"/>
                    </w:rPr>
                  </w:pPr>
                  <w:r>
                    <w:rPr>
                      <w:rFonts w:hint="eastAsia"/>
                      <w:color w:val="auto"/>
                      <w:sz w:val="21"/>
                      <w:szCs w:val="21"/>
                      <w:highlight w:val="none"/>
                      <w:lang w:val="en-US" w:eastAsia="zh-CN"/>
                    </w:rPr>
                    <w:t>废水</w:t>
                  </w:r>
                </w:p>
              </w:tc>
              <w:tc>
                <w:tcPr>
                  <w:tcW w:w="2067" w:type="dxa"/>
                  <w:tcBorders>
                    <w:tl2br w:val="nil"/>
                    <w:tr2bl w:val="nil"/>
                  </w:tcBorders>
                  <w:noWrap w:val="0"/>
                  <w:vAlign w:val="center"/>
                </w:tcPr>
                <w:p>
                  <w:pPr>
                    <w:pStyle w:val="56"/>
                    <w:bidi w:val="0"/>
                    <w:jc w:val="center"/>
                    <w:rPr>
                      <w:rFonts w:hint="default"/>
                      <w:color w:val="auto"/>
                      <w:sz w:val="21"/>
                      <w:szCs w:val="21"/>
                      <w:highlight w:val="none"/>
                      <w:lang w:val="en-US" w:eastAsia="zh-CN"/>
                    </w:rPr>
                  </w:pPr>
                  <w:r>
                    <w:rPr>
                      <w:rFonts w:hint="eastAsia"/>
                      <w:color w:val="auto"/>
                      <w:sz w:val="21"/>
                      <w:szCs w:val="21"/>
                      <w:highlight w:val="none"/>
                      <w:lang w:val="en-US" w:eastAsia="zh-CN"/>
                    </w:rPr>
                    <w:t>施工人员</w:t>
                  </w:r>
                </w:p>
              </w:tc>
              <w:tc>
                <w:tcPr>
                  <w:tcW w:w="1458" w:type="dxa"/>
                  <w:tcBorders>
                    <w:tl2br w:val="nil"/>
                    <w:tr2bl w:val="nil"/>
                  </w:tcBorders>
                  <w:noWrap w:val="0"/>
                  <w:vAlign w:val="center"/>
                </w:tcPr>
                <w:p>
                  <w:pPr>
                    <w:pStyle w:val="56"/>
                    <w:bidi w:val="0"/>
                    <w:jc w:val="center"/>
                    <w:rPr>
                      <w:rFonts w:hint="eastAsia"/>
                      <w:color w:val="auto"/>
                      <w:sz w:val="21"/>
                      <w:szCs w:val="21"/>
                      <w:highlight w:val="none"/>
                      <w:lang w:val="en-US" w:eastAsia="zh-CN"/>
                    </w:rPr>
                  </w:pPr>
                  <w:r>
                    <w:rPr>
                      <w:rFonts w:hint="eastAsia"/>
                      <w:color w:val="auto"/>
                      <w:sz w:val="21"/>
                      <w:szCs w:val="21"/>
                      <w:highlight w:val="none"/>
                      <w:lang w:val="en-US" w:eastAsia="zh-CN"/>
                    </w:rPr>
                    <w:t>洗漱废水</w:t>
                  </w:r>
                </w:p>
              </w:tc>
              <w:tc>
                <w:tcPr>
                  <w:tcW w:w="1734" w:type="dxa"/>
                  <w:tcBorders>
                    <w:tl2br w:val="nil"/>
                    <w:tr2bl w:val="nil"/>
                  </w:tcBorders>
                  <w:noWrap w:val="0"/>
                  <w:vAlign w:val="center"/>
                </w:tcPr>
                <w:p>
                  <w:pPr>
                    <w:pStyle w:val="56"/>
                    <w:bidi w:val="0"/>
                    <w:jc w:val="center"/>
                    <w:rPr>
                      <w:rFonts w:hint="default"/>
                      <w:color w:val="auto"/>
                      <w:sz w:val="21"/>
                      <w:szCs w:val="21"/>
                      <w:highlight w:val="none"/>
                      <w:lang w:val="en-US" w:eastAsia="zh-CN"/>
                    </w:rPr>
                  </w:pPr>
                  <w:r>
                    <w:rPr>
                      <w:rFonts w:hint="eastAsia"/>
                      <w:color w:val="auto"/>
                      <w:sz w:val="21"/>
                      <w:szCs w:val="21"/>
                      <w:highlight w:val="none"/>
                      <w:lang w:val="en-US" w:eastAsia="zh-CN"/>
                    </w:rPr>
                    <w:t>SS、COD、BOD氨氮</w:t>
                  </w:r>
                </w:p>
              </w:tc>
              <w:tc>
                <w:tcPr>
                  <w:tcW w:w="1738" w:type="dxa"/>
                  <w:tcBorders>
                    <w:tl2br w:val="nil"/>
                    <w:tr2bl w:val="nil"/>
                  </w:tcBorders>
                  <w:noWrap w:val="0"/>
                  <w:vAlign w:val="center"/>
                </w:tcPr>
                <w:p>
                  <w:pPr>
                    <w:pStyle w:val="56"/>
                    <w:bidi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项目人员入厕依托附近农户旱厕，洗漱废水收集后用于场内抑尘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681" w:type="dxa"/>
                  <w:tcBorders>
                    <w:tl2br w:val="nil"/>
                    <w:tr2bl w:val="nil"/>
                  </w:tcBorders>
                  <w:noWrap w:val="0"/>
                  <w:vAlign w:val="center"/>
                </w:tcPr>
                <w:p>
                  <w:pPr>
                    <w:pStyle w:val="56"/>
                    <w:bidi w:val="0"/>
                    <w:jc w:val="center"/>
                    <w:rPr>
                      <w:rFonts w:hint="eastAsia"/>
                      <w:color w:val="auto"/>
                      <w:sz w:val="21"/>
                      <w:szCs w:val="21"/>
                      <w:highlight w:val="none"/>
                      <w:lang w:val="en-US" w:eastAsia="zh-CN"/>
                    </w:rPr>
                  </w:pPr>
                  <w:r>
                    <w:rPr>
                      <w:rFonts w:hint="eastAsia"/>
                      <w:color w:val="auto"/>
                      <w:sz w:val="21"/>
                      <w:szCs w:val="21"/>
                      <w:highlight w:val="none"/>
                      <w:lang w:val="en-US" w:eastAsia="zh-CN"/>
                    </w:rPr>
                    <w:t>噪声</w:t>
                  </w:r>
                </w:p>
              </w:tc>
              <w:tc>
                <w:tcPr>
                  <w:tcW w:w="2067" w:type="dxa"/>
                  <w:tcBorders>
                    <w:tl2br w:val="nil"/>
                    <w:tr2bl w:val="nil"/>
                  </w:tcBorders>
                  <w:noWrap w:val="0"/>
                  <w:vAlign w:val="center"/>
                </w:tcPr>
                <w:p>
                  <w:pPr>
                    <w:pStyle w:val="56"/>
                    <w:bidi w:val="0"/>
                    <w:jc w:val="center"/>
                    <w:rPr>
                      <w:rFonts w:hint="eastAsia"/>
                      <w:color w:val="auto"/>
                      <w:sz w:val="21"/>
                      <w:szCs w:val="21"/>
                      <w:highlight w:val="none"/>
                      <w:lang w:val="en-US" w:eastAsia="zh-CN"/>
                    </w:rPr>
                  </w:pPr>
                  <w:r>
                    <w:rPr>
                      <w:rFonts w:hint="eastAsia"/>
                      <w:color w:val="auto"/>
                      <w:sz w:val="21"/>
                      <w:szCs w:val="21"/>
                      <w:highlight w:val="none"/>
                      <w:lang w:val="en-US" w:eastAsia="zh-CN"/>
                    </w:rPr>
                    <w:t>钻孔打桩</w:t>
                  </w:r>
                </w:p>
              </w:tc>
              <w:tc>
                <w:tcPr>
                  <w:tcW w:w="1458" w:type="dxa"/>
                  <w:tcBorders>
                    <w:tl2br w:val="nil"/>
                    <w:tr2bl w:val="nil"/>
                  </w:tcBorders>
                  <w:noWrap w:val="0"/>
                  <w:vAlign w:val="center"/>
                </w:tcPr>
                <w:p>
                  <w:pPr>
                    <w:pStyle w:val="56"/>
                    <w:bidi w:val="0"/>
                    <w:jc w:val="center"/>
                    <w:rPr>
                      <w:rFonts w:hint="eastAsia"/>
                      <w:color w:val="auto"/>
                      <w:sz w:val="21"/>
                      <w:szCs w:val="21"/>
                      <w:highlight w:val="none"/>
                      <w:lang w:val="en-US" w:eastAsia="zh-CN"/>
                    </w:rPr>
                  </w:pPr>
                  <w:r>
                    <w:rPr>
                      <w:rFonts w:hint="eastAsia"/>
                      <w:color w:val="auto"/>
                      <w:sz w:val="21"/>
                      <w:szCs w:val="21"/>
                      <w:highlight w:val="none"/>
                      <w:lang w:val="en-US" w:eastAsia="zh-CN"/>
                    </w:rPr>
                    <w:t>设备噪声</w:t>
                  </w:r>
                </w:p>
              </w:tc>
              <w:tc>
                <w:tcPr>
                  <w:tcW w:w="1734" w:type="dxa"/>
                  <w:tcBorders>
                    <w:tl2br w:val="nil"/>
                    <w:tr2bl w:val="nil"/>
                  </w:tcBorders>
                  <w:noWrap w:val="0"/>
                  <w:vAlign w:val="center"/>
                </w:tcPr>
                <w:p>
                  <w:pPr>
                    <w:pStyle w:val="56"/>
                    <w:bidi w:val="0"/>
                    <w:jc w:val="center"/>
                    <w:rPr>
                      <w:rFonts w:hint="default"/>
                      <w:color w:val="auto"/>
                      <w:sz w:val="21"/>
                      <w:szCs w:val="21"/>
                      <w:highlight w:val="none"/>
                      <w:lang w:val="en-US" w:eastAsia="zh-CN"/>
                    </w:rPr>
                  </w:pPr>
                  <w:r>
                    <w:rPr>
                      <w:rFonts w:hint="eastAsia"/>
                      <w:color w:val="auto"/>
                      <w:sz w:val="21"/>
                      <w:szCs w:val="21"/>
                      <w:highlight w:val="none"/>
                      <w:lang w:val="en-US" w:eastAsia="zh-CN"/>
                    </w:rPr>
                    <w:t>噪声、固废</w:t>
                  </w:r>
                </w:p>
              </w:tc>
              <w:tc>
                <w:tcPr>
                  <w:tcW w:w="1738" w:type="dxa"/>
                  <w:tcBorders>
                    <w:tl2br w:val="nil"/>
                    <w:tr2bl w:val="nil"/>
                  </w:tcBorders>
                  <w:noWrap w:val="0"/>
                  <w:vAlign w:val="center"/>
                </w:tcPr>
                <w:p>
                  <w:pPr>
                    <w:pStyle w:val="56"/>
                    <w:bidi w:val="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681" w:type="dxa"/>
                  <w:vMerge w:val="restart"/>
                  <w:tcBorders>
                    <w:tl2br w:val="nil"/>
                    <w:tr2bl w:val="nil"/>
                  </w:tcBorders>
                  <w:noWrap w:val="0"/>
                  <w:vAlign w:val="center"/>
                </w:tcPr>
                <w:p>
                  <w:pPr>
                    <w:pStyle w:val="56"/>
                    <w:bidi w:val="0"/>
                    <w:jc w:val="center"/>
                    <w:rPr>
                      <w:rFonts w:hint="eastAsia"/>
                      <w:color w:val="auto"/>
                      <w:sz w:val="21"/>
                      <w:szCs w:val="21"/>
                      <w:highlight w:val="none"/>
                      <w:lang w:val="en-US" w:eastAsia="zh-CN"/>
                    </w:rPr>
                  </w:pPr>
                  <w:r>
                    <w:rPr>
                      <w:rFonts w:hint="eastAsia"/>
                      <w:color w:val="auto"/>
                      <w:sz w:val="21"/>
                      <w:szCs w:val="21"/>
                      <w:highlight w:val="none"/>
                      <w:lang w:val="en-US" w:eastAsia="zh-CN"/>
                    </w:rPr>
                    <w:t>固废</w:t>
                  </w:r>
                </w:p>
              </w:tc>
              <w:tc>
                <w:tcPr>
                  <w:tcW w:w="2067" w:type="dxa"/>
                  <w:tcBorders>
                    <w:tl2br w:val="nil"/>
                    <w:tr2bl w:val="nil"/>
                  </w:tcBorders>
                  <w:noWrap w:val="0"/>
                  <w:vAlign w:val="center"/>
                </w:tcPr>
                <w:p>
                  <w:pPr>
                    <w:pStyle w:val="56"/>
                    <w:bidi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土方开挖、回填</w:t>
                  </w:r>
                </w:p>
              </w:tc>
              <w:tc>
                <w:tcPr>
                  <w:tcW w:w="1458" w:type="dxa"/>
                  <w:tcBorders>
                    <w:tl2br w:val="nil"/>
                    <w:tr2bl w:val="nil"/>
                  </w:tcBorders>
                  <w:noWrap w:val="0"/>
                  <w:vAlign w:val="center"/>
                </w:tcPr>
                <w:p>
                  <w:pPr>
                    <w:pStyle w:val="56"/>
                    <w:bidi w:val="0"/>
                    <w:jc w:val="center"/>
                    <w:rPr>
                      <w:rFonts w:hint="eastAsia"/>
                      <w:color w:val="auto"/>
                      <w:sz w:val="21"/>
                      <w:szCs w:val="21"/>
                      <w:highlight w:val="none"/>
                      <w:lang w:val="en-US" w:eastAsia="zh-CN"/>
                    </w:rPr>
                  </w:pPr>
                  <w:r>
                    <w:rPr>
                      <w:rFonts w:hint="eastAsia"/>
                      <w:color w:val="auto"/>
                      <w:sz w:val="21"/>
                      <w:szCs w:val="21"/>
                      <w:highlight w:val="none"/>
                      <w:lang w:val="en-US" w:eastAsia="zh-CN"/>
                    </w:rPr>
                    <w:t>剩余土方</w:t>
                  </w:r>
                </w:p>
              </w:tc>
              <w:tc>
                <w:tcPr>
                  <w:tcW w:w="1734" w:type="dxa"/>
                  <w:tcBorders>
                    <w:tl2br w:val="nil"/>
                    <w:tr2bl w:val="nil"/>
                  </w:tcBorders>
                  <w:noWrap w:val="0"/>
                  <w:vAlign w:val="center"/>
                </w:tcPr>
                <w:p>
                  <w:pPr>
                    <w:pStyle w:val="56"/>
                    <w:bidi w:val="0"/>
                    <w:jc w:val="center"/>
                    <w:rPr>
                      <w:rFonts w:hint="eastAsia"/>
                      <w:color w:val="auto"/>
                      <w:sz w:val="21"/>
                      <w:szCs w:val="21"/>
                      <w:highlight w:val="none"/>
                      <w:lang w:val="en-US" w:eastAsia="zh-CN"/>
                    </w:rPr>
                  </w:pPr>
                  <w:r>
                    <w:rPr>
                      <w:rFonts w:hint="eastAsia"/>
                      <w:color w:val="auto"/>
                      <w:sz w:val="21"/>
                      <w:szCs w:val="21"/>
                      <w:highlight w:val="none"/>
                      <w:lang w:val="en-US" w:eastAsia="zh-CN"/>
                    </w:rPr>
                    <w:t>一般固废</w:t>
                  </w:r>
                </w:p>
              </w:tc>
              <w:tc>
                <w:tcPr>
                  <w:tcW w:w="1738" w:type="dxa"/>
                  <w:tcBorders>
                    <w:tl2br w:val="nil"/>
                    <w:tr2bl w:val="nil"/>
                  </w:tcBorders>
                  <w:noWrap w:val="0"/>
                  <w:vAlign w:val="center"/>
                </w:tcPr>
                <w:p>
                  <w:pPr>
                    <w:keepNext w:val="0"/>
                    <w:keepLines w:val="0"/>
                    <w:widowControl/>
                    <w:suppressLineNumbers w:val="0"/>
                    <w:jc w:val="left"/>
                    <w:rPr>
                      <w:rFonts w:hint="eastAsia"/>
                      <w:color w:val="auto"/>
                      <w:sz w:val="21"/>
                      <w:szCs w:val="21"/>
                      <w:highlight w:val="none"/>
                      <w:lang w:val="en-US" w:eastAsia="zh-CN"/>
                    </w:rPr>
                  </w:pPr>
                  <w:r>
                    <w:rPr>
                      <w:rFonts w:hint="eastAsia"/>
                      <w:color w:val="auto"/>
                      <w:sz w:val="21"/>
                      <w:szCs w:val="21"/>
                      <w:highlight w:val="none"/>
                      <w:lang w:val="en-US" w:eastAsia="zh-CN"/>
                    </w:rPr>
                    <w:t>剩余土方用于沿线地面平整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681" w:type="dxa"/>
                  <w:vMerge w:val="continue"/>
                  <w:tcBorders>
                    <w:tl2br w:val="nil"/>
                    <w:tr2bl w:val="nil"/>
                  </w:tcBorders>
                  <w:noWrap w:val="0"/>
                  <w:vAlign w:val="center"/>
                </w:tcPr>
                <w:p>
                  <w:pPr>
                    <w:pStyle w:val="56"/>
                    <w:bidi w:val="0"/>
                    <w:jc w:val="center"/>
                    <w:rPr>
                      <w:rFonts w:hint="eastAsia"/>
                      <w:color w:val="auto"/>
                      <w:sz w:val="21"/>
                      <w:szCs w:val="21"/>
                      <w:highlight w:val="none"/>
                      <w:lang w:val="en-US" w:eastAsia="zh-CN"/>
                    </w:rPr>
                  </w:pPr>
                </w:p>
              </w:tc>
              <w:tc>
                <w:tcPr>
                  <w:tcW w:w="2067" w:type="dxa"/>
                  <w:tcBorders>
                    <w:tl2br w:val="nil"/>
                    <w:tr2bl w:val="nil"/>
                  </w:tcBorders>
                  <w:noWrap w:val="0"/>
                  <w:vAlign w:val="center"/>
                </w:tcPr>
                <w:p>
                  <w:pPr>
                    <w:pStyle w:val="56"/>
                    <w:bidi w:val="0"/>
                    <w:jc w:val="center"/>
                    <w:rPr>
                      <w:rFonts w:hint="default"/>
                      <w:color w:val="auto"/>
                      <w:sz w:val="21"/>
                      <w:szCs w:val="21"/>
                      <w:highlight w:val="none"/>
                      <w:lang w:val="en-US" w:eastAsia="zh-CN"/>
                    </w:rPr>
                  </w:pPr>
                  <w:r>
                    <w:rPr>
                      <w:rFonts w:hint="eastAsia"/>
                      <w:color w:val="auto"/>
                      <w:sz w:val="21"/>
                      <w:szCs w:val="21"/>
                      <w:highlight w:val="none"/>
                      <w:lang w:val="en-US" w:eastAsia="zh-CN"/>
                    </w:rPr>
                    <w:t>桥梁施工</w:t>
                  </w:r>
                </w:p>
              </w:tc>
              <w:tc>
                <w:tcPr>
                  <w:tcW w:w="1458" w:type="dxa"/>
                  <w:tcBorders>
                    <w:tl2br w:val="nil"/>
                    <w:tr2bl w:val="nil"/>
                  </w:tcBorders>
                  <w:noWrap w:val="0"/>
                  <w:vAlign w:val="center"/>
                </w:tcPr>
                <w:p>
                  <w:pPr>
                    <w:pStyle w:val="56"/>
                    <w:bidi w:val="0"/>
                    <w:jc w:val="center"/>
                    <w:rPr>
                      <w:rFonts w:hint="eastAsia"/>
                      <w:color w:val="auto"/>
                      <w:sz w:val="21"/>
                      <w:szCs w:val="21"/>
                      <w:highlight w:val="none"/>
                      <w:lang w:val="en-US" w:eastAsia="zh-CN"/>
                    </w:rPr>
                  </w:pPr>
                  <w:r>
                    <w:rPr>
                      <w:rFonts w:hint="eastAsia"/>
                      <w:color w:val="auto"/>
                      <w:sz w:val="21"/>
                      <w:szCs w:val="21"/>
                      <w:highlight w:val="none"/>
                      <w:lang w:val="en-US" w:eastAsia="zh-CN"/>
                    </w:rPr>
                    <w:t>建筑垃圾</w:t>
                  </w:r>
                </w:p>
              </w:tc>
              <w:tc>
                <w:tcPr>
                  <w:tcW w:w="1734" w:type="dxa"/>
                  <w:tcBorders>
                    <w:tl2br w:val="nil"/>
                    <w:tr2bl w:val="nil"/>
                  </w:tcBorders>
                  <w:noWrap w:val="0"/>
                  <w:vAlign w:val="center"/>
                </w:tcPr>
                <w:p>
                  <w:pPr>
                    <w:pStyle w:val="56"/>
                    <w:bidi w:val="0"/>
                    <w:jc w:val="center"/>
                    <w:rPr>
                      <w:rFonts w:hint="eastAsia"/>
                      <w:color w:val="auto"/>
                      <w:sz w:val="21"/>
                      <w:szCs w:val="21"/>
                      <w:highlight w:val="none"/>
                      <w:lang w:val="en-US" w:eastAsia="zh-CN"/>
                    </w:rPr>
                  </w:pPr>
                  <w:r>
                    <w:rPr>
                      <w:rFonts w:hint="eastAsia"/>
                      <w:color w:val="auto"/>
                      <w:sz w:val="21"/>
                      <w:szCs w:val="21"/>
                      <w:highlight w:val="none"/>
                      <w:lang w:val="en-US" w:eastAsia="zh-CN"/>
                    </w:rPr>
                    <w:t>一般固废</w:t>
                  </w:r>
                </w:p>
              </w:tc>
              <w:tc>
                <w:tcPr>
                  <w:tcW w:w="1738" w:type="dxa"/>
                  <w:tcBorders>
                    <w:tl2br w:val="nil"/>
                    <w:tr2bl w:val="nil"/>
                  </w:tcBorders>
                  <w:noWrap w:val="0"/>
                  <w:vAlign w:val="center"/>
                </w:tcPr>
                <w:p>
                  <w:pPr>
                    <w:pStyle w:val="56"/>
                    <w:bidi w:val="0"/>
                    <w:jc w:val="center"/>
                    <w:rPr>
                      <w:rFonts w:hint="eastAsia"/>
                      <w:color w:val="auto"/>
                      <w:sz w:val="21"/>
                      <w:szCs w:val="21"/>
                      <w:highlight w:val="none"/>
                      <w:lang w:val="en-US" w:eastAsia="zh-CN"/>
                    </w:rPr>
                  </w:pPr>
                  <w:r>
                    <w:rPr>
                      <w:rFonts w:hint="eastAsia"/>
                      <w:color w:val="auto"/>
                      <w:sz w:val="21"/>
                      <w:szCs w:val="21"/>
                      <w:highlight w:val="none"/>
                      <w:lang w:val="en-US" w:eastAsia="zh-CN"/>
                    </w:rPr>
                    <w:t>对于有利用价值的进行分拣回用，无法利用的建筑垃圾拉运至城建部门指定地点处置。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81" w:type="dxa"/>
                  <w:vMerge w:val="continue"/>
                  <w:tcBorders>
                    <w:tl2br w:val="nil"/>
                    <w:tr2bl w:val="nil"/>
                  </w:tcBorders>
                  <w:noWrap w:val="0"/>
                  <w:vAlign w:val="center"/>
                </w:tcPr>
                <w:p>
                  <w:pPr>
                    <w:pStyle w:val="56"/>
                    <w:bidi w:val="0"/>
                    <w:jc w:val="center"/>
                    <w:rPr>
                      <w:rFonts w:hint="eastAsia"/>
                      <w:color w:val="auto"/>
                      <w:sz w:val="21"/>
                      <w:szCs w:val="21"/>
                      <w:highlight w:val="none"/>
                      <w:lang w:val="en-US" w:eastAsia="zh-CN"/>
                    </w:rPr>
                  </w:pPr>
                </w:p>
              </w:tc>
              <w:tc>
                <w:tcPr>
                  <w:tcW w:w="2067" w:type="dxa"/>
                  <w:tcBorders>
                    <w:tl2br w:val="nil"/>
                    <w:tr2bl w:val="nil"/>
                  </w:tcBorders>
                  <w:noWrap w:val="0"/>
                  <w:vAlign w:val="center"/>
                </w:tcPr>
                <w:p>
                  <w:pPr>
                    <w:pStyle w:val="56"/>
                    <w:bidi w:val="0"/>
                    <w:jc w:val="center"/>
                    <w:rPr>
                      <w:rFonts w:hint="eastAsia"/>
                      <w:color w:val="auto"/>
                      <w:sz w:val="21"/>
                      <w:szCs w:val="21"/>
                      <w:highlight w:val="none"/>
                      <w:lang w:val="en-US" w:eastAsia="zh-CN"/>
                    </w:rPr>
                  </w:pPr>
                  <w:r>
                    <w:rPr>
                      <w:rFonts w:hint="eastAsia"/>
                      <w:color w:val="auto"/>
                      <w:sz w:val="21"/>
                      <w:szCs w:val="21"/>
                      <w:highlight w:val="none"/>
                      <w:lang w:val="en-US" w:eastAsia="zh-CN"/>
                    </w:rPr>
                    <w:t>施工人员</w:t>
                  </w:r>
                </w:p>
              </w:tc>
              <w:tc>
                <w:tcPr>
                  <w:tcW w:w="1458" w:type="dxa"/>
                  <w:tcBorders>
                    <w:tl2br w:val="nil"/>
                    <w:tr2bl w:val="nil"/>
                  </w:tcBorders>
                  <w:noWrap w:val="0"/>
                  <w:vAlign w:val="center"/>
                </w:tcPr>
                <w:p>
                  <w:pPr>
                    <w:pStyle w:val="56"/>
                    <w:bidi w:val="0"/>
                    <w:jc w:val="center"/>
                    <w:rPr>
                      <w:rFonts w:hint="eastAsia"/>
                      <w:color w:val="auto"/>
                      <w:sz w:val="21"/>
                      <w:szCs w:val="21"/>
                      <w:highlight w:val="none"/>
                      <w:lang w:val="en-US" w:eastAsia="zh-CN"/>
                    </w:rPr>
                  </w:pPr>
                  <w:r>
                    <w:rPr>
                      <w:rFonts w:hint="eastAsia"/>
                      <w:color w:val="auto"/>
                      <w:sz w:val="21"/>
                      <w:szCs w:val="21"/>
                      <w:highlight w:val="none"/>
                      <w:lang w:val="en-US" w:eastAsia="zh-CN"/>
                    </w:rPr>
                    <w:t>生活垃圾</w:t>
                  </w:r>
                </w:p>
              </w:tc>
              <w:tc>
                <w:tcPr>
                  <w:tcW w:w="1734" w:type="dxa"/>
                  <w:tcBorders>
                    <w:tl2br w:val="nil"/>
                    <w:tr2bl w:val="nil"/>
                  </w:tcBorders>
                  <w:noWrap w:val="0"/>
                  <w:vAlign w:val="center"/>
                </w:tcPr>
                <w:p>
                  <w:pPr>
                    <w:pStyle w:val="56"/>
                    <w:bidi w:val="0"/>
                    <w:jc w:val="center"/>
                    <w:rPr>
                      <w:rFonts w:hint="eastAsia"/>
                      <w:color w:val="auto"/>
                      <w:sz w:val="21"/>
                      <w:szCs w:val="21"/>
                      <w:highlight w:val="none"/>
                      <w:lang w:val="en-US" w:eastAsia="zh-CN"/>
                    </w:rPr>
                  </w:pPr>
                  <w:r>
                    <w:rPr>
                      <w:rFonts w:hint="eastAsia"/>
                      <w:color w:val="auto"/>
                      <w:sz w:val="21"/>
                      <w:szCs w:val="21"/>
                      <w:highlight w:val="none"/>
                      <w:lang w:val="en-US" w:eastAsia="zh-CN"/>
                    </w:rPr>
                    <w:t>生活垃圾</w:t>
                  </w:r>
                </w:p>
              </w:tc>
              <w:tc>
                <w:tcPr>
                  <w:tcW w:w="1738" w:type="dxa"/>
                  <w:tcBorders>
                    <w:tl2br w:val="nil"/>
                    <w:tr2bl w:val="nil"/>
                  </w:tcBorders>
                  <w:noWrap w:val="0"/>
                  <w:vAlign w:val="center"/>
                </w:tcPr>
                <w:p>
                  <w:pPr>
                    <w:pStyle w:val="56"/>
                    <w:bidi w:val="0"/>
                    <w:jc w:val="center"/>
                    <w:rPr>
                      <w:rFonts w:hint="eastAsia"/>
                      <w:color w:val="auto"/>
                      <w:sz w:val="21"/>
                      <w:szCs w:val="21"/>
                      <w:highlight w:val="none"/>
                      <w:lang w:val="en-US" w:eastAsia="zh-CN"/>
                    </w:rPr>
                  </w:pPr>
                  <w:r>
                    <w:rPr>
                      <w:rFonts w:hint="eastAsia"/>
                      <w:color w:val="auto"/>
                      <w:sz w:val="21"/>
                      <w:szCs w:val="21"/>
                      <w:highlight w:val="none"/>
                      <w:lang w:val="en-US" w:eastAsia="zh-CN"/>
                    </w:rPr>
                    <w:t>经收集后定去交由环卫部门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681" w:type="dxa"/>
                  <w:tcBorders>
                    <w:tl2br w:val="nil"/>
                    <w:tr2bl w:val="nil"/>
                  </w:tcBorders>
                  <w:noWrap w:val="0"/>
                  <w:vAlign w:val="center"/>
                </w:tcPr>
                <w:p>
                  <w:pPr>
                    <w:pStyle w:val="56"/>
                    <w:bidi w:val="0"/>
                    <w:jc w:val="center"/>
                    <w:rPr>
                      <w:rFonts w:hint="eastAsia"/>
                      <w:color w:val="auto"/>
                      <w:sz w:val="21"/>
                      <w:szCs w:val="21"/>
                      <w:highlight w:val="none"/>
                      <w:lang w:val="en-US" w:eastAsia="zh-CN"/>
                    </w:rPr>
                  </w:pPr>
                  <w:r>
                    <w:rPr>
                      <w:rFonts w:hint="eastAsia"/>
                      <w:color w:val="auto"/>
                      <w:sz w:val="21"/>
                      <w:szCs w:val="21"/>
                      <w:highlight w:val="none"/>
                      <w:lang w:val="en-US" w:eastAsia="zh-CN"/>
                    </w:rPr>
                    <w:t>生态环境</w:t>
                  </w:r>
                </w:p>
              </w:tc>
              <w:tc>
                <w:tcPr>
                  <w:tcW w:w="2067" w:type="dxa"/>
                  <w:tcBorders>
                    <w:tl2br w:val="nil"/>
                    <w:tr2bl w:val="nil"/>
                  </w:tcBorders>
                  <w:noWrap w:val="0"/>
                  <w:vAlign w:val="center"/>
                </w:tcPr>
                <w:p>
                  <w:pPr>
                    <w:pStyle w:val="56"/>
                    <w:bidi w:val="0"/>
                    <w:jc w:val="center"/>
                    <w:rPr>
                      <w:rFonts w:hint="eastAsia"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桥梁下部结构施工</w:t>
                  </w:r>
                </w:p>
              </w:tc>
              <w:tc>
                <w:tcPr>
                  <w:tcW w:w="4930" w:type="dxa"/>
                  <w:gridSpan w:val="3"/>
                  <w:tcBorders>
                    <w:tl2br w:val="nil"/>
                    <w:tr2bl w:val="nil"/>
                  </w:tcBorders>
                  <w:noWrap w:val="0"/>
                  <w:vAlign w:val="center"/>
                </w:tcPr>
                <w:p>
                  <w:pPr>
                    <w:pStyle w:val="56"/>
                    <w:bidi w:val="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破坏植被、土方挖填、堆存引起的扬尘、雨水冲刷等影响。</w:t>
                  </w:r>
                </w:p>
              </w:tc>
            </w:tr>
          </w:tbl>
          <w:p>
            <w:pPr>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b/>
                <w:bCs/>
                <w:color w:val="auto"/>
                <w:sz w:val="24"/>
                <w:szCs w:val="24"/>
              </w:rPr>
            </w:pPr>
            <w:r>
              <w:rPr>
                <w:rFonts w:hint="eastAsia"/>
                <w:b/>
                <w:bCs/>
                <w:color w:val="auto"/>
                <w:sz w:val="24"/>
                <w:szCs w:val="24"/>
                <w:lang w:val="en-US" w:eastAsia="zh-CN"/>
              </w:rPr>
              <w:t>2、生态影响分析</w:t>
            </w:r>
          </w:p>
          <w:p>
            <w:pPr>
              <w:pageBreakBefore w:val="0"/>
              <w:widowControl w:val="0"/>
              <w:kinsoku/>
              <w:wordWrap/>
              <w:overflowPunct/>
              <w:topLinePunct w:val="0"/>
              <w:autoSpaceDE/>
              <w:autoSpaceDN/>
              <w:bidi w:val="0"/>
              <w:adjustRightInd/>
              <w:snapToGrid/>
              <w:spacing w:line="360" w:lineRule="auto"/>
              <w:ind w:right="-1" w:firstLine="480" w:firstLineChars="200"/>
              <w:contextualSpacing/>
              <w:textAlignment w:val="auto"/>
              <w:rPr>
                <w:rFonts w:hint="eastAsia" w:ascii="Times New Roman" w:hAnsi="Times New Roman" w:eastAsia="宋体"/>
                <w:color w:val="auto"/>
                <w:sz w:val="24"/>
              </w:rPr>
            </w:pPr>
            <w:bookmarkStart w:id="24" w:name="OLE_LINK3"/>
            <w:r>
              <w:rPr>
                <w:rFonts w:hint="eastAsia" w:ascii="Times New Roman" w:hAnsi="Times New Roman" w:eastAsia="宋体"/>
                <w:color w:val="auto"/>
                <w:sz w:val="24"/>
              </w:rPr>
              <w:t>项目施工期主要生态环境影响主要包括已有植被的破坏、土方挖填、堆存引起的扬尘、雨水冲刷等影响。</w:t>
            </w:r>
          </w:p>
          <w:p>
            <w:pPr>
              <w:pageBreakBefore w:val="0"/>
              <w:widowControl w:val="0"/>
              <w:kinsoku/>
              <w:wordWrap/>
              <w:overflowPunct/>
              <w:topLinePunct w:val="0"/>
              <w:autoSpaceDE/>
              <w:autoSpaceDN/>
              <w:bidi w:val="0"/>
              <w:adjustRightInd/>
              <w:snapToGrid/>
              <w:spacing w:line="360" w:lineRule="auto"/>
              <w:ind w:right="-1" w:firstLine="480" w:firstLineChars="200"/>
              <w:contextualSpacing/>
              <w:textAlignment w:val="auto"/>
              <w:rPr>
                <w:rFonts w:hint="eastAsia" w:ascii="Times New Roman" w:hAnsi="Times New Roman" w:eastAsia="宋体"/>
                <w:color w:val="auto"/>
                <w:sz w:val="24"/>
              </w:rPr>
            </w:pPr>
            <w:r>
              <w:rPr>
                <w:rFonts w:hint="eastAsia" w:ascii="Times New Roman" w:hAnsi="Times New Roman" w:eastAsia="宋体"/>
                <w:color w:val="auto"/>
                <w:sz w:val="24"/>
                <w:lang w:eastAsia="zh-CN"/>
              </w:rPr>
              <w:t>（</w:t>
            </w:r>
            <w:r>
              <w:rPr>
                <w:rFonts w:hint="eastAsia" w:ascii="Times New Roman" w:hAnsi="Times New Roman" w:eastAsia="宋体"/>
                <w:color w:val="auto"/>
                <w:sz w:val="24"/>
                <w:lang w:val="en-US" w:eastAsia="zh-CN"/>
              </w:rPr>
              <w:t>1</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 xml:space="preserve">对陆域生态系统的影响 </w:t>
            </w:r>
          </w:p>
          <w:p>
            <w:pPr>
              <w:pageBreakBefore w:val="0"/>
              <w:widowControl w:val="0"/>
              <w:kinsoku/>
              <w:wordWrap/>
              <w:overflowPunct/>
              <w:topLinePunct w:val="0"/>
              <w:autoSpaceDE/>
              <w:autoSpaceDN/>
              <w:bidi w:val="0"/>
              <w:adjustRightInd/>
              <w:snapToGrid/>
              <w:spacing w:line="360" w:lineRule="auto"/>
              <w:ind w:right="-1" w:firstLine="480" w:firstLineChars="200"/>
              <w:contextualSpacing/>
              <w:textAlignment w:val="auto"/>
              <w:rPr>
                <w:rFonts w:hint="eastAsia" w:ascii="Times New Roman" w:hAnsi="Times New Roman" w:eastAsia="宋体"/>
                <w:color w:val="auto"/>
                <w:sz w:val="24"/>
              </w:rPr>
            </w:pPr>
            <w:r>
              <w:rPr>
                <w:rFonts w:hint="eastAsia" w:ascii="宋体" w:hAnsi="宋体" w:eastAsia="宋体" w:cs="宋体"/>
                <w:color w:val="auto"/>
                <w:sz w:val="24"/>
              </w:rPr>
              <w:t>①</w:t>
            </w:r>
            <w:r>
              <w:rPr>
                <w:rFonts w:hint="eastAsia" w:ascii="Times New Roman" w:hAnsi="Times New Roman" w:eastAsia="宋体"/>
                <w:color w:val="auto"/>
                <w:sz w:val="24"/>
              </w:rPr>
              <w:t>临时占地情况</w:t>
            </w:r>
          </w:p>
          <w:p>
            <w:pPr>
              <w:pageBreakBefore w:val="0"/>
              <w:widowControl w:val="0"/>
              <w:kinsoku/>
              <w:wordWrap/>
              <w:overflowPunct/>
              <w:topLinePunct w:val="0"/>
              <w:autoSpaceDE/>
              <w:autoSpaceDN/>
              <w:bidi w:val="0"/>
              <w:adjustRightInd/>
              <w:snapToGrid/>
              <w:spacing w:line="360" w:lineRule="auto"/>
              <w:ind w:right="-1" w:firstLine="480" w:firstLineChars="200"/>
              <w:contextualSpacing/>
              <w:textAlignment w:val="auto"/>
              <w:rPr>
                <w:rFonts w:hint="eastAsia" w:ascii="Times New Roman" w:hAnsi="Times New Roman" w:eastAsia="宋体"/>
                <w:color w:val="auto"/>
                <w:sz w:val="24"/>
              </w:rPr>
            </w:pPr>
            <w:r>
              <w:rPr>
                <w:rFonts w:hint="eastAsia" w:ascii="Times New Roman" w:hAnsi="Times New Roman" w:eastAsia="宋体"/>
                <w:color w:val="auto"/>
                <w:sz w:val="24"/>
              </w:rPr>
              <w:t>根据业主提供资料，</w:t>
            </w:r>
            <w:r>
              <w:rPr>
                <w:rFonts w:hint="eastAsia" w:ascii="Times New Roman" w:hAnsi="Times New Roman" w:eastAsia="宋体"/>
                <w:color w:val="auto"/>
                <w:sz w:val="24"/>
                <w:lang w:eastAsia="zh-CN"/>
              </w:rPr>
              <w:t>本项目施工场地基本上河流周边</w:t>
            </w:r>
            <w:r>
              <w:rPr>
                <w:rFonts w:hint="eastAsia" w:ascii="Times New Roman" w:hAnsi="Times New Roman" w:eastAsia="宋体"/>
                <w:color w:val="auto"/>
                <w:sz w:val="24"/>
              </w:rPr>
              <w:t xml:space="preserve">，裸露的沙地空地。主要植被类型为杂草，临时占地对该部分植被影响较小，待占地结束后杂草会重新生长覆盖本区域。 </w:t>
            </w:r>
          </w:p>
          <w:p>
            <w:pPr>
              <w:pageBreakBefore w:val="0"/>
              <w:widowControl w:val="0"/>
              <w:kinsoku/>
              <w:wordWrap/>
              <w:overflowPunct/>
              <w:topLinePunct w:val="0"/>
              <w:autoSpaceDE/>
              <w:autoSpaceDN/>
              <w:bidi w:val="0"/>
              <w:adjustRightInd/>
              <w:snapToGrid/>
              <w:spacing w:line="360" w:lineRule="auto"/>
              <w:ind w:right="-1" w:firstLine="480" w:firstLineChars="200"/>
              <w:contextualSpacing/>
              <w:textAlignment w:val="auto"/>
              <w:rPr>
                <w:rFonts w:hint="eastAsia" w:ascii="Times New Roman" w:hAnsi="Times New Roman" w:eastAsia="宋体"/>
                <w:color w:val="auto"/>
                <w:sz w:val="24"/>
              </w:rPr>
            </w:pPr>
            <w:r>
              <w:rPr>
                <w:rFonts w:hint="eastAsia" w:ascii="宋体" w:hAnsi="宋体" w:eastAsia="宋体" w:cs="宋体"/>
                <w:color w:val="auto"/>
                <w:sz w:val="24"/>
              </w:rPr>
              <w:t>②</w:t>
            </w:r>
            <w:r>
              <w:rPr>
                <w:rFonts w:hint="eastAsia" w:ascii="Times New Roman" w:hAnsi="Times New Roman" w:eastAsia="宋体"/>
                <w:color w:val="auto"/>
                <w:sz w:val="24"/>
              </w:rPr>
              <w:t xml:space="preserve">施工导致的生物量损失 </w:t>
            </w:r>
          </w:p>
          <w:p>
            <w:pPr>
              <w:pageBreakBefore w:val="0"/>
              <w:widowControl w:val="0"/>
              <w:kinsoku/>
              <w:wordWrap/>
              <w:overflowPunct/>
              <w:topLinePunct w:val="0"/>
              <w:autoSpaceDE/>
              <w:autoSpaceDN/>
              <w:bidi w:val="0"/>
              <w:adjustRightInd/>
              <w:snapToGrid/>
              <w:spacing w:line="360" w:lineRule="auto"/>
              <w:ind w:right="-1" w:firstLine="480" w:firstLineChars="200"/>
              <w:contextualSpacing/>
              <w:textAlignment w:val="auto"/>
              <w:rPr>
                <w:rFonts w:hint="eastAsia" w:ascii="Times New Roman" w:hAnsi="Times New Roman" w:eastAsia="宋体"/>
                <w:color w:val="auto"/>
                <w:sz w:val="24"/>
              </w:rPr>
            </w:pPr>
            <w:r>
              <w:rPr>
                <w:rFonts w:hint="eastAsia" w:ascii="Times New Roman" w:hAnsi="Times New Roman" w:eastAsia="宋体"/>
                <w:color w:val="auto"/>
                <w:sz w:val="24"/>
                <w:lang w:eastAsia="zh-CN"/>
              </w:rPr>
              <w:t>本项目</w:t>
            </w:r>
            <w:r>
              <w:rPr>
                <w:rFonts w:hint="eastAsia"/>
                <w:color w:val="auto"/>
                <w:sz w:val="24"/>
                <w:lang w:eastAsia="zh-CN"/>
              </w:rPr>
              <w:t>桥梁两侧</w:t>
            </w:r>
            <w:r>
              <w:rPr>
                <w:rFonts w:hint="eastAsia" w:ascii="Times New Roman" w:hAnsi="Times New Roman" w:eastAsia="宋体"/>
                <w:color w:val="auto"/>
                <w:sz w:val="24"/>
              </w:rPr>
              <w:t>其植被现状多为低矮灌草丛，其生物多样性少，生态结构简单，生物量较少。</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rPr>
            </w:pPr>
            <w:r>
              <w:rPr>
                <w:rFonts w:hint="eastAsia" w:ascii="Times New Roman" w:hAnsi="Times New Roman" w:eastAsia="宋体"/>
                <w:color w:val="auto"/>
                <w:sz w:val="24"/>
                <w:lang w:eastAsia="zh-CN"/>
              </w:rPr>
              <w:t>（</w:t>
            </w:r>
            <w:r>
              <w:rPr>
                <w:rFonts w:hint="eastAsia" w:ascii="Times New Roman" w:hAnsi="Times New Roman" w:eastAsia="宋体"/>
                <w:color w:val="auto"/>
                <w:sz w:val="24"/>
                <w:lang w:val="en-US" w:eastAsia="zh-CN"/>
              </w:rPr>
              <w:t>2</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对</w:t>
            </w:r>
            <w:r>
              <w:rPr>
                <w:rFonts w:hint="eastAsia"/>
                <w:color w:val="auto"/>
                <w:sz w:val="24"/>
                <w:lang w:eastAsia="zh-CN"/>
              </w:rPr>
              <w:t>陆生植物和动植物</w:t>
            </w:r>
            <w:r>
              <w:rPr>
                <w:rFonts w:hint="eastAsia" w:ascii="Times New Roman" w:hAnsi="Times New Roman" w:eastAsia="宋体"/>
                <w:color w:val="auto"/>
                <w:sz w:val="24"/>
              </w:rPr>
              <w:t>影响分析</w:t>
            </w:r>
          </w:p>
          <w:p>
            <w:pPr>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宋体"/>
                <w:color w:val="auto"/>
                <w:sz w:val="24"/>
                <w:szCs w:val="24"/>
                <w:lang w:eastAsia="zh-CN"/>
              </w:rPr>
            </w:pPr>
            <w:r>
              <w:rPr>
                <w:rFonts w:hint="eastAsia" w:ascii="宋体" w:hAnsi="宋体" w:eastAsia="宋体" w:cs="宋体"/>
                <w:color w:val="auto"/>
                <w:sz w:val="24"/>
                <w:szCs w:val="24"/>
                <w:lang w:val="en-US" w:eastAsia="zh-CN"/>
              </w:rPr>
              <w:t>①</w:t>
            </w:r>
            <w:r>
              <w:rPr>
                <w:rFonts w:hint="eastAsia"/>
                <w:color w:val="auto"/>
                <w:sz w:val="24"/>
                <w:szCs w:val="24"/>
                <w:lang w:eastAsia="zh-CN"/>
              </w:rPr>
              <w:t>对植物的影响分析</w:t>
            </w:r>
          </w:p>
          <w:p>
            <w:pPr>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rPr>
              <w:t>施工期对植被的影响主要有占地范围内原有植物的剥离、清理及占压。在施工过程中，土壤开挖区范围内植物的地上部分与根系均被清除，施工带两侧的植被由于挖掘土石的堆放、人员的践踏、施工车辆和机具的碾压而受到不同程度的破坏，会造成地上部分破坏甚至死亡。</w:t>
            </w:r>
          </w:p>
          <w:p>
            <w:pPr>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rPr>
              <w:t>工程填挖方均占压和清除一定数量的地表植物，使填挖区被生土覆盖或出露生土，植物恢复须经过较长时间。此外，石材、水泥的堆放也会占压一定的植物，尤其是水泥的抛撒，可造成附近土壤板结，影响植物生长。</w:t>
            </w:r>
          </w:p>
          <w:p>
            <w:pPr>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rPr>
              <w:t>本工程对植被的影响呈线状分布。从工程类别的影响来看，永久占地原有植被全部遭到破坏，代之出现的是人工栽植的绿化植被；临时占地原有植被破坏面积估计可占到80%以上，其中大部分在2～3年内可得到恢复，要达到较好的恢复程度，需要3～5年时间。</w:t>
            </w:r>
          </w:p>
          <w:p>
            <w:pPr>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宋体"/>
                <w:color w:val="auto"/>
                <w:sz w:val="24"/>
                <w:szCs w:val="24"/>
                <w:lang w:eastAsia="zh-CN"/>
              </w:rPr>
            </w:pPr>
            <w:r>
              <w:rPr>
                <w:rFonts w:hint="eastAsia" w:ascii="宋体" w:hAnsi="宋体" w:eastAsia="宋体" w:cs="宋体"/>
                <w:color w:val="auto"/>
                <w:sz w:val="24"/>
                <w:szCs w:val="24"/>
                <w:lang w:val="en-US" w:eastAsia="zh-CN"/>
              </w:rPr>
              <w:t>②</w:t>
            </w:r>
            <w:r>
              <w:rPr>
                <w:rFonts w:hint="eastAsia" w:ascii="宋体" w:hAnsi="宋体" w:eastAsia="宋体" w:cs="宋体"/>
                <w:color w:val="auto"/>
                <w:sz w:val="24"/>
                <w:szCs w:val="24"/>
                <w:lang w:eastAsia="zh-CN"/>
              </w:rPr>
              <w:t>对动物的影响分析</w:t>
            </w:r>
          </w:p>
          <w:p>
            <w:pPr>
              <w:pStyle w:val="4"/>
              <w:keepNext/>
              <w:keepLines/>
              <w:pageBreakBefore w:val="0"/>
              <w:widowControl w:val="0"/>
              <w:kinsoku/>
              <w:wordWrap/>
              <w:overflowPunct/>
              <w:topLinePunct w:val="0"/>
              <w:autoSpaceDE/>
              <w:autoSpaceDN/>
              <w:bidi w:val="0"/>
              <w:adjustRightInd/>
              <w:snapToGrid/>
              <w:spacing w:before="0" w:after="0" w:line="360" w:lineRule="auto"/>
              <w:ind w:right="0" w:firstLine="480" w:firstLineChars="200"/>
              <w:textAlignment w:val="auto"/>
              <w:rPr>
                <w:rFonts w:hint="eastAsia" w:eastAsia="宋体"/>
                <w:color w:val="auto"/>
                <w:sz w:val="24"/>
                <w:szCs w:val="24"/>
                <w:lang w:val="en-US" w:eastAsia="zh-CN"/>
              </w:rPr>
            </w:pPr>
            <w:r>
              <w:rPr>
                <w:rFonts w:hint="eastAsia" w:ascii="Times New Roman" w:hAnsi="Times New Roman" w:eastAsia="宋体" w:cs="Times New Roman"/>
                <w:b w:val="0"/>
                <w:bCs w:val="0"/>
                <w:color w:val="auto"/>
                <w:kern w:val="2"/>
                <w:sz w:val="24"/>
                <w:szCs w:val="24"/>
                <w:lang w:val="en-US" w:eastAsia="zh-CN" w:bidi="ar-SA"/>
              </w:rPr>
              <w:t>评价区无重点保护的野生动物，常见动物为区域内广泛分布的种类，如野兔、田鼠、蛇等。项目施工期对动物的影响，主要是运输、施工噪声和人为活动，迫使动物离开项目区域。因此，在施工过程中应加强对施工人员活动区域的控制，减少对野生动物的干扰，夜间尽量减少活动；合理安排施工时间，在动物活动频繁季节停止施工。在此基础上，项目建设对野生动物的影响小。</w:t>
            </w:r>
          </w:p>
          <w:p>
            <w:pPr>
              <w:pageBreakBefore w:val="0"/>
              <w:widowControl w:val="0"/>
              <w:kinsoku/>
              <w:wordWrap/>
              <w:overflowPunct/>
              <w:topLinePunct w:val="0"/>
              <w:autoSpaceDE/>
              <w:autoSpaceDN/>
              <w:bidi w:val="0"/>
              <w:adjustRightInd/>
              <w:snapToGrid/>
              <w:spacing w:line="360" w:lineRule="auto"/>
              <w:ind w:right="-1" w:firstLine="480" w:firstLineChars="200"/>
              <w:contextualSpacing/>
              <w:textAlignment w:val="auto"/>
              <w:rPr>
                <w:rFonts w:ascii="Times New Roman" w:hAnsi="Times New Roman" w:eastAsia="宋体"/>
                <w:color w:val="auto"/>
                <w:sz w:val="24"/>
              </w:rPr>
            </w:pPr>
            <w:r>
              <w:rPr>
                <w:rFonts w:hint="eastAsia" w:ascii="Times New Roman" w:hAnsi="Times New Roman" w:eastAsia="宋体"/>
                <w:color w:val="auto"/>
                <w:sz w:val="24"/>
              </w:rPr>
              <w:t>（</w:t>
            </w:r>
            <w:r>
              <w:rPr>
                <w:rFonts w:hint="eastAsia"/>
                <w:color w:val="auto"/>
                <w:sz w:val="24"/>
                <w:lang w:val="en-US" w:eastAsia="zh-CN"/>
              </w:rPr>
              <w:t>3</w:t>
            </w:r>
            <w:r>
              <w:rPr>
                <w:rFonts w:hint="eastAsia" w:ascii="Times New Roman" w:hAnsi="Times New Roman" w:eastAsia="宋体"/>
                <w:color w:val="auto"/>
                <w:sz w:val="24"/>
              </w:rPr>
              <w:t>）对</w:t>
            </w:r>
            <w:r>
              <w:rPr>
                <w:rFonts w:hint="eastAsia"/>
                <w:color w:val="auto"/>
                <w:sz w:val="24"/>
                <w:lang w:eastAsia="zh-CN"/>
              </w:rPr>
              <w:t>马莲河</w:t>
            </w:r>
            <w:r>
              <w:rPr>
                <w:rFonts w:hint="eastAsia" w:ascii="Times New Roman" w:hAnsi="Times New Roman" w:eastAsia="宋体"/>
                <w:color w:val="auto"/>
                <w:sz w:val="24"/>
              </w:rPr>
              <w:t>的影响</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contextualSpacing/>
              <w:textAlignment w:val="auto"/>
              <w:rPr>
                <w:rFonts w:hint="eastAsia" w:ascii="Times New Roman" w:hAnsi="Times New Roman" w:eastAsia="宋体"/>
                <w:color w:val="auto"/>
                <w:sz w:val="24"/>
              </w:rPr>
            </w:pPr>
            <w:r>
              <w:rPr>
                <w:rFonts w:hint="eastAsia" w:ascii="Times New Roman" w:hAnsi="Times New Roman" w:eastAsia="宋体"/>
                <w:color w:val="auto"/>
                <w:sz w:val="24"/>
              </w:rPr>
              <w:t>项目施工区域</w:t>
            </w:r>
            <w:r>
              <w:rPr>
                <w:rFonts w:hint="eastAsia"/>
                <w:color w:val="auto"/>
                <w:sz w:val="24"/>
                <w:lang w:eastAsia="zh-CN"/>
              </w:rPr>
              <w:t>在</w:t>
            </w:r>
            <w:r>
              <w:rPr>
                <w:rFonts w:hint="eastAsia" w:ascii="Times New Roman" w:hAnsi="Times New Roman" w:eastAsia="宋体"/>
                <w:color w:val="auto"/>
                <w:sz w:val="24"/>
              </w:rPr>
              <w:t>河道，如果不注意控制施工期废水防治措施，将有可能导致废水直接排入河流，产生水体污染。</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contextualSpacing/>
              <w:textAlignment w:val="auto"/>
              <w:rPr>
                <w:rFonts w:hint="eastAsia" w:ascii="Times New Roman" w:hAnsi="Times New Roman" w:eastAsia="宋体"/>
                <w:color w:val="auto"/>
                <w:sz w:val="24"/>
              </w:rPr>
            </w:pPr>
            <w:r>
              <w:rPr>
                <w:rFonts w:hint="eastAsia" w:ascii="Times New Roman" w:hAnsi="Times New Roman" w:eastAsia="宋体" w:cs="宋体"/>
                <w:color w:val="auto"/>
                <w:sz w:val="24"/>
              </w:rPr>
              <w:t>①</w:t>
            </w:r>
            <w:r>
              <w:rPr>
                <w:rFonts w:hint="eastAsia" w:ascii="Times New Roman" w:hAnsi="Times New Roman" w:eastAsia="宋体"/>
                <w:color w:val="auto"/>
                <w:sz w:val="24"/>
              </w:rPr>
              <w:t>项目</w:t>
            </w:r>
            <w:r>
              <w:rPr>
                <w:rFonts w:hint="eastAsia"/>
                <w:color w:val="auto"/>
                <w:sz w:val="24"/>
                <w:lang w:eastAsia="zh-CN"/>
              </w:rPr>
              <w:t>选择在枯水期施工</w:t>
            </w:r>
            <w:r>
              <w:rPr>
                <w:rFonts w:hint="eastAsia" w:ascii="Times New Roman" w:hAnsi="Times New Roman"/>
                <w:color w:val="auto"/>
                <w:sz w:val="24"/>
                <w:lang w:eastAsia="zh-CN"/>
              </w:rPr>
              <w:t>，设置导流，施工导流</w:t>
            </w:r>
            <w:r>
              <w:rPr>
                <w:rFonts w:hint="eastAsia" w:ascii="Times New Roman" w:hAnsi="Times New Roman" w:eastAsia="宋体"/>
                <w:color w:val="auto"/>
                <w:sz w:val="24"/>
              </w:rPr>
              <w:t>采取围堰法。</w:t>
            </w:r>
            <w:r>
              <w:rPr>
                <w:rFonts w:hint="eastAsia"/>
                <w:color w:val="auto"/>
                <w:sz w:val="24"/>
                <w:lang w:eastAsia="zh-CN"/>
              </w:rPr>
              <w:t>项目</w:t>
            </w:r>
            <w:r>
              <w:rPr>
                <w:rFonts w:hint="eastAsia" w:ascii="Times New Roman" w:hAnsi="Times New Roman"/>
                <w:color w:val="auto"/>
                <w:sz w:val="24"/>
                <w:lang w:eastAsia="zh-CN"/>
              </w:rPr>
              <w:t>施工导流</w:t>
            </w:r>
            <w:r>
              <w:rPr>
                <w:rFonts w:hint="eastAsia" w:ascii="Times New Roman" w:hAnsi="Times New Roman" w:eastAsia="宋体"/>
                <w:color w:val="auto"/>
                <w:sz w:val="24"/>
              </w:rPr>
              <w:t>对河流的影响随着施工期的结束而结束。</w:t>
            </w:r>
          </w:p>
          <w:p>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ascii="Times New Roman" w:hAnsi="Times New Roman" w:eastAsia="宋体"/>
                <w:color w:val="auto"/>
                <w:sz w:val="24"/>
              </w:rPr>
            </w:pPr>
            <w:r>
              <w:rPr>
                <w:rFonts w:hint="eastAsia" w:ascii="Times New Roman" w:hAnsi="Times New Roman" w:eastAsia="宋体" w:cs="Times New Roman"/>
                <w:color w:val="auto"/>
                <w:spacing w:val="0"/>
                <w:kern w:val="2"/>
                <w:sz w:val="24"/>
                <w:szCs w:val="24"/>
                <w:lang w:val="en-US" w:eastAsia="zh-CN" w:bidi="ar-SA"/>
              </w:rPr>
              <w:t>②</w:t>
            </w:r>
            <w:r>
              <w:rPr>
                <w:rFonts w:hint="eastAsia" w:ascii="Times New Roman" w:hAnsi="Times New Roman" w:eastAsia="宋体"/>
                <w:color w:val="auto"/>
                <w:sz w:val="24"/>
              </w:rPr>
              <w:t>项目施工期较短，施工过程中将产生少量人员</w:t>
            </w:r>
            <w:r>
              <w:rPr>
                <w:rFonts w:hint="eastAsia" w:ascii="Times New Roman" w:hAnsi="Times New Roman"/>
                <w:color w:val="auto"/>
                <w:sz w:val="24"/>
                <w:lang w:eastAsia="zh-CN"/>
              </w:rPr>
              <w:t>盥洗</w:t>
            </w:r>
            <w:r>
              <w:rPr>
                <w:rFonts w:hint="eastAsia" w:ascii="Times New Roman" w:hAnsi="Times New Roman" w:eastAsia="宋体"/>
                <w:color w:val="auto"/>
                <w:sz w:val="24"/>
              </w:rPr>
              <w:t>废水用于施工场地洒水降尘使用，施工过程中不产生污水排放。同时要求建设单位施工时避开丰水期和雨季，避免雨水冲刷产生径流流入河流。</w:t>
            </w:r>
          </w:p>
          <w:p>
            <w:pPr>
              <w:pageBreakBefore w:val="0"/>
              <w:widowControl w:val="0"/>
              <w:kinsoku/>
              <w:wordWrap/>
              <w:overflowPunct/>
              <w:topLinePunct w:val="0"/>
              <w:autoSpaceDE/>
              <w:autoSpaceDN/>
              <w:bidi w:val="0"/>
              <w:adjustRightInd/>
              <w:snapToGrid/>
              <w:spacing w:line="360" w:lineRule="auto"/>
              <w:ind w:right="-1" w:firstLine="480" w:firstLineChars="200"/>
              <w:contextualSpacing/>
              <w:textAlignment w:val="auto"/>
              <w:rPr>
                <w:rFonts w:ascii="Times New Roman" w:hAnsi="Times New Roman" w:eastAsia="宋体"/>
                <w:color w:val="auto"/>
                <w:sz w:val="24"/>
              </w:rPr>
            </w:pPr>
            <w:r>
              <w:rPr>
                <w:rFonts w:hint="eastAsia" w:ascii="Times New Roman" w:hAnsi="Times New Roman" w:eastAsia="宋体"/>
                <w:color w:val="auto"/>
                <w:sz w:val="24"/>
              </w:rPr>
              <w:t>（</w:t>
            </w:r>
            <w:r>
              <w:rPr>
                <w:rFonts w:hint="eastAsia"/>
                <w:color w:val="auto"/>
                <w:sz w:val="24"/>
                <w:lang w:val="en-US" w:eastAsia="zh-CN"/>
              </w:rPr>
              <w:t>4</w:t>
            </w:r>
            <w:r>
              <w:rPr>
                <w:rFonts w:hint="eastAsia" w:ascii="Times New Roman" w:hAnsi="Times New Roman" w:eastAsia="宋体"/>
                <w:color w:val="auto"/>
                <w:sz w:val="24"/>
              </w:rPr>
              <w:t>）施工期水土流失影响</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rPr>
            </w:pPr>
            <w:r>
              <w:rPr>
                <w:rFonts w:hint="eastAsia" w:ascii="Times New Roman" w:hAnsi="Times New Roman" w:eastAsia="宋体"/>
                <w:color w:val="auto"/>
                <w:sz w:val="24"/>
              </w:rPr>
              <w:t>项目施工期开挖工程会扰动土壤，如果施工期间恰逢降雨季会造成水土流失影响，评价要求企业施工期避开雨季，避免雨水冲刷施工期产生水土流失，同时压缩施工期，尽量减少对土壤扰动时间，必要时可采取分段</w:t>
            </w:r>
            <w:r>
              <w:rPr>
                <w:rFonts w:hint="eastAsia" w:ascii="Times New Roman" w:hAnsi="Times New Roman"/>
                <w:color w:val="auto"/>
                <w:sz w:val="24"/>
                <w:lang w:eastAsia="zh-CN"/>
              </w:rPr>
              <w:t>施工</w:t>
            </w:r>
            <w:r>
              <w:rPr>
                <w:rFonts w:hint="eastAsia" w:ascii="Times New Roman" w:hAnsi="Times New Roman" w:eastAsia="宋体"/>
                <w:color w:val="auto"/>
                <w:sz w:val="24"/>
              </w:rPr>
              <w:t>，以减少同一时间内土壤扰动区域。</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rPr>
            </w:pPr>
            <w:r>
              <w:rPr>
                <w:rFonts w:hint="eastAsia" w:ascii="Times New Roman" w:hAnsi="Times New Roman" w:eastAsia="宋体"/>
                <w:color w:val="auto"/>
                <w:sz w:val="24"/>
              </w:rPr>
              <w:t>（</w:t>
            </w:r>
            <w:r>
              <w:rPr>
                <w:rFonts w:hint="eastAsia"/>
                <w:color w:val="auto"/>
                <w:sz w:val="24"/>
                <w:lang w:val="en-US" w:eastAsia="zh-CN"/>
              </w:rPr>
              <w:t>5</w:t>
            </w:r>
            <w:r>
              <w:rPr>
                <w:rFonts w:hint="eastAsia" w:ascii="Times New Roman" w:hAnsi="Times New Roman" w:eastAsia="宋体"/>
                <w:color w:val="auto"/>
                <w:sz w:val="24"/>
              </w:rPr>
              <w:t>）对土壤的影响分析</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rPr>
            </w:pPr>
            <w:r>
              <w:rPr>
                <w:rFonts w:hint="eastAsia" w:ascii="Times New Roman" w:hAnsi="Times New Roman" w:eastAsia="宋体"/>
                <w:color w:val="auto"/>
                <w:sz w:val="24"/>
              </w:rPr>
              <w:t>施工期对土壤的影响主要是占压造成土壤压实和对土壤表层的剥离，影响范围主要集中在</w:t>
            </w:r>
            <w:r>
              <w:rPr>
                <w:rFonts w:hint="eastAsia"/>
                <w:color w:val="auto"/>
                <w:sz w:val="24"/>
                <w:lang w:eastAsia="zh-CN"/>
              </w:rPr>
              <w:t>桥梁</w:t>
            </w:r>
            <w:r>
              <w:rPr>
                <w:rFonts w:hint="eastAsia" w:ascii="Times New Roman" w:hAnsi="Times New Roman" w:eastAsia="宋体"/>
                <w:color w:val="auto"/>
                <w:sz w:val="24"/>
              </w:rPr>
              <w:t>施工作业带两侧范围内，而对此区域以外的土壤影响较小。根据项目内容，</w:t>
            </w:r>
            <w:r>
              <w:rPr>
                <w:rFonts w:hint="eastAsia" w:ascii="Times New Roman" w:hAnsi="Times New Roman"/>
                <w:color w:val="auto"/>
                <w:sz w:val="24"/>
                <w:lang w:eastAsia="zh-CN"/>
              </w:rPr>
              <w:t>基础</w:t>
            </w:r>
            <w:r>
              <w:rPr>
                <w:rFonts w:hint="eastAsia" w:ascii="Times New Roman" w:hAnsi="Times New Roman" w:eastAsia="宋体"/>
                <w:color w:val="auto"/>
                <w:sz w:val="24"/>
              </w:rPr>
              <w:t>开挖、回填对土壤的扰动和破坏最大。本项目对土壤的影响主要表现为对土壤性质、土壤肥力的影响和土壤污染三个方面。评价要求建设单位施工时将表层植被及土壤整体移开保存，并及时进行回填，对固体废物实施了严格的管理措施，进行了统一回填和专门处理，减少对土壤的影响。</w:t>
            </w:r>
          </w:p>
          <w:bookmarkEnd w:id="24"/>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lang w:eastAsia="zh-CN"/>
              </w:rPr>
            </w:pPr>
            <w:r>
              <w:rPr>
                <w:rFonts w:hint="eastAsia" w:ascii="Times New Roman" w:hAnsi="Times New Roman" w:eastAsia="宋体"/>
                <w:color w:val="auto"/>
                <w:sz w:val="24"/>
                <w:lang w:eastAsia="zh-CN"/>
              </w:rPr>
              <w:t>（</w:t>
            </w:r>
            <w:r>
              <w:rPr>
                <w:rFonts w:hint="eastAsia"/>
                <w:color w:val="auto"/>
                <w:sz w:val="24"/>
                <w:lang w:val="en-US" w:eastAsia="zh-CN"/>
              </w:rPr>
              <w:t>6</w:t>
            </w:r>
            <w:r>
              <w:rPr>
                <w:rFonts w:hint="eastAsia" w:ascii="Times New Roman" w:hAnsi="Times New Roman" w:eastAsia="宋体"/>
                <w:color w:val="auto"/>
                <w:sz w:val="24"/>
                <w:lang w:eastAsia="zh-CN"/>
              </w:rPr>
              <w:t>）水生生态的影响分析</w:t>
            </w:r>
          </w:p>
          <w:p>
            <w:pPr>
              <w:widowControl/>
              <w:spacing w:line="360" w:lineRule="auto"/>
              <w:ind w:firstLine="480" w:firstLineChars="200"/>
              <w:jc w:val="left"/>
              <w:rPr>
                <w:rFonts w:hint="eastAsia" w:cs="Times New Roman"/>
                <w:color w:val="0000FF"/>
                <w:kern w:val="0"/>
                <w:sz w:val="24"/>
                <w:szCs w:val="24"/>
                <w:lang w:bidi="ar"/>
              </w:rPr>
            </w:pPr>
            <w:r>
              <w:rPr>
                <w:rFonts w:hint="eastAsia" w:cs="Times New Roman"/>
                <w:color w:val="0000FF"/>
                <w:kern w:val="0"/>
                <w:sz w:val="24"/>
                <w:szCs w:val="24"/>
                <w:lang w:bidi="ar"/>
              </w:rPr>
              <w:t>该工程施工期对水生生物的主要影响是</w:t>
            </w:r>
            <w:r>
              <w:rPr>
                <w:rFonts w:hint="eastAsia" w:cs="Times New Roman"/>
                <w:color w:val="0000FF"/>
                <w:kern w:val="0"/>
                <w:sz w:val="24"/>
                <w:szCs w:val="24"/>
                <w:lang w:eastAsia="zh-CN" w:bidi="ar"/>
              </w:rPr>
              <w:t>桥梁下部结构</w:t>
            </w:r>
            <w:r>
              <w:rPr>
                <w:rFonts w:hint="eastAsia" w:cs="Times New Roman"/>
                <w:color w:val="0000FF"/>
                <w:kern w:val="0"/>
                <w:sz w:val="24"/>
                <w:szCs w:val="24"/>
                <w:lang w:bidi="ar"/>
              </w:rPr>
              <w:t>施工产生的泥沙等悬浮物进入水体，造成水体泥沙含量的增加，对浮游生物、底栖动物的生长繁殖不利，对鱼类的摄食、繁殖、栖息产生一定的不利影响。施工机械产生的噪声对鱼类的摄食、繁殖、栖息等产生一定的不利影响；水文条件发生改变，对水生生物产生一定的不利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FF0000"/>
                <w:sz w:val="24"/>
                <w:szCs w:val="24"/>
                <w:lang w:eastAsia="zh-CN"/>
              </w:rPr>
            </w:pPr>
            <w:bookmarkStart w:id="25" w:name="_Toc12199"/>
            <w:r>
              <w:rPr>
                <w:rFonts w:hint="eastAsia"/>
                <w:color w:val="FF0000"/>
                <w:sz w:val="24"/>
                <w:szCs w:val="24"/>
                <w:lang w:eastAsia="zh-CN"/>
              </w:rPr>
              <w:t>①对浮游生物的影响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FF0000"/>
                <w:sz w:val="24"/>
                <w:szCs w:val="24"/>
                <w:lang w:eastAsia="zh-CN"/>
              </w:rPr>
            </w:pPr>
            <w:r>
              <w:rPr>
                <w:rFonts w:hint="eastAsia"/>
                <w:color w:val="FF0000"/>
                <w:sz w:val="24"/>
                <w:szCs w:val="24"/>
                <w:lang w:eastAsia="zh-CN"/>
              </w:rPr>
              <w:t>该工程施工扰动水体，造成水质浑浊，水中悬浮物浓度升高，降低了水域透明度，对浮游生物的生长繁殖产生一定的不利影响，但这种影响是暂时的，随着施工的结束而逐渐得到恢复。工程建设施工合理安排，尽量减少涉水工程面积，工程建设对浮游生物影响施工完成后可以自行恢复。运营期对浮游生物的生长繁殖有一定的积极作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FF0000"/>
                <w:sz w:val="24"/>
                <w:szCs w:val="24"/>
                <w:lang w:eastAsia="zh-CN"/>
              </w:rPr>
            </w:pPr>
            <w:r>
              <w:rPr>
                <w:rFonts w:hint="eastAsia"/>
                <w:color w:val="FF0000"/>
                <w:sz w:val="24"/>
                <w:szCs w:val="24"/>
                <w:lang w:eastAsia="zh-CN"/>
              </w:rPr>
              <w:t>②对底栖生物的影响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FF0000"/>
                <w:sz w:val="24"/>
                <w:szCs w:val="24"/>
                <w:lang w:eastAsia="zh-CN"/>
              </w:rPr>
            </w:pPr>
            <w:r>
              <w:rPr>
                <w:rFonts w:hint="eastAsia"/>
                <w:color w:val="FF0000"/>
                <w:sz w:val="24"/>
                <w:szCs w:val="24"/>
                <w:lang w:eastAsia="zh-CN"/>
              </w:rPr>
              <w:t>该工程清淤疏浚等施工将破坏底栖动物生存环境，水库的底质类型和形态发生改变，底栖动物的生境条件和空间分布也将被改变。对底栖动物的生长繁殖产生一定的不利影响。施工结束后，底栖动物生境得以恢复。虽然底栖动物群落将逐步恢复；但是由于底栖动物区域性强，迁移能力弱，对于环境变化通常缺少回避能力，其群落重建需要相对较长的时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FF0000"/>
                <w:sz w:val="24"/>
                <w:szCs w:val="24"/>
                <w:lang w:eastAsia="zh-CN"/>
              </w:rPr>
            </w:pPr>
            <w:r>
              <w:rPr>
                <w:rFonts w:hint="eastAsia"/>
                <w:color w:val="FF0000"/>
                <w:sz w:val="24"/>
                <w:szCs w:val="24"/>
                <w:lang w:eastAsia="zh-CN"/>
              </w:rPr>
              <w:t>③对水生维管束植物的影响</w:t>
            </w:r>
          </w:p>
          <w:p>
            <w:pPr>
              <w:spacing w:line="360" w:lineRule="auto"/>
              <w:ind w:firstLine="480" w:firstLineChars="200"/>
              <w:outlineLvl w:val="2"/>
              <w:rPr>
                <w:rStyle w:val="117"/>
                <w:rFonts w:hint="eastAsia"/>
                <w:color w:val="0000FF"/>
                <w:sz w:val="24"/>
                <w:szCs w:val="24"/>
                <w:lang w:eastAsia="zh-CN"/>
              </w:rPr>
            </w:pPr>
            <w:r>
              <w:rPr>
                <w:rFonts w:hint="eastAsia"/>
                <w:color w:val="FF0000"/>
                <w:sz w:val="24"/>
                <w:szCs w:val="24"/>
                <w:lang w:eastAsia="zh-CN"/>
              </w:rPr>
              <w:t>施工河段的水生维管束植物主要是芦苇，为广布种，没有特有的水生植物属和特有种的分布，施工对其影响较小。运营期对水生维管束植物有一定的积极作用。</w:t>
            </w:r>
          </w:p>
          <w:p>
            <w:pPr>
              <w:spacing w:line="360" w:lineRule="auto"/>
              <w:ind w:firstLine="480" w:firstLineChars="200"/>
              <w:outlineLvl w:val="2"/>
              <w:rPr>
                <w:rStyle w:val="117"/>
                <w:rFonts w:hint="default"/>
                <w:b w:val="0"/>
                <w:bCs w:val="0"/>
                <w:color w:val="0000FF"/>
                <w:sz w:val="24"/>
                <w:szCs w:val="24"/>
              </w:rPr>
            </w:pPr>
            <w:r>
              <w:rPr>
                <w:rStyle w:val="117"/>
                <w:rFonts w:hint="eastAsia"/>
                <w:b w:val="0"/>
                <w:bCs w:val="0"/>
                <w:color w:val="0000FF"/>
                <w:sz w:val="24"/>
                <w:szCs w:val="24"/>
                <w:lang w:eastAsia="zh-CN"/>
              </w:rPr>
              <w:t>④</w:t>
            </w:r>
            <w:r>
              <w:rPr>
                <w:rStyle w:val="117"/>
                <w:rFonts w:hint="default"/>
                <w:b w:val="0"/>
                <w:bCs w:val="0"/>
                <w:color w:val="0000FF"/>
                <w:sz w:val="24"/>
                <w:szCs w:val="24"/>
              </w:rPr>
              <w:t>对鱼类区系组成的影响。</w:t>
            </w:r>
            <w:bookmarkEnd w:id="25"/>
            <w:bookmarkStart w:id="26" w:name="_Hlk19355460"/>
          </w:p>
          <w:p>
            <w:pPr>
              <w:widowControl/>
              <w:spacing w:line="360" w:lineRule="auto"/>
              <w:ind w:firstLine="480" w:firstLineChars="200"/>
              <w:jc w:val="left"/>
              <w:rPr>
                <w:rFonts w:hint="eastAsia" w:cs="Times New Roman"/>
                <w:b w:val="0"/>
                <w:bCs w:val="0"/>
                <w:color w:val="0000FF"/>
                <w:kern w:val="0"/>
                <w:sz w:val="24"/>
                <w:szCs w:val="24"/>
                <w:lang w:bidi="ar"/>
              </w:rPr>
            </w:pPr>
            <w:r>
              <w:rPr>
                <w:rFonts w:hint="eastAsia" w:cs="Times New Roman"/>
                <w:b w:val="0"/>
                <w:bCs w:val="0"/>
                <w:color w:val="0000FF"/>
                <w:kern w:val="0"/>
                <w:sz w:val="24"/>
                <w:szCs w:val="24"/>
                <w:lang w:bidi="ar"/>
              </w:rPr>
              <w:t>该工程的施工对鱼类的主要影响为扰动河床产生的悬浮物、噪声和震动的影响；不会造成鱼类种类的消失和灭绝，鱼类区系组成不会发生直接的变化，对鱼类区系组成无直接的影响。</w:t>
            </w:r>
            <w:bookmarkEnd w:id="26"/>
          </w:p>
          <w:p>
            <w:pPr>
              <w:spacing w:line="360" w:lineRule="auto"/>
              <w:ind w:firstLine="480" w:firstLineChars="200"/>
              <w:outlineLvl w:val="2"/>
              <w:rPr>
                <w:rStyle w:val="117"/>
                <w:rFonts w:hint="default"/>
                <w:b w:val="0"/>
                <w:bCs w:val="0"/>
                <w:color w:val="0000FF"/>
                <w:sz w:val="24"/>
                <w:szCs w:val="24"/>
              </w:rPr>
            </w:pPr>
            <w:bookmarkStart w:id="27" w:name="_Toc7137"/>
            <w:r>
              <w:rPr>
                <w:rStyle w:val="117"/>
                <w:rFonts w:hint="eastAsia"/>
                <w:b w:val="0"/>
                <w:bCs w:val="0"/>
                <w:color w:val="0000FF"/>
                <w:sz w:val="24"/>
                <w:szCs w:val="24"/>
                <w:lang w:eastAsia="zh-CN"/>
              </w:rPr>
              <w:t>⑤</w:t>
            </w:r>
            <w:r>
              <w:rPr>
                <w:rStyle w:val="117"/>
                <w:rFonts w:hint="default"/>
                <w:b w:val="0"/>
                <w:bCs w:val="0"/>
                <w:color w:val="0000FF"/>
                <w:sz w:val="24"/>
                <w:szCs w:val="24"/>
              </w:rPr>
              <w:t>对鱼类种群结构的影响。</w:t>
            </w:r>
            <w:bookmarkEnd w:id="27"/>
            <w:bookmarkStart w:id="28" w:name="_Hlk19355449"/>
          </w:p>
          <w:p>
            <w:pPr>
              <w:widowControl/>
              <w:spacing w:line="360" w:lineRule="auto"/>
              <w:ind w:firstLine="480" w:firstLineChars="200"/>
              <w:jc w:val="left"/>
              <w:rPr>
                <w:rFonts w:hint="eastAsia" w:cs="Times New Roman"/>
                <w:b w:val="0"/>
                <w:bCs w:val="0"/>
                <w:color w:val="0000FF"/>
                <w:kern w:val="0"/>
                <w:sz w:val="24"/>
                <w:szCs w:val="24"/>
                <w:lang w:bidi="ar"/>
              </w:rPr>
            </w:pPr>
            <w:r>
              <w:rPr>
                <w:rFonts w:hint="eastAsia" w:cs="Times New Roman"/>
                <w:b w:val="0"/>
                <w:bCs w:val="0"/>
                <w:color w:val="0000FF"/>
                <w:kern w:val="0"/>
                <w:sz w:val="24"/>
                <w:szCs w:val="24"/>
                <w:lang w:bidi="ar"/>
              </w:rPr>
              <w:t>该工程的施工扰动河床产生的悬浮物，对工程区及其下游鱼类的摄食、栖息、生长等产生一定的不利影；施工产生的噪声和震动对鱼类的生活习性产生一定的不利影响，工程影响水域由于受施工扰动、噪声和震动的影响，鱼类种群结构会发生一定的变化，对鱼类的种群结构产生一定的不利影响。</w:t>
            </w:r>
            <w:bookmarkEnd w:id="28"/>
          </w:p>
          <w:p>
            <w:pPr>
              <w:spacing w:line="360" w:lineRule="auto"/>
              <w:ind w:firstLine="480" w:firstLineChars="200"/>
              <w:outlineLvl w:val="2"/>
              <w:rPr>
                <w:rStyle w:val="117"/>
                <w:rFonts w:hint="default"/>
                <w:b w:val="0"/>
                <w:bCs w:val="0"/>
                <w:color w:val="0000FF"/>
                <w:sz w:val="24"/>
                <w:szCs w:val="24"/>
              </w:rPr>
            </w:pPr>
            <w:bookmarkStart w:id="29" w:name="_Toc3475"/>
            <w:r>
              <w:rPr>
                <w:rStyle w:val="117"/>
                <w:rFonts w:hint="eastAsia"/>
                <w:b w:val="0"/>
                <w:bCs w:val="0"/>
                <w:color w:val="0000FF"/>
                <w:sz w:val="24"/>
                <w:szCs w:val="24"/>
                <w:lang w:eastAsia="zh-CN"/>
              </w:rPr>
              <w:t>⑥</w:t>
            </w:r>
            <w:r>
              <w:rPr>
                <w:rStyle w:val="117"/>
                <w:rFonts w:hint="default"/>
                <w:b w:val="0"/>
                <w:bCs w:val="0"/>
                <w:color w:val="0000FF"/>
                <w:sz w:val="24"/>
                <w:szCs w:val="24"/>
              </w:rPr>
              <w:t>对鱼类资源的影响。</w:t>
            </w:r>
            <w:bookmarkEnd w:id="29"/>
            <w:bookmarkStart w:id="30" w:name="_Hlk19355431"/>
          </w:p>
          <w:p>
            <w:pPr>
              <w:widowControl/>
              <w:spacing w:line="360" w:lineRule="auto"/>
              <w:ind w:firstLine="480" w:firstLineChars="200"/>
              <w:jc w:val="left"/>
              <w:rPr>
                <w:rFonts w:hint="eastAsia" w:cs="Times New Roman"/>
                <w:b w:val="0"/>
                <w:bCs w:val="0"/>
                <w:color w:val="0000FF"/>
                <w:kern w:val="0"/>
                <w:sz w:val="24"/>
                <w:szCs w:val="24"/>
                <w:lang w:bidi="ar"/>
              </w:rPr>
            </w:pPr>
            <w:r>
              <w:rPr>
                <w:rFonts w:hint="eastAsia" w:cs="Times New Roman"/>
                <w:b w:val="0"/>
                <w:bCs w:val="0"/>
                <w:color w:val="0000FF"/>
                <w:kern w:val="0"/>
                <w:sz w:val="24"/>
                <w:szCs w:val="24"/>
                <w:lang w:bidi="ar"/>
              </w:rPr>
              <w:t>该工程的施工短期内造成影响水域及其上下游水域鱼类资源下降，在施工区域鱼类活动减弱。施工结束后，随着时间的推移，鱼类将逐步适应新环境，影响将逐步消失。</w:t>
            </w:r>
            <w:bookmarkEnd w:id="30"/>
          </w:p>
          <w:p>
            <w:pPr>
              <w:spacing w:line="360" w:lineRule="auto"/>
              <w:ind w:firstLine="480" w:firstLineChars="200"/>
              <w:outlineLvl w:val="2"/>
              <w:rPr>
                <w:rStyle w:val="117"/>
                <w:rFonts w:hint="default"/>
                <w:b w:val="0"/>
                <w:bCs w:val="0"/>
                <w:color w:val="0000FF"/>
                <w:sz w:val="24"/>
                <w:szCs w:val="24"/>
              </w:rPr>
            </w:pPr>
            <w:bookmarkStart w:id="31" w:name="_Toc13515"/>
            <w:r>
              <w:rPr>
                <w:rStyle w:val="117"/>
                <w:rFonts w:hint="eastAsia"/>
                <w:b w:val="0"/>
                <w:bCs w:val="0"/>
                <w:color w:val="0000FF"/>
                <w:sz w:val="24"/>
                <w:szCs w:val="24"/>
                <w:lang w:eastAsia="zh-CN"/>
              </w:rPr>
              <w:t>⑦</w:t>
            </w:r>
            <w:r>
              <w:rPr>
                <w:rStyle w:val="117"/>
                <w:rFonts w:hint="default"/>
                <w:b w:val="0"/>
                <w:bCs w:val="0"/>
                <w:color w:val="0000FF"/>
                <w:sz w:val="24"/>
                <w:szCs w:val="24"/>
              </w:rPr>
              <w:t>对鱼类繁殖的影响。</w:t>
            </w:r>
            <w:bookmarkEnd w:id="31"/>
            <w:bookmarkStart w:id="32" w:name="_Hlk1935541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outlineLvl w:val="2"/>
              <w:rPr>
                <w:rFonts w:ascii="Times New Roman" w:hAnsi="Times New Roman" w:eastAsia="宋体"/>
                <w:b/>
                <w:color w:val="0000FF"/>
                <w:sz w:val="24"/>
                <w:szCs w:val="24"/>
              </w:rPr>
            </w:pPr>
            <w:r>
              <w:rPr>
                <w:rFonts w:hint="eastAsia" w:cs="Times New Roman"/>
                <w:b w:val="0"/>
                <w:bCs w:val="0"/>
                <w:color w:val="0000FF"/>
                <w:kern w:val="0"/>
                <w:sz w:val="24"/>
                <w:szCs w:val="24"/>
                <w:lang w:bidi="ar"/>
              </w:rPr>
              <w:t>由于受施工扰动产生的悬浮物及噪声、震动等影响，对鱼类的生长、栖息、摄食等产生一定的不利影响。但该工程影响水域无鱼类的产卵场分布，且避开繁殖期施工，对鱼类的繁</w:t>
            </w:r>
            <w:r>
              <w:rPr>
                <w:rFonts w:hint="eastAsia" w:cs="Times New Roman"/>
                <w:color w:val="0000FF"/>
                <w:kern w:val="0"/>
                <w:sz w:val="24"/>
                <w:szCs w:val="24"/>
                <w:lang w:bidi="ar"/>
              </w:rPr>
              <w:t>殖不会产生明显的影响。</w:t>
            </w:r>
            <w:bookmarkEnd w:id="32"/>
          </w:p>
          <w:p>
            <w:pPr>
              <w:pStyle w:val="11"/>
              <w:spacing w:line="360" w:lineRule="auto"/>
              <w:rPr>
                <w:b/>
                <w:bCs/>
                <w:color w:val="auto"/>
                <w:sz w:val="24"/>
                <w:highlight w:val="none"/>
              </w:rPr>
            </w:pPr>
            <w:r>
              <w:rPr>
                <w:b/>
                <w:bCs/>
                <w:color w:val="auto"/>
                <w:sz w:val="24"/>
                <w:highlight w:val="none"/>
              </w:rPr>
              <w:t>2、大气环境影响分析</w:t>
            </w:r>
          </w:p>
          <w:p>
            <w:pPr>
              <w:spacing w:line="360" w:lineRule="auto"/>
              <w:ind w:firstLine="480"/>
              <w:rPr>
                <w:b/>
                <w:color w:val="auto"/>
                <w:kern w:val="24"/>
                <w:sz w:val="24"/>
              </w:rPr>
            </w:pPr>
            <w:r>
              <w:rPr>
                <w:rFonts w:hint="eastAsia"/>
                <w:b/>
                <w:color w:val="auto"/>
                <w:kern w:val="24"/>
                <w:sz w:val="24"/>
              </w:rPr>
              <w:t>2.1污染源强核算</w:t>
            </w:r>
          </w:p>
          <w:p>
            <w:pPr>
              <w:spacing w:line="360" w:lineRule="auto"/>
              <w:ind w:firstLine="480"/>
              <w:rPr>
                <w:b/>
                <w:color w:val="auto"/>
                <w:kern w:val="24"/>
                <w:sz w:val="24"/>
              </w:rPr>
            </w:pPr>
            <w:r>
              <w:rPr>
                <w:color w:val="auto"/>
                <w:kern w:val="0"/>
                <w:sz w:val="24"/>
              </w:rPr>
              <w:t>施工阶段，对空气环境的污染主要来自施工扬尘、施工机械尾气、路面摊铺产生的沥青烟气。</w:t>
            </w:r>
          </w:p>
          <w:p>
            <w:pPr>
              <w:adjustRightInd w:val="0"/>
              <w:snapToGrid w:val="0"/>
              <w:spacing w:line="360" w:lineRule="auto"/>
              <w:ind w:firstLine="480" w:firstLineChars="200"/>
              <w:rPr>
                <w:bCs/>
                <w:color w:val="auto"/>
                <w:kern w:val="24"/>
                <w:sz w:val="24"/>
              </w:rPr>
            </w:pPr>
            <w:r>
              <w:rPr>
                <w:bCs/>
                <w:color w:val="auto"/>
                <w:kern w:val="24"/>
                <w:sz w:val="24"/>
              </w:rPr>
              <w:t>① 施工扬尘</w:t>
            </w:r>
          </w:p>
          <w:p>
            <w:pPr>
              <w:adjustRightInd w:val="0"/>
              <w:snapToGrid w:val="0"/>
              <w:spacing w:line="360" w:lineRule="auto"/>
              <w:ind w:firstLine="480" w:firstLineChars="200"/>
              <w:rPr>
                <w:color w:val="auto"/>
                <w:sz w:val="24"/>
              </w:rPr>
            </w:pPr>
            <w:r>
              <w:rPr>
                <w:color w:val="auto"/>
                <w:sz w:val="24"/>
              </w:rPr>
              <w:t>施工扬尘主要来自路基挖、填及土石方运输等施工过程，其次为筑路材料倾倒、堆放、运输等过程产生的无组织扬尘。</w:t>
            </w:r>
          </w:p>
          <w:p>
            <w:pPr>
              <w:adjustRightInd w:val="0"/>
              <w:snapToGrid w:val="0"/>
              <w:spacing w:line="360" w:lineRule="auto"/>
              <w:ind w:firstLine="480" w:firstLineChars="200"/>
              <w:rPr>
                <w:color w:val="auto"/>
                <w:sz w:val="24"/>
              </w:rPr>
            </w:pPr>
            <w:r>
              <w:rPr>
                <w:color w:val="auto"/>
                <w:sz w:val="24"/>
              </w:rPr>
              <w:t>A 土石方运输无组织扬尘</w:t>
            </w:r>
          </w:p>
          <w:p>
            <w:pPr>
              <w:adjustRightInd w:val="0"/>
              <w:snapToGrid w:val="0"/>
              <w:spacing w:line="360" w:lineRule="auto"/>
              <w:ind w:firstLine="480" w:firstLineChars="200"/>
              <w:rPr>
                <w:color w:val="auto"/>
                <w:sz w:val="24"/>
                <w:highlight w:val="yellow"/>
              </w:rPr>
            </w:pPr>
            <w:r>
              <w:rPr>
                <w:color w:val="auto"/>
                <w:sz w:val="24"/>
              </w:rPr>
              <w:t>本工程需对路基开挖等产生的土石方进行调配使用及弃土运输，</w:t>
            </w:r>
            <w:r>
              <w:rPr>
                <w:rFonts w:hint="eastAsia"/>
                <w:color w:val="auto"/>
                <w:sz w:val="24"/>
                <w:lang w:eastAsia="zh-CN"/>
              </w:rPr>
              <w:t>根据设计资料，土方</w:t>
            </w:r>
            <w:r>
              <w:rPr>
                <w:color w:val="auto"/>
                <w:sz w:val="24"/>
              </w:rPr>
              <w:t>总量</w:t>
            </w:r>
            <w:r>
              <w:rPr>
                <w:rFonts w:hint="eastAsia"/>
                <w:color w:val="auto"/>
                <w:sz w:val="24"/>
                <w:lang w:eastAsia="zh-CN"/>
              </w:rPr>
              <w:t>约</w:t>
            </w:r>
            <w:r>
              <w:rPr>
                <w:rFonts w:hint="eastAsia"/>
                <w:color w:val="auto"/>
                <w:sz w:val="24"/>
                <w:lang w:val="en-US" w:eastAsia="zh-CN"/>
              </w:rPr>
              <w:t>76</w:t>
            </w:r>
            <w:r>
              <w:rPr>
                <w:color w:val="auto"/>
                <w:sz w:val="24"/>
              </w:rPr>
              <w:t>00m</w:t>
            </w:r>
            <w:r>
              <w:rPr>
                <w:color w:val="auto"/>
                <w:sz w:val="24"/>
                <w:vertAlign w:val="superscript"/>
              </w:rPr>
              <w:t>3</w:t>
            </w:r>
            <w:r>
              <w:rPr>
                <w:color w:val="auto"/>
                <w:sz w:val="24"/>
              </w:rPr>
              <w:t>。车辆运输起尘量选用上海港环境保护中心、武汉水运工程学院提出的经验公式估算，经验公式为：</w:t>
            </w:r>
          </w:p>
          <w:p>
            <w:pPr>
              <w:spacing w:line="360" w:lineRule="auto"/>
              <w:jc w:val="center"/>
              <w:rPr>
                <w:color w:val="auto"/>
                <w:sz w:val="24"/>
              </w:rPr>
            </w:pPr>
            <w:r>
              <w:rPr>
                <w:color w:val="auto"/>
                <w:position w:val="-28"/>
                <w:sz w:val="24"/>
              </w:rPr>
              <w:object>
                <v:shape id="_x0000_i1025" o:spt="75" type="#_x0000_t75" style="height:36.75pt;width:218.2pt;" o:ole="t" filled="f" o:preferrelative="t" stroked="f" coordsize="21600,21600">
                  <v:path/>
                  <v:fill on="f" focussize="0,0"/>
                  <v:stroke on="f"/>
                  <v:imagedata r:id="rId12" o:title=""/>
                  <o:lock v:ext="edit" aspectratio="t"/>
                  <w10:wrap type="none"/>
                  <w10:anchorlock/>
                </v:shape>
                <o:OLEObject Type="Embed" ProgID="Equation.DSMT4" ShapeID="_x0000_i1025" DrawAspect="Content" ObjectID="_1468075725" r:id="rId11">
                  <o:LockedField>false</o:LockedField>
                </o:OLEObject>
              </w:object>
            </w:r>
          </w:p>
          <w:p>
            <w:pPr>
              <w:spacing w:line="360" w:lineRule="auto"/>
              <w:ind w:firstLine="480"/>
              <w:rPr>
                <w:color w:val="auto"/>
                <w:sz w:val="24"/>
              </w:rPr>
            </w:pPr>
            <w:r>
              <w:rPr>
                <w:color w:val="auto"/>
                <w:sz w:val="24"/>
              </w:rPr>
              <w:t>式中：Q——汽车行驶的起尘量，kg/辆次；</w:t>
            </w:r>
          </w:p>
          <w:p>
            <w:pPr>
              <w:spacing w:line="360" w:lineRule="auto"/>
              <w:ind w:firstLine="1200" w:firstLineChars="500"/>
              <w:rPr>
                <w:color w:val="auto"/>
                <w:sz w:val="24"/>
              </w:rPr>
            </w:pPr>
            <w:r>
              <w:rPr>
                <w:color w:val="auto"/>
                <w:sz w:val="24"/>
              </w:rPr>
              <w:t>V——汽车行驶速度，km/h，取20km/h；</w:t>
            </w:r>
          </w:p>
          <w:p>
            <w:pPr>
              <w:spacing w:line="360" w:lineRule="auto"/>
              <w:ind w:firstLine="1200" w:firstLineChars="500"/>
              <w:rPr>
                <w:color w:val="auto"/>
                <w:sz w:val="24"/>
              </w:rPr>
            </w:pPr>
            <w:r>
              <w:rPr>
                <w:color w:val="auto"/>
                <w:sz w:val="24"/>
              </w:rPr>
              <w:t>M——汽车载重量，t，按10t/辆计算；</w:t>
            </w:r>
          </w:p>
          <w:p>
            <w:pPr>
              <w:spacing w:line="360" w:lineRule="auto"/>
              <w:ind w:firstLine="1200" w:firstLineChars="500"/>
              <w:rPr>
                <w:color w:val="auto"/>
                <w:sz w:val="24"/>
              </w:rPr>
            </w:pPr>
            <w:r>
              <w:rPr>
                <w:color w:val="auto"/>
                <w:sz w:val="24"/>
              </w:rPr>
              <w:t>P——道路表面物料量，kg/m</w:t>
            </w:r>
            <w:r>
              <w:rPr>
                <w:color w:val="auto"/>
                <w:sz w:val="24"/>
                <w:vertAlign w:val="superscript"/>
              </w:rPr>
              <w:t>2</w:t>
            </w:r>
            <w:r>
              <w:rPr>
                <w:color w:val="auto"/>
                <w:sz w:val="24"/>
              </w:rPr>
              <w:t>，运输道路以简易道路为主，道路表层物料量按3.0 kg/m</w:t>
            </w:r>
            <w:r>
              <w:rPr>
                <w:color w:val="auto"/>
                <w:sz w:val="24"/>
                <w:vertAlign w:val="superscript"/>
              </w:rPr>
              <w:t>2</w:t>
            </w:r>
            <w:r>
              <w:rPr>
                <w:color w:val="auto"/>
                <w:sz w:val="24"/>
              </w:rPr>
              <w:t>计算；</w:t>
            </w:r>
          </w:p>
          <w:p>
            <w:pPr>
              <w:spacing w:line="360" w:lineRule="auto"/>
              <w:ind w:firstLine="1200" w:firstLineChars="500"/>
              <w:rPr>
                <w:color w:val="auto"/>
                <w:sz w:val="24"/>
              </w:rPr>
            </w:pPr>
            <w:r>
              <w:rPr>
                <w:color w:val="auto"/>
                <w:sz w:val="24"/>
              </w:rPr>
              <w:t>L——道路长度，km，本项目平均运距按照2km计算。</w:t>
            </w:r>
          </w:p>
          <w:p>
            <w:pPr>
              <w:spacing w:line="360" w:lineRule="auto"/>
              <w:ind w:firstLine="480"/>
              <w:rPr>
                <w:color w:val="auto"/>
                <w:sz w:val="24"/>
              </w:rPr>
            </w:pPr>
            <w:r>
              <w:rPr>
                <w:color w:val="auto"/>
                <w:sz w:val="24"/>
              </w:rPr>
              <w:t>计算得到：Q=1.21kg/辆·次。</w:t>
            </w:r>
          </w:p>
          <w:p>
            <w:pPr>
              <w:spacing w:line="360" w:lineRule="auto"/>
              <w:ind w:firstLine="480"/>
              <w:rPr>
                <w:color w:val="auto"/>
                <w:sz w:val="24"/>
              </w:rPr>
            </w:pPr>
            <w:r>
              <w:rPr>
                <w:color w:val="auto"/>
                <w:sz w:val="24"/>
              </w:rPr>
              <w:t>B 施工场地无组织扬尘</w:t>
            </w:r>
          </w:p>
          <w:p>
            <w:pPr>
              <w:spacing w:line="360" w:lineRule="auto"/>
              <w:ind w:firstLine="480" w:firstLineChars="200"/>
              <w:rPr>
                <w:color w:val="auto"/>
                <w:sz w:val="24"/>
              </w:rPr>
            </w:pPr>
            <w:r>
              <w:rPr>
                <w:color w:val="auto"/>
                <w:sz w:val="24"/>
              </w:rPr>
              <w:t>施工场地无组织扬尘包括土石方卸车、露天堆场和裸露场地的风力扬尘。土石方自卸车时的起尘量选用山西环保科研所、武汉水运工程学院提出的经验公式估算，经验公式为：</w:t>
            </w:r>
          </w:p>
          <w:p>
            <w:pPr>
              <w:spacing w:line="360" w:lineRule="auto"/>
              <w:ind w:firstLine="1920" w:firstLineChars="800"/>
              <w:rPr>
                <w:color w:val="auto"/>
                <w:sz w:val="24"/>
              </w:rPr>
            </w:pPr>
            <w:r>
              <w:rPr>
                <w:color w:val="auto"/>
                <w:position w:val="-24"/>
                <w:sz w:val="24"/>
              </w:rPr>
              <w:object>
                <v:shape id="_x0000_i1026" o:spt="75" type="#_x0000_t75" style="height:33.75pt;width:87pt;" o:ole="t" filled="f" o:preferrelative="t" stroked="f" coordsize="21600,21600">
                  <v:path/>
                  <v:fill on="f" focussize="0,0"/>
                  <v:stroke on="f"/>
                  <v:imagedata r:id="rId14" o:title=""/>
                  <o:lock v:ext="edit" aspectratio="t"/>
                  <w10:wrap type="none"/>
                  <w10:anchorlock/>
                </v:shape>
                <o:OLEObject Type="Embed" ProgID="Equation.DSMT4" ShapeID="_x0000_i1026" DrawAspect="Content" ObjectID="_1468075726" r:id="rId13">
                  <o:LockedField>false</o:LockedField>
                </o:OLEObject>
              </w:object>
            </w:r>
          </w:p>
          <w:p>
            <w:pPr>
              <w:adjustRightInd w:val="0"/>
              <w:snapToGrid w:val="0"/>
              <w:spacing w:line="360" w:lineRule="auto"/>
              <w:ind w:firstLine="480" w:firstLineChars="200"/>
              <w:rPr>
                <w:color w:val="auto"/>
                <w:sz w:val="24"/>
              </w:rPr>
            </w:pPr>
            <w:r>
              <w:rPr>
                <w:color w:val="auto"/>
                <w:sz w:val="24"/>
              </w:rPr>
              <w:t>式中：Q—物料卸车起尘量，kg/次；</w:t>
            </w:r>
          </w:p>
          <w:p>
            <w:pPr>
              <w:adjustRightInd w:val="0"/>
              <w:snapToGrid w:val="0"/>
              <w:spacing w:line="360" w:lineRule="auto"/>
              <w:ind w:firstLine="1200" w:firstLineChars="500"/>
              <w:rPr>
                <w:color w:val="auto"/>
                <w:sz w:val="24"/>
              </w:rPr>
            </w:pPr>
            <w:r>
              <w:rPr>
                <w:color w:val="auto"/>
                <w:sz w:val="24"/>
              </w:rPr>
              <w:t>u—平均风速，m/s，取2.08m/s；</w:t>
            </w:r>
          </w:p>
          <w:p>
            <w:pPr>
              <w:adjustRightInd w:val="0"/>
              <w:snapToGrid w:val="0"/>
              <w:spacing w:line="360" w:lineRule="auto"/>
              <w:ind w:firstLine="1200" w:firstLineChars="500"/>
              <w:rPr>
                <w:color w:val="auto"/>
                <w:sz w:val="24"/>
              </w:rPr>
            </w:pPr>
            <w:r>
              <w:rPr>
                <w:color w:val="auto"/>
                <w:sz w:val="24"/>
              </w:rPr>
              <w:t>M—汽车卸料量，t，按10t计算。</w:t>
            </w:r>
          </w:p>
          <w:p>
            <w:pPr>
              <w:adjustRightInd w:val="0"/>
              <w:snapToGrid w:val="0"/>
              <w:spacing w:line="360" w:lineRule="auto"/>
              <w:ind w:firstLine="480" w:firstLineChars="200"/>
              <w:rPr>
                <w:color w:val="auto"/>
                <w:sz w:val="24"/>
              </w:rPr>
            </w:pPr>
            <w:r>
              <w:rPr>
                <w:color w:val="auto"/>
                <w:sz w:val="24"/>
              </w:rPr>
              <w:t>计算得到：Q=0.13kg/次。</w:t>
            </w:r>
          </w:p>
          <w:p>
            <w:pPr>
              <w:adjustRightInd w:val="0"/>
              <w:snapToGrid w:val="0"/>
              <w:spacing w:line="360" w:lineRule="auto"/>
              <w:ind w:firstLine="480" w:firstLineChars="200"/>
              <w:rPr>
                <w:color w:val="auto"/>
                <w:sz w:val="24"/>
              </w:rPr>
            </w:pPr>
            <w:r>
              <w:rPr>
                <w:color w:val="auto"/>
                <w:sz w:val="24"/>
              </w:rPr>
              <w:t>由于施工需要，石灰、沙等粉状建筑材料临时堆存等，在气候干燥有风的情况下，会产生扬尘，与当地气象条件、人为活动程度、粉尘含水率等因素有关。</w:t>
            </w:r>
          </w:p>
          <w:p>
            <w:pPr>
              <w:pStyle w:val="13"/>
              <w:adjustRightInd w:val="0"/>
              <w:spacing w:line="360" w:lineRule="auto"/>
              <w:ind w:left="-5" w:firstLine="480" w:firstLineChars="200"/>
              <w:rPr>
                <w:rFonts w:ascii="Times New Roman" w:hAnsi="Times New Roman"/>
                <w:bCs/>
                <w:color w:val="auto"/>
                <w:kern w:val="24"/>
                <w:sz w:val="24"/>
                <w:szCs w:val="24"/>
              </w:rPr>
            </w:pPr>
            <w:r>
              <w:rPr>
                <w:rFonts w:ascii="Times New Roman" w:hAnsi="Times New Roman"/>
                <w:bCs/>
                <w:color w:val="auto"/>
                <w:kern w:val="24"/>
                <w:sz w:val="24"/>
              </w:rPr>
              <w:t>②施工机械、运输车辆运行尾气</w:t>
            </w:r>
          </w:p>
          <w:p>
            <w:pPr>
              <w:pStyle w:val="13"/>
              <w:adjustRightInd w:val="0"/>
              <w:spacing w:line="360" w:lineRule="auto"/>
              <w:ind w:left="-5" w:firstLine="480" w:firstLineChars="200"/>
              <w:rPr>
                <w:rFonts w:ascii="Times New Roman" w:hAnsi="Times New Roman" w:eastAsia="仿宋_GB2312"/>
                <w:color w:val="auto"/>
                <w:kern w:val="0"/>
                <w:sz w:val="24"/>
                <w:szCs w:val="24"/>
              </w:rPr>
            </w:pPr>
            <w:r>
              <w:rPr>
                <w:rFonts w:ascii="Times New Roman" w:hAnsi="Times New Roman"/>
                <w:bCs/>
                <w:color w:val="auto"/>
                <w:kern w:val="24"/>
                <w:sz w:val="24"/>
                <w:szCs w:val="24"/>
              </w:rPr>
              <w:t>施工过程中，运送施工材料、设施的车辆，推土机、挖掘机等燃油机械运行时排放出的废气将对周围大气环境造成一定的影响。主要污染物为CO、NOx和烃类（HC）等，查阅《环境保护实用数据手册》，机动车污染物排放系数见表</w:t>
            </w:r>
            <w:r>
              <w:rPr>
                <w:rFonts w:hint="eastAsia" w:ascii="Times New Roman" w:hAnsi="Times New Roman"/>
                <w:bCs/>
                <w:color w:val="auto"/>
                <w:kern w:val="24"/>
                <w:sz w:val="24"/>
                <w:szCs w:val="24"/>
              </w:rPr>
              <w:t>4-1</w:t>
            </w:r>
            <w:r>
              <w:rPr>
                <w:rFonts w:ascii="Times New Roman" w:hAnsi="Times New Roman"/>
                <w:bCs/>
                <w:color w:val="auto"/>
                <w:kern w:val="24"/>
                <w:sz w:val="24"/>
                <w:szCs w:val="24"/>
              </w:rPr>
              <w:t>。</w:t>
            </w:r>
          </w:p>
          <w:p>
            <w:pPr>
              <w:tabs>
                <w:tab w:val="left" w:pos="3240"/>
                <w:tab w:val="left" w:pos="3444"/>
              </w:tabs>
              <w:adjustRightInd w:val="0"/>
              <w:spacing w:line="240" w:lineRule="auto"/>
              <w:jc w:val="center"/>
              <w:rPr>
                <w:b/>
                <w:color w:val="auto"/>
                <w:sz w:val="21"/>
                <w:szCs w:val="21"/>
              </w:rPr>
            </w:pPr>
            <w:r>
              <w:rPr>
                <w:b/>
                <w:color w:val="auto"/>
                <w:sz w:val="21"/>
                <w:szCs w:val="21"/>
              </w:rPr>
              <w:t>表</w:t>
            </w:r>
            <w:r>
              <w:rPr>
                <w:rFonts w:hint="eastAsia"/>
                <w:b/>
                <w:color w:val="auto"/>
                <w:sz w:val="21"/>
                <w:szCs w:val="21"/>
              </w:rPr>
              <w:t>4-1</w:t>
            </w:r>
            <w:r>
              <w:rPr>
                <w:b/>
                <w:color w:val="auto"/>
                <w:sz w:val="21"/>
                <w:szCs w:val="21"/>
              </w:rPr>
              <w:t xml:space="preserve">     机动车辆污染物排放系数</w:t>
            </w:r>
          </w:p>
          <w:tbl>
            <w:tblPr>
              <w:tblStyle w:val="2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1"/>
              <w:gridCol w:w="2152"/>
              <w:gridCol w:w="1746"/>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441" w:type="pct"/>
                  <w:vMerge w:val="restart"/>
                  <w:noWrap w:val="0"/>
                  <w:vAlign w:val="center"/>
                </w:tcPr>
                <w:p>
                  <w:pPr>
                    <w:spacing w:line="240" w:lineRule="auto"/>
                    <w:jc w:val="center"/>
                    <w:rPr>
                      <w:color w:val="auto"/>
                      <w:szCs w:val="21"/>
                    </w:rPr>
                  </w:pPr>
                  <w:r>
                    <w:rPr>
                      <w:color w:val="auto"/>
                      <w:szCs w:val="21"/>
                    </w:rPr>
                    <w:t>污染物</w:t>
                  </w:r>
                </w:p>
              </w:tc>
              <w:tc>
                <w:tcPr>
                  <w:tcW w:w="1384" w:type="pct"/>
                  <w:noWrap w:val="0"/>
                  <w:vAlign w:val="center"/>
                </w:tcPr>
                <w:p>
                  <w:pPr>
                    <w:spacing w:line="240" w:lineRule="auto"/>
                    <w:jc w:val="center"/>
                    <w:rPr>
                      <w:color w:val="auto"/>
                      <w:szCs w:val="21"/>
                    </w:rPr>
                  </w:pPr>
                  <w:r>
                    <w:rPr>
                      <w:color w:val="auto"/>
                      <w:szCs w:val="21"/>
                    </w:rPr>
                    <w:t>以汽油为燃料(g/L)</w:t>
                  </w:r>
                </w:p>
              </w:tc>
              <w:tc>
                <w:tcPr>
                  <w:tcW w:w="2173" w:type="pct"/>
                  <w:gridSpan w:val="2"/>
                  <w:noWrap w:val="0"/>
                  <w:vAlign w:val="center"/>
                </w:tcPr>
                <w:p>
                  <w:pPr>
                    <w:spacing w:line="240" w:lineRule="auto"/>
                    <w:jc w:val="center"/>
                    <w:rPr>
                      <w:color w:val="auto"/>
                      <w:szCs w:val="21"/>
                    </w:rPr>
                  </w:pPr>
                  <w:r>
                    <w:rPr>
                      <w:color w:val="auto"/>
                      <w:szCs w:val="21"/>
                    </w:rPr>
                    <w:t>以柴油为燃料（g/L）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441" w:type="pct"/>
                  <w:vMerge w:val="continue"/>
                  <w:noWrap w:val="0"/>
                  <w:vAlign w:val="center"/>
                </w:tcPr>
                <w:p>
                  <w:pPr>
                    <w:widowControl/>
                    <w:jc w:val="left"/>
                    <w:rPr>
                      <w:color w:val="auto"/>
                      <w:szCs w:val="21"/>
                    </w:rPr>
                  </w:pPr>
                </w:p>
              </w:tc>
              <w:tc>
                <w:tcPr>
                  <w:tcW w:w="1384" w:type="pct"/>
                  <w:noWrap w:val="0"/>
                  <w:vAlign w:val="center"/>
                </w:tcPr>
                <w:p>
                  <w:pPr>
                    <w:spacing w:line="240" w:lineRule="atLeast"/>
                    <w:jc w:val="center"/>
                    <w:rPr>
                      <w:color w:val="auto"/>
                      <w:szCs w:val="21"/>
                    </w:rPr>
                  </w:pPr>
                  <w:r>
                    <w:rPr>
                      <w:color w:val="auto"/>
                      <w:szCs w:val="21"/>
                    </w:rPr>
                    <w:t>小汽车</w:t>
                  </w:r>
                </w:p>
              </w:tc>
              <w:tc>
                <w:tcPr>
                  <w:tcW w:w="1123" w:type="pct"/>
                  <w:noWrap w:val="0"/>
                  <w:vAlign w:val="center"/>
                </w:tcPr>
                <w:p>
                  <w:pPr>
                    <w:spacing w:line="240" w:lineRule="atLeast"/>
                    <w:jc w:val="center"/>
                    <w:rPr>
                      <w:color w:val="auto"/>
                      <w:szCs w:val="21"/>
                    </w:rPr>
                  </w:pPr>
                  <w:r>
                    <w:rPr>
                      <w:color w:val="auto"/>
                      <w:szCs w:val="21"/>
                    </w:rPr>
                    <w:t>载重车</w:t>
                  </w:r>
                </w:p>
              </w:tc>
              <w:tc>
                <w:tcPr>
                  <w:tcW w:w="1050" w:type="pct"/>
                  <w:noWrap w:val="0"/>
                  <w:vAlign w:val="center"/>
                </w:tcPr>
                <w:p>
                  <w:pPr>
                    <w:spacing w:line="240" w:lineRule="atLeast"/>
                    <w:jc w:val="center"/>
                    <w:rPr>
                      <w:color w:val="auto"/>
                      <w:szCs w:val="21"/>
                    </w:rPr>
                  </w:pPr>
                  <w:r>
                    <w:rPr>
                      <w:color w:val="auto"/>
                      <w:szCs w:val="21"/>
                    </w:rPr>
                    <w:t>机车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441" w:type="pct"/>
                  <w:noWrap w:val="0"/>
                  <w:vAlign w:val="center"/>
                </w:tcPr>
                <w:p>
                  <w:pPr>
                    <w:spacing w:line="240" w:lineRule="atLeast"/>
                    <w:jc w:val="center"/>
                    <w:rPr>
                      <w:color w:val="auto"/>
                      <w:szCs w:val="21"/>
                    </w:rPr>
                  </w:pPr>
                  <w:r>
                    <w:rPr>
                      <w:color w:val="auto"/>
                      <w:szCs w:val="21"/>
                    </w:rPr>
                    <w:t>CO</w:t>
                  </w:r>
                </w:p>
              </w:tc>
              <w:tc>
                <w:tcPr>
                  <w:tcW w:w="1384" w:type="pct"/>
                  <w:noWrap w:val="0"/>
                  <w:vAlign w:val="center"/>
                </w:tcPr>
                <w:p>
                  <w:pPr>
                    <w:spacing w:line="240" w:lineRule="atLeast"/>
                    <w:jc w:val="center"/>
                    <w:rPr>
                      <w:color w:val="auto"/>
                      <w:szCs w:val="21"/>
                    </w:rPr>
                  </w:pPr>
                  <w:r>
                    <w:rPr>
                      <w:color w:val="auto"/>
                      <w:szCs w:val="21"/>
                    </w:rPr>
                    <w:t>169.0</w:t>
                  </w:r>
                </w:p>
              </w:tc>
              <w:tc>
                <w:tcPr>
                  <w:tcW w:w="1123" w:type="pct"/>
                  <w:noWrap w:val="0"/>
                  <w:vAlign w:val="center"/>
                </w:tcPr>
                <w:p>
                  <w:pPr>
                    <w:spacing w:line="240" w:lineRule="atLeast"/>
                    <w:jc w:val="center"/>
                    <w:rPr>
                      <w:color w:val="auto"/>
                      <w:szCs w:val="21"/>
                    </w:rPr>
                  </w:pPr>
                  <w:r>
                    <w:rPr>
                      <w:color w:val="auto"/>
                      <w:szCs w:val="21"/>
                    </w:rPr>
                    <w:t>27.0</w:t>
                  </w:r>
                </w:p>
              </w:tc>
              <w:tc>
                <w:tcPr>
                  <w:tcW w:w="1050" w:type="pct"/>
                  <w:noWrap w:val="0"/>
                  <w:vAlign w:val="center"/>
                </w:tcPr>
                <w:p>
                  <w:pPr>
                    <w:spacing w:line="240" w:lineRule="atLeast"/>
                    <w:jc w:val="center"/>
                    <w:rPr>
                      <w:color w:val="auto"/>
                      <w:szCs w:val="21"/>
                    </w:rPr>
                  </w:pPr>
                  <w:r>
                    <w:rPr>
                      <w:color w:val="auto"/>
                      <w:szCs w:val="21"/>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441" w:type="pct"/>
                  <w:noWrap w:val="0"/>
                  <w:vAlign w:val="center"/>
                </w:tcPr>
                <w:p>
                  <w:pPr>
                    <w:spacing w:line="240" w:lineRule="atLeast"/>
                    <w:jc w:val="center"/>
                    <w:rPr>
                      <w:color w:val="auto"/>
                      <w:szCs w:val="21"/>
                    </w:rPr>
                  </w:pPr>
                  <w:r>
                    <w:rPr>
                      <w:color w:val="auto"/>
                      <w:szCs w:val="21"/>
                    </w:rPr>
                    <w:t>NO</w:t>
                  </w:r>
                  <w:r>
                    <w:rPr>
                      <w:color w:val="auto"/>
                      <w:szCs w:val="21"/>
                      <w:vertAlign w:val="subscript"/>
                    </w:rPr>
                    <w:t>2</w:t>
                  </w:r>
                </w:p>
              </w:tc>
              <w:tc>
                <w:tcPr>
                  <w:tcW w:w="1384" w:type="pct"/>
                  <w:noWrap w:val="0"/>
                  <w:vAlign w:val="center"/>
                </w:tcPr>
                <w:p>
                  <w:pPr>
                    <w:spacing w:line="240" w:lineRule="atLeast"/>
                    <w:jc w:val="center"/>
                    <w:rPr>
                      <w:color w:val="auto"/>
                      <w:szCs w:val="21"/>
                    </w:rPr>
                  </w:pPr>
                  <w:r>
                    <w:rPr>
                      <w:color w:val="auto"/>
                      <w:szCs w:val="21"/>
                    </w:rPr>
                    <w:t>21.1</w:t>
                  </w:r>
                </w:p>
              </w:tc>
              <w:tc>
                <w:tcPr>
                  <w:tcW w:w="1123" w:type="pct"/>
                  <w:noWrap w:val="0"/>
                  <w:vAlign w:val="center"/>
                </w:tcPr>
                <w:p>
                  <w:pPr>
                    <w:spacing w:line="240" w:lineRule="atLeast"/>
                    <w:jc w:val="center"/>
                    <w:rPr>
                      <w:color w:val="auto"/>
                      <w:szCs w:val="21"/>
                    </w:rPr>
                  </w:pPr>
                  <w:r>
                    <w:rPr>
                      <w:color w:val="auto"/>
                      <w:szCs w:val="21"/>
                    </w:rPr>
                    <w:t>44.4</w:t>
                  </w:r>
                </w:p>
              </w:tc>
              <w:tc>
                <w:tcPr>
                  <w:tcW w:w="1050" w:type="pct"/>
                  <w:noWrap w:val="0"/>
                  <w:vAlign w:val="center"/>
                </w:tcPr>
                <w:p>
                  <w:pPr>
                    <w:spacing w:line="240" w:lineRule="atLeast"/>
                    <w:jc w:val="center"/>
                    <w:rPr>
                      <w:color w:val="auto"/>
                      <w:szCs w:val="21"/>
                    </w:rPr>
                  </w:pPr>
                  <w:r>
                    <w:rPr>
                      <w:color w:val="auto"/>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441" w:type="pct"/>
                  <w:noWrap w:val="0"/>
                  <w:vAlign w:val="center"/>
                </w:tcPr>
                <w:p>
                  <w:pPr>
                    <w:spacing w:line="240" w:lineRule="atLeast"/>
                    <w:jc w:val="center"/>
                    <w:rPr>
                      <w:color w:val="auto"/>
                      <w:szCs w:val="21"/>
                    </w:rPr>
                  </w:pPr>
                  <w:r>
                    <w:rPr>
                      <w:color w:val="auto"/>
                      <w:szCs w:val="21"/>
                    </w:rPr>
                    <w:t>烃类</w:t>
                  </w:r>
                </w:p>
              </w:tc>
              <w:tc>
                <w:tcPr>
                  <w:tcW w:w="1384" w:type="pct"/>
                  <w:noWrap w:val="0"/>
                  <w:vAlign w:val="center"/>
                </w:tcPr>
                <w:p>
                  <w:pPr>
                    <w:spacing w:line="240" w:lineRule="atLeast"/>
                    <w:jc w:val="center"/>
                    <w:rPr>
                      <w:color w:val="auto"/>
                      <w:szCs w:val="21"/>
                    </w:rPr>
                  </w:pPr>
                  <w:r>
                    <w:rPr>
                      <w:color w:val="auto"/>
                      <w:szCs w:val="21"/>
                    </w:rPr>
                    <w:t>33.3</w:t>
                  </w:r>
                </w:p>
              </w:tc>
              <w:tc>
                <w:tcPr>
                  <w:tcW w:w="1123" w:type="pct"/>
                  <w:noWrap w:val="0"/>
                  <w:vAlign w:val="center"/>
                </w:tcPr>
                <w:p>
                  <w:pPr>
                    <w:spacing w:line="240" w:lineRule="atLeast"/>
                    <w:jc w:val="center"/>
                    <w:rPr>
                      <w:color w:val="auto"/>
                      <w:szCs w:val="21"/>
                    </w:rPr>
                  </w:pPr>
                  <w:r>
                    <w:rPr>
                      <w:color w:val="auto"/>
                      <w:szCs w:val="21"/>
                    </w:rPr>
                    <w:t>4.44</w:t>
                  </w:r>
                </w:p>
              </w:tc>
              <w:tc>
                <w:tcPr>
                  <w:tcW w:w="1050" w:type="pct"/>
                  <w:noWrap w:val="0"/>
                  <w:vAlign w:val="center"/>
                </w:tcPr>
                <w:p>
                  <w:pPr>
                    <w:spacing w:line="240" w:lineRule="atLeast"/>
                    <w:jc w:val="center"/>
                    <w:rPr>
                      <w:color w:val="auto"/>
                      <w:szCs w:val="21"/>
                    </w:rPr>
                  </w:pPr>
                  <w:r>
                    <w:rPr>
                      <w:color w:val="auto"/>
                      <w:szCs w:val="21"/>
                    </w:rPr>
                    <w:t>6.0</w:t>
                  </w:r>
                </w:p>
              </w:tc>
            </w:tr>
          </w:tbl>
          <w:p>
            <w:pPr>
              <w:pStyle w:val="13"/>
              <w:adjustRightInd w:val="0"/>
              <w:snapToGrid w:val="0"/>
              <w:spacing w:before="120" w:beforeLines="50" w:line="360" w:lineRule="auto"/>
              <w:ind w:left="-6" w:firstLine="480" w:firstLineChars="200"/>
              <w:rPr>
                <w:rFonts w:ascii="Times New Roman" w:hAnsi="Times New Roman"/>
                <w:bCs/>
                <w:color w:val="auto"/>
                <w:kern w:val="24"/>
                <w:sz w:val="24"/>
                <w:szCs w:val="24"/>
              </w:rPr>
            </w:pPr>
            <w:r>
              <w:rPr>
                <w:rFonts w:ascii="Times New Roman" w:hAnsi="Times New Roman"/>
                <w:bCs/>
                <w:color w:val="auto"/>
                <w:kern w:val="24"/>
                <w:sz w:val="24"/>
                <w:szCs w:val="24"/>
              </w:rPr>
              <w:t>以排气量较大的重型车为例，其额定燃油率为30.19L/100km，按</w:t>
            </w:r>
            <w:r>
              <w:rPr>
                <w:rFonts w:hint="eastAsia" w:ascii="Times New Roman" w:hAnsi="Times New Roman"/>
                <w:bCs/>
                <w:color w:val="auto"/>
                <w:kern w:val="24"/>
                <w:sz w:val="24"/>
                <w:szCs w:val="24"/>
              </w:rPr>
              <w:t>上</w:t>
            </w:r>
            <w:r>
              <w:rPr>
                <w:rFonts w:ascii="Times New Roman" w:hAnsi="Times New Roman"/>
                <w:bCs/>
                <w:color w:val="auto"/>
                <w:kern w:val="24"/>
                <w:sz w:val="24"/>
                <w:szCs w:val="24"/>
              </w:rPr>
              <w:t>表机动车辆污染物排放系数测算，单车污染物平均排放量分别为CO：815.13g/100km，NO</w:t>
            </w:r>
            <w:r>
              <w:rPr>
                <w:rFonts w:ascii="Times New Roman" w:hAnsi="Times New Roman"/>
                <w:bCs/>
                <w:color w:val="auto"/>
                <w:kern w:val="24"/>
                <w:sz w:val="24"/>
                <w:szCs w:val="24"/>
                <w:vertAlign w:val="subscript"/>
              </w:rPr>
              <w:t>2</w:t>
            </w:r>
            <w:r>
              <w:rPr>
                <w:rFonts w:ascii="Times New Roman" w:hAnsi="Times New Roman"/>
                <w:bCs/>
                <w:color w:val="auto"/>
                <w:kern w:val="24"/>
                <w:sz w:val="24"/>
                <w:szCs w:val="24"/>
              </w:rPr>
              <w:t>：1340.44g/100km，烃类物：134.0g/100km。</w:t>
            </w:r>
          </w:p>
          <w:p>
            <w:pPr>
              <w:pStyle w:val="13"/>
              <w:adjustRightInd w:val="0"/>
              <w:spacing w:line="360" w:lineRule="auto"/>
              <w:ind w:left="-5" w:firstLine="480" w:firstLineChars="200"/>
              <w:rPr>
                <w:rFonts w:ascii="Times New Roman" w:hAnsi="Times New Roman"/>
                <w:bCs/>
                <w:color w:val="auto"/>
                <w:kern w:val="24"/>
                <w:sz w:val="24"/>
                <w:szCs w:val="24"/>
              </w:rPr>
            </w:pPr>
            <w:r>
              <w:rPr>
                <w:rFonts w:ascii="Times New Roman" w:hAnsi="Times New Roman"/>
                <w:bCs/>
                <w:color w:val="auto"/>
                <w:kern w:val="24"/>
                <w:sz w:val="24"/>
                <w:szCs w:val="24"/>
              </w:rPr>
              <w:t>上述施工活动将对施工现场局部区域的环境空气产生污染，其污染范围和程度与施工工艺、施工管理及气象条件等多种因素有关。项目所在地较为平坦，区域大气扩散条件较好，且表现为间歇性排放特征，施工机械及运输车辆尾气对大气的污染会随着施工的结束而消失，对大气环境的影响只是暂时的。</w:t>
            </w:r>
          </w:p>
          <w:p>
            <w:pPr>
              <w:spacing w:line="360" w:lineRule="auto"/>
              <w:ind w:firstLine="480" w:firstLineChars="200"/>
              <w:rPr>
                <w:bCs/>
                <w:color w:val="auto"/>
                <w:kern w:val="24"/>
                <w:sz w:val="24"/>
              </w:rPr>
            </w:pPr>
            <w:r>
              <w:rPr>
                <w:bCs/>
                <w:color w:val="auto"/>
                <w:kern w:val="24"/>
                <w:sz w:val="24"/>
              </w:rPr>
              <w:t>③ 沥青烟气</w:t>
            </w:r>
          </w:p>
          <w:p>
            <w:pPr>
              <w:spacing w:line="360" w:lineRule="auto"/>
              <w:ind w:firstLine="480"/>
              <w:rPr>
                <w:color w:val="auto"/>
                <w:sz w:val="24"/>
              </w:rPr>
            </w:pPr>
            <w:r>
              <w:rPr>
                <w:bCs/>
                <w:color w:val="auto"/>
                <w:sz w:val="24"/>
              </w:rPr>
              <w:t>本项目直接从沥青拌和站购买，不在现场熬炼及搅拌沥青，</w:t>
            </w:r>
            <w:r>
              <w:rPr>
                <w:color w:val="auto"/>
                <w:sz w:val="24"/>
              </w:rPr>
              <w:t>沥青烟气主要出现路面铺设过程中，大大降低了因现场</w:t>
            </w:r>
            <w:r>
              <w:rPr>
                <w:bCs/>
                <w:color w:val="auto"/>
                <w:sz w:val="24"/>
              </w:rPr>
              <w:t>熬炼及搅拌沥青产生的沥青烟</w:t>
            </w:r>
            <w:r>
              <w:rPr>
                <w:color w:val="auto"/>
                <w:sz w:val="24"/>
              </w:rPr>
              <w:t>和苯并[a]芘对周边保护目标的影响。</w:t>
            </w:r>
          </w:p>
          <w:p>
            <w:pPr>
              <w:spacing w:line="360" w:lineRule="auto"/>
              <w:ind w:left="482"/>
              <w:rPr>
                <w:color w:val="auto"/>
              </w:rPr>
            </w:pPr>
            <w:r>
              <w:rPr>
                <w:rFonts w:hint="eastAsia"/>
                <w:b/>
                <w:bCs/>
                <w:color w:val="auto"/>
                <w:kern w:val="24"/>
                <w:sz w:val="24"/>
              </w:rPr>
              <w:t>2.2环境影响分析</w:t>
            </w:r>
          </w:p>
          <w:p>
            <w:pPr>
              <w:pStyle w:val="108"/>
              <w:widowControl w:val="0"/>
              <w:adjustRightInd w:val="0"/>
              <w:snapToGrid w:val="0"/>
              <w:spacing w:before="0" w:after="0"/>
              <w:ind w:left="0" w:leftChars="0" w:firstLine="475" w:firstLineChars="198"/>
              <w:jc w:val="left"/>
              <w:rPr>
                <w:rFonts w:hint="eastAsia" w:ascii="宋体" w:hAnsi="宋体"/>
                <w:bCs/>
                <w:color w:val="auto"/>
              </w:rPr>
            </w:pPr>
            <w:r>
              <w:rPr>
                <w:rFonts w:hint="eastAsia" w:ascii="宋体" w:hAnsi="宋体"/>
                <w:bCs/>
                <w:color w:val="auto"/>
                <w:lang w:eastAsia="zh-CN"/>
              </w:rPr>
              <w:t>（</w:t>
            </w:r>
            <w:r>
              <w:rPr>
                <w:rFonts w:hint="eastAsia" w:ascii="宋体" w:hAnsi="宋体"/>
                <w:bCs/>
                <w:color w:val="auto"/>
                <w:lang w:val="en-US" w:eastAsia="zh-CN"/>
              </w:rPr>
              <w:t>1</w:t>
            </w:r>
            <w:r>
              <w:rPr>
                <w:rFonts w:hint="eastAsia" w:ascii="宋体" w:hAnsi="宋体"/>
                <w:bCs/>
                <w:color w:val="auto"/>
                <w:lang w:eastAsia="zh-CN"/>
              </w:rPr>
              <w:t>）</w:t>
            </w:r>
            <w:r>
              <w:rPr>
                <w:rFonts w:hint="eastAsia" w:ascii="宋体" w:hAnsi="宋体"/>
                <w:bCs/>
                <w:color w:val="auto"/>
              </w:rPr>
              <w:t>施工扬尘</w:t>
            </w:r>
          </w:p>
          <w:p>
            <w:pPr>
              <w:spacing w:line="360" w:lineRule="auto"/>
              <w:ind w:firstLine="480"/>
              <w:rPr>
                <w:color w:val="auto"/>
                <w:sz w:val="24"/>
              </w:rPr>
            </w:pPr>
            <w:r>
              <w:rPr>
                <w:color w:val="auto"/>
                <w:sz w:val="24"/>
              </w:rPr>
              <w:t>建设过程中场地平整、路基施工中由于挖取土（石）、输运以及水泥、石灰、沙石等物料的装卸、运输过程中有大量扬尘散逸到周围环境空气中。根据类似施工现场运输引起扬尘监测结果，运输车辆下风向50m处TSP浓度为11.625mg/m</w:t>
            </w:r>
            <w:r>
              <w:rPr>
                <w:color w:val="auto"/>
                <w:sz w:val="24"/>
                <w:vertAlign w:val="superscript"/>
              </w:rPr>
              <w:t>3</w:t>
            </w:r>
            <w:r>
              <w:rPr>
                <w:color w:val="auto"/>
                <w:sz w:val="24"/>
              </w:rPr>
              <w:t>，</w:t>
            </w:r>
            <w:r>
              <w:rPr>
                <w:bCs/>
                <w:color w:val="auto"/>
                <w:sz w:val="24"/>
              </w:rPr>
              <w:t>下风向100m处TSP为1.65mg/m</w:t>
            </w:r>
            <w:r>
              <w:rPr>
                <w:bCs/>
                <w:color w:val="auto"/>
                <w:sz w:val="24"/>
                <w:vertAlign w:val="superscript"/>
              </w:rPr>
              <w:t>3</w:t>
            </w:r>
            <w:r>
              <w:rPr>
                <w:bCs/>
                <w:color w:val="auto"/>
                <w:sz w:val="24"/>
              </w:rPr>
              <w:t>；下风向150m处符合环境空气质量二级标准；其它作业环节产生的TSP污染可控制在200m范围内。因此施工扬尘的影响范围为距污染源下风向200m的范围内。</w:t>
            </w:r>
            <w:r>
              <w:rPr>
                <w:color w:val="auto"/>
                <w:sz w:val="24"/>
              </w:rPr>
              <w:t>本项目沿线居民点距离较近，路基、路面施工过程对沿线居民会产生不利影响。在采取洒水抑尘、及时苫盖等措施后，施工过程对周围敏感点影响较小。</w:t>
            </w:r>
          </w:p>
          <w:p>
            <w:pPr>
              <w:spacing w:line="360" w:lineRule="auto"/>
              <w:ind w:firstLine="480"/>
              <w:rPr>
                <w:color w:val="auto"/>
                <w:sz w:val="24"/>
              </w:rPr>
            </w:pPr>
            <w:r>
              <w:rPr>
                <w:color w:val="auto"/>
                <w:sz w:val="24"/>
              </w:rPr>
              <w:t>为了进一步降低对沿线居民的影响，本环评建议施工单位施工过程中切实落实“八个百分百”要求，即施工现场100%围挡、物料堆放100%覆盖、工地路面100%硬化、工程车辆100%冲洗、拆迁100%湿法作业、渣土车100%限高密闭、裸露地面100%绿化、高空作业100%控尘，并根据实际情况采取有效的防尘、抑尘措施，并避免在大风天气下施工，最大程度降低施工扬尘对周围环境空气的影响。</w:t>
            </w:r>
          </w:p>
          <w:p>
            <w:pPr>
              <w:pStyle w:val="108"/>
              <w:widowControl w:val="0"/>
              <w:adjustRightInd w:val="0"/>
              <w:snapToGrid w:val="0"/>
              <w:spacing w:before="0" w:after="0"/>
              <w:ind w:left="0" w:leftChars="0" w:firstLine="475" w:firstLineChars="198"/>
              <w:jc w:val="left"/>
              <w:rPr>
                <w:rFonts w:hint="eastAsia" w:ascii="宋体" w:hAnsi="宋体"/>
                <w:bCs/>
                <w:color w:val="auto"/>
              </w:rPr>
            </w:pPr>
            <w:r>
              <w:rPr>
                <w:rFonts w:hint="eastAsia" w:ascii="宋体" w:hAnsi="宋体"/>
                <w:bCs/>
                <w:color w:val="auto"/>
                <w:lang w:eastAsia="zh-CN"/>
              </w:rPr>
              <w:t>（</w:t>
            </w:r>
            <w:r>
              <w:rPr>
                <w:rFonts w:hint="eastAsia" w:ascii="宋体" w:hAnsi="宋体"/>
                <w:bCs/>
                <w:color w:val="auto"/>
                <w:lang w:val="en-US" w:eastAsia="zh-CN"/>
              </w:rPr>
              <w:t>2</w:t>
            </w:r>
            <w:r>
              <w:rPr>
                <w:rFonts w:hint="eastAsia" w:ascii="宋体" w:hAnsi="宋体"/>
                <w:bCs/>
                <w:color w:val="auto"/>
                <w:lang w:eastAsia="zh-CN"/>
              </w:rPr>
              <w:t>）</w:t>
            </w:r>
            <w:r>
              <w:rPr>
                <w:rFonts w:hint="eastAsia" w:ascii="宋体" w:hAnsi="宋体"/>
                <w:bCs/>
                <w:color w:val="auto"/>
              </w:rPr>
              <w:t>施工机械、运输车辆尾气</w:t>
            </w:r>
          </w:p>
          <w:p>
            <w:pPr>
              <w:spacing w:line="360" w:lineRule="auto"/>
              <w:ind w:firstLine="480" w:firstLineChars="200"/>
              <w:rPr>
                <w:color w:val="auto"/>
                <w:sz w:val="24"/>
              </w:rPr>
            </w:pPr>
            <w:r>
              <w:rPr>
                <w:color w:val="auto"/>
                <w:sz w:val="24"/>
              </w:rPr>
              <w:t>施工期间，</w:t>
            </w:r>
            <w:r>
              <w:rPr>
                <w:bCs/>
                <w:color w:val="auto"/>
                <w:kern w:val="24"/>
                <w:sz w:val="24"/>
              </w:rPr>
              <w:t>运送施工材料、设施的车辆，推土机、挖掘机等燃油机械的运行</w:t>
            </w:r>
            <w:r>
              <w:rPr>
                <w:color w:val="auto"/>
                <w:sz w:val="24"/>
              </w:rPr>
              <w:t>，均会排放一定量的燃油废气，主要污染物为</w:t>
            </w:r>
            <w:r>
              <w:rPr>
                <w:bCs/>
                <w:color w:val="auto"/>
                <w:kern w:val="24"/>
                <w:sz w:val="24"/>
              </w:rPr>
              <w:t>CO、NO</w:t>
            </w:r>
            <w:r>
              <w:rPr>
                <w:bCs/>
                <w:color w:val="auto"/>
                <w:kern w:val="24"/>
                <w:sz w:val="24"/>
                <w:vertAlign w:val="subscript"/>
              </w:rPr>
              <w:t>x</w:t>
            </w:r>
            <w:r>
              <w:rPr>
                <w:color w:val="auto"/>
                <w:sz w:val="24"/>
              </w:rPr>
              <w:t>和THC等。燃油废气排放特点是：排放量小，且属间断性无组织排放。由于工程施工时间不长，施工机械数量有限，尾气排放量不大，加之施工场地开阔，扩散条件良好，施工机械设备施工作业时对环境空气的影响范围主要局限于施工区内，影响时间短，并随施工的结束而消失。</w:t>
            </w:r>
          </w:p>
          <w:p>
            <w:pPr>
              <w:pStyle w:val="108"/>
              <w:widowControl w:val="0"/>
              <w:adjustRightInd w:val="0"/>
              <w:snapToGrid w:val="0"/>
              <w:spacing w:before="0" w:after="0"/>
              <w:ind w:left="0" w:leftChars="0" w:firstLine="475" w:firstLineChars="198"/>
              <w:jc w:val="left"/>
              <w:rPr>
                <w:rFonts w:hint="eastAsia" w:ascii="宋体" w:hAnsi="宋体"/>
                <w:bCs/>
                <w:color w:val="auto"/>
              </w:rPr>
            </w:pPr>
            <w:r>
              <w:rPr>
                <w:rFonts w:hint="eastAsia" w:ascii="宋体" w:hAnsi="宋体"/>
                <w:bCs/>
                <w:color w:val="auto"/>
                <w:lang w:eastAsia="zh-CN"/>
              </w:rPr>
              <w:t>（</w:t>
            </w:r>
            <w:r>
              <w:rPr>
                <w:rFonts w:hint="eastAsia" w:ascii="宋体" w:hAnsi="宋体"/>
                <w:bCs/>
                <w:color w:val="auto"/>
                <w:lang w:val="en-US" w:eastAsia="zh-CN"/>
              </w:rPr>
              <w:t>3</w:t>
            </w:r>
            <w:r>
              <w:rPr>
                <w:rFonts w:hint="eastAsia" w:ascii="宋体" w:hAnsi="宋体"/>
                <w:bCs/>
                <w:color w:val="auto"/>
                <w:lang w:eastAsia="zh-CN"/>
              </w:rPr>
              <w:t>）</w:t>
            </w:r>
            <w:r>
              <w:rPr>
                <w:rFonts w:hint="eastAsia" w:ascii="宋体" w:hAnsi="宋体"/>
                <w:bCs/>
                <w:color w:val="auto"/>
              </w:rPr>
              <w:t>沥青烟气</w:t>
            </w:r>
          </w:p>
          <w:p>
            <w:pPr>
              <w:spacing w:line="360" w:lineRule="auto"/>
              <w:ind w:firstLine="480" w:firstLineChars="200"/>
              <w:rPr>
                <w:b/>
                <w:bCs/>
                <w:color w:val="auto"/>
                <w:kern w:val="24"/>
                <w:sz w:val="24"/>
              </w:rPr>
            </w:pPr>
            <w:r>
              <w:rPr>
                <w:color w:val="auto"/>
                <w:kern w:val="0"/>
                <w:sz w:val="24"/>
              </w:rPr>
              <w:t>本工程路段采用沥青混凝土路面，并利用道路养护或工程附近商购的商业沥青，因此沥青烟气主要产生于路面铺浇阶段。</w:t>
            </w:r>
          </w:p>
          <w:p>
            <w:pPr>
              <w:spacing w:line="360" w:lineRule="auto"/>
              <w:ind w:firstLine="480" w:firstLineChars="200"/>
              <w:rPr>
                <w:b/>
                <w:bCs/>
                <w:color w:val="auto"/>
                <w:kern w:val="24"/>
                <w:sz w:val="24"/>
              </w:rPr>
            </w:pPr>
            <w:r>
              <w:rPr>
                <w:color w:val="auto"/>
                <w:kern w:val="0"/>
                <w:sz w:val="24"/>
              </w:rPr>
              <w:t>根据以往的调查和监测资料，沥青摊铺时的沥青烟气污染相对熔融烟气是很小的，铺浇沥青混凝土路面时会散发</w:t>
            </w:r>
            <w:r>
              <w:rPr>
                <w:rFonts w:eastAsia="TimesNewRomanPSMT"/>
                <w:color w:val="auto"/>
                <w:kern w:val="0"/>
                <w:sz w:val="24"/>
              </w:rPr>
              <w:t>(</w:t>
            </w:r>
            <w:r>
              <w:rPr>
                <w:color w:val="auto"/>
                <w:kern w:val="0"/>
                <w:sz w:val="24"/>
              </w:rPr>
              <w:t>即无组织排放</w:t>
            </w:r>
            <w:r>
              <w:rPr>
                <w:rFonts w:eastAsia="TimesNewRomanPSMT"/>
                <w:color w:val="auto"/>
                <w:kern w:val="0"/>
                <w:sz w:val="24"/>
              </w:rPr>
              <w:t>)</w:t>
            </w:r>
            <w:r>
              <w:rPr>
                <w:color w:val="auto"/>
                <w:kern w:val="0"/>
                <w:sz w:val="24"/>
              </w:rPr>
              <w:t>少量沥青烟气，主要污染物为</w:t>
            </w:r>
            <w:r>
              <w:rPr>
                <w:rFonts w:eastAsia="TimesNewRomanPSMT"/>
                <w:color w:val="auto"/>
                <w:kern w:val="0"/>
                <w:sz w:val="24"/>
              </w:rPr>
              <w:t>THC(</w:t>
            </w:r>
            <w:r>
              <w:rPr>
                <w:color w:val="auto"/>
                <w:kern w:val="0"/>
                <w:sz w:val="24"/>
              </w:rPr>
              <w:t>烃类</w:t>
            </w:r>
            <w:r>
              <w:rPr>
                <w:rFonts w:eastAsia="TimesNewRomanPSMT"/>
                <w:color w:val="auto"/>
                <w:kern w:val="0"/>
                <w:sz w:val="24"/>
              </w:rPr>
              <w:t>)</w:t>
            </w:r>
            <w:r>
              <w:rPr>
                <w:color w:val="auto"/>
                <w:kern w:val="0"/>
                <w:sz w:val="24"/>
              </w:rPr>
              <w:t>、酚和苯并</w:t>
            </w:r>
            <w:r>
              <w:rPr>
                <w:rFonts w:eastAsia="TimesNewRomanPSMT"/>
                <w:color w:val="auto"/>
                <w:kern w:val="0"/>
                <w:sz w:val="24"/>
              </w:rPr>
              <w:t>(a)</w:t>
            </w:r>
            <w:r>
              <w:rPr>
                <w:color w:val="auto"/>
                <w:kern w:val="0"/>
                <w:sz w:val="24"/>
              </w:rPr>
              <w:t>芘以及异味气体，其污染影响范围一般在周边外</w:t>
            </w:r>
            <w:r>
              <w:rPr>
                <w:rFonts w:eastAsia="TimesNewRomanPSMT"/>
                <w:color w:val="auto"/>
                <w:kern w:val="0"/>
                <w:sz w:val="24"/>
              </w:rPr>
              <w:t>50m</w:t>
            </w:r>
            <w:r>
              <w:rPr>
                <w:color w:val="auto"/>
                <w:kern w:val="0"/>
                <w:sz w:val="24"/>
              </w:rPr>
              <w:t>之内以及在距离下风向</w:t>
            </w:r>
            <w:r>
              <w:rPr>
                <w:rFonts w:eastAsia="TimesNewRomanPSMT"/>
                <w:color w:val="auto"/>
                <w:kern w:val="0"/>
                <w:sz w:val="24"/>
              </w:rPr>
              <w:t>100m</w:t>
            </w:r>
            <w:r>
              <w:rPr>
                <w:color w:val="auto"/>
                <w:kern w:val="0"/>
                <w:sz w:val="24"/>
              </w:rPr>
              <w:t>左右。因此，当沥青铺浇时，应避开风向针对附近居民区等环境空气敏感点的时段，以免对人群健康产生影响。</w:t>
            </w:r>
          </w:p>
          <w:p>
            <w:pPr>
              <w:pStyle w:val="108"/>
              <w:widowControl w:val="0"/>
              <w:adjustRightInd w:val="0"/>
              <w:snapToGrid w:val="0"/>
              <w:spacing w:before="0" w:after="0"/>
              <w:ind w:left="0" w:leftChars="0" w:firstLine="475" w:firstLineChars="198"/>
              <w:jc w:val="left"/>
              <w:rPr>
                <w:color w:val="auto"/>
                <w:sz w:val="24"/>
              </w:rPr>
            </w:pPr>
            <w:r>
              <w:rPr>
                <w:rFonts w:ascii="Times New Roman" w:hAnsi="Times New Roman"/>
                <w:color w:val="auto"/>
                <w:kern w:val="0"/>
              </w:rPr>
              <w:t>此外，沥青摊铺时的沥青烟气也可能对施工人员造成一定程度的影响。因此也要注意加强对操作人员的防护。</w:t>
            </w:r>
          </w:p>
          <w:p>
            <w:pPr>
              <w:pStyle w:val="11"/>
              <w:spacing w:line="360" w:lineRule="auto"/>
              <w:rPr>
                <w:b/>
                <w:bCs/>
                <w:color w:val="auto"/>
                <w:sz w:val="24"/>
              </w:rPr>
            </w:pPr>
            <w:r>
              <w:rPr>
                <w:b/>
                <w:bCs/>
                <w:color w:val="auto"/>
                <w:sz w:val="24"/>
                <w:szCs w:val="36"/>
              </w:rPr>
              <w:t>3、水环境影响分析</w:t>
            </w:r>
          </w:p>
          <w:p>
            <w:pPr>
              <w:spacing w:line="360" w:lineRule="auto"/>
              <w:ind w:firstLine="482" w:firstLineChars="200"/>
              <w:rPr>
                <w:b/>
                <w:color w:val="auto"/>
                <w:sz w:val="24"/>
              </w:rPr>
            </w:pPr>
            <w:r>
              <w:rPr>
                <w:b/>
                <w:color w:val="auto"/>
                <w:sz w:val="24"/>
              </w:rPr>
              <w:t>3.1污染源强核算</w:t>
            </w:r>
          </w:p>
          <w:p>
            <w:pPr>
              <w:spacing w:line="360" w:lineRule="auto"/>
              <w:ind w:firstLine="480" w:firstLineChars="200"/>
              <w:rPr>
                <w:bCs/>
                <w:color w:val="auto"/>
                <w:kern w:val="24"/>
                <w:sz w:val="24"/>
              </w:rPr>
            </w:pPr>
            <w:r>
              <w:rPr>
                <w:bCs/>
                <w:color w:val="auto"/>
                <w:kern w:val="24"/>
                <w:sz w:val="24"/>
              </w:rPr>
              <w:t>施工期间废水主要来自施工人员生活</w:t>
            </w:r>
            <w:r>
              <w:rPr>
                <w:rFonts w:hint="eastAsia"/>
                <w:bCs/>
                <w:color w:val="auto"/>
                <w:kern w:val="24"/>
                <w:sz w:val="24"/>
              </w:rPr>
              <w:t>废</w:t>
            </w:r>
            <w:r>
              <w:rPr>
                <w:bCs/>
                <w:color w:val="auto"/>
                <w:kern w:val="24"/>
                <w:sz w:val="24"/>
              </w:rPr>
              <w:t>水、施工期机械设备清洗等过程产生的施工废水。</w:t>
            </w:r>
          </w:p>
          <w:p>
            <w:pPr>
              <w:adjustRightInd w:val="0"/>
              <w:snapToGrid w:val="0"/>
              <w:spacing w:line="360" w:lineRule="auto"/>
              <w:ind w:firstLine="480"/>
              <w:rPr>
                <w:color w:val="auto"/>
                <w:sz w:val="24"/>
              </w:rPr>
            </w:pPr>
            <w:r>
              <w:rPr>
                <w:rFonts w:hint="eastAsia" w:ascii="宋体" w:hAnsi="宋体" w:cs="宋体"/>
                <w:color w:val="auto"/>
                <w:sz w:val="24"/>
                <w:lang w:eastAsia="zh-CN"/>
              </w:rPr>
              <w:t>（</w:t>
            </w:r>
            <w:r>
              <w:rPr>
                <w:rFonts w:hint="eastAsia" w:ascii="宋体" w:hAnsi="宋体" w:cs="宋体"/>
                <w:color w:val="auto"/>
                <w:sz w:val="24"/>
                <w:lang w:val="en-US" w:eastAsia="zh-CN"/>
              </w:rPr>
              <w:t>1</w:t>
            </w:r>
            <w:r>
              <w:rPr>
                <w:rFonts w:hint="eastAsia" w:ascii="宋体" w:hAnsi="宋体" w:cs="宋体"/>
                <w:color w:val="auto"/>
                <w:sz w:val="24"/>
                <w:lang w:eastAsia="zh-CN"/>
              </w:rPr>
              <w:t>）</w:t>
            </w:r>
            <w:r>
              <w:rPr>
                <w:color w:val="auto"/>
                <w:sz w:val="24"/>
              </w:rPr>
              <w:t>施工人员生活</w:t>
            </w:r>
            <w:r>
              <w:rPr>
                <w:rFonts w:hint="eastAsia"/>
                <w:color w:val="auto"/>
                <w:sz w:val="24"/>
              </w:rPr>
              <w:t>废</w:t>
            </w:r>
            <w:r>
              <w:rPr>
                <w:color w:val="auto"/>
                <w:sz w:val="24"/>
              </w:rPr>
              <w:t>水</w:t>
            </w:r>
          </w:p>
          <w:p>
            <w:pPr>
              <w:adjustRightInd w:val="0"/>
              <w:snapToGrid w:val="0"/>
              <w:spacing w:line="360" w:lineRule="auto"/>
              <w:ind w:firstLine="480"/>
              <w:rPr>
                <w:color w:val="auto"/>
                <w:sz w:val="24"/>
              </w:rPr>
            </w:pPr>
            <w:r>
              <w:rPr>
                <w:rFonts w:hint="eastAsia"/>
                <w:color w:val="auto"/>
                <w:sz w:val="24"/>
              </w:rPr>
              <w:t>项目不设置施工营地，租用附近空置房屋，生活污水主要来自施工人员的就餐和洗漱产生的废水，根据本项目建设规模，施工人员高峰期估计约为</w:t>
            </w:r>
            <w:r>
              <w:rPr>
                <w:color w:val="auto"/>
                <w:sz w:val="24"/>
              </w:rPr>
              <w:t xml:space="preserve">50 </w:t>
            </w:r>
            <w:r>
              <w:rPr>
                <w:rFonts w:hint="eastAsia"/>
                <w:color w:val="auto"/>
                <w:sz w:val="24"/>
              </w:rPr>
              <w:t>人，施工人员每天生活用水</w:t>
            </w:r>
            <w:r>
              <w:rPr>
                <w:color w:val="auto"/>
                <w:sz w:val="24"/>
              </w:rPr>
              <w:t>50L/</w:t>
            </w:r>
            <w:r>
              <w:rPr>
                <w:rFonts w:hint="eastAsia"/>
                <w:color w:val="auto"/>
                <w:sz w:val="24"/>
              </w:rPr>
              <w:t>人计，生活污水产生量按用水量的</w:t>
            </w:r>
            <w:r>
              <w:rPr>
                <w:color w:val="auto"/>
                <w:sz w:val="24"/>
              </w:rPr>
              <w:t>80%</w:t>
            </w:r>
            <w:r>
              <w:rPr>
                <w:rFonts w:hint="eastAsia"/>
                <w:color w:val="auto"/>
                <w:sz w:val="24"/>
              </w:rPr>
              <w:t>计。施工期间产生的生活污水约</w:t>
            </w:r>
            <w:r>
              <w:rPr>
                <w:color w:val="auto"/>
                <w:sz w:val="24"/>
              </w:rPr>
              <w:t>2.0m</w:t>
            </w:r>
            <w:r>
              <w:rPr>
                <w:color w:val="auto"/>
                <w:sz w:val="24"/>
                <w:vertAlign w:val="superscript"/>
              </w:rPr>
              <w:t>3</w:t>
            </w:r>
            <w:r>
              <w:rPr>
                <w:color w:val="auto"/>
                <w:sz w:val="24"/>
              </w:rPr>
              <w:t>/d</w:t>
            </w:r>
            <w:r>
              <w:rPr>
                <w:rFonts w:hint="eastAsia"/>
                <w:color w:val="auto"/>
                <w:sz w:val="24"/>
              </w:rPr>
              <w:t>，生活污水中主要各污染物参数约为：</w:t>
            </w:r>
            <w:r>
              <w:rPr>
                <w:color w:val="auto"/>
                <w:sz w:val="24"/>
              </w:rPr>
              <w:t>COD400mg/L</w:t>
            </w:r>
            <w:r>
              <w:rPr>
                <w:rFonts w:hint="eastAsia"/>
                <w:color w:val="auto"/>
                <w:sz w:val="24"/>
              </w:rPr>
              <w:t>、</w:t>
            </w:r>
            <w:r>
              <w:rPr>
                <w:color w:val="auto"/>
                <w:sz w:val="24"/>
              </w:rPr>
              <w:t>SS300mg/L</w:t>
            </w:r>
            <w:r>
              <w:rPr>
                <w:rFonts w:hint="eastAsia"/>
                <w:color w:val="auto"/>
                <w:sz w:val="24"/>
              </w:rPr>
              <w:t>、氨氮</w:t>
            </w:r>
            <w:r>
              <w:rPr>
                <w:color w:val="auto"/>
                <w:sz w:val="24"/>
              </w:rPr>
              <w:t>30mg/L</w:t>
            </w:r>
            <w:r>
              <w:rPr>
                <w:rFonts w:hint="eastAsia"/>
                <w:color w:val="auto"/>
                <w:sz w:val="24"/>
              </w:rPr>
              <w:t>、总氮</w:t>
            </w:r>
            <w:r>
              <w:rPr>
                <w:color w:val="auto"/>
                <w:sz w:val="24"/>
              </w:rPr>
              <w:t>40mg/L</w:t>
            </w:r>
            <w:r>
              <w:rPr>
                <w:rFonts w:hint="eastAsia"/>
                <w:color w:val="auto"/>
                <w:sz w:val="24"/>
              </w:rPr>
              <w:t>。</w:t>
            </w:r>
          </w:p>
          <w:p>
            <w:pPr>
              <w:spacing w:line="360" w:lineRule="auto"/>
              <w:ind w:firstLine="480" w:firstLineChars="200"/>
              <w:rPr>
                <w:bCs/>
                <w:color w:val="auto"/>
                <w:kern w:val="24"/>
                <w:sz w:val="24"/>
              </w:rPr>
            </w:pPr>
            <w:r>
              <w:rPr>
                <w:rFonts w:hint="eastAsia"/>
                <w:bCs/>
                <w:color w:val="auto"/>
                <w:kern w:val="24"/>
                <w:sz w:val="24"/>
                <w:lang w:eastAsia="zh-CN"/>
              </w:rPr>
              <w:t>（</w:t>
            </w:r>
            <w:r>
              <w:rPr>
                <w:rFonts w:hint="eastAsia"/>
                <w:bCs/>
                <w:color w:val="auto"/>
                <w:kern w:val="24"/>
                <w:sz w:val="24"/>
                <w:lang w:val="en-US" w:eastAsia="zh-CN"/>
              </w:rPr>
              <w:t>2</w:t>
            </w:r>
            <w:r>
              <w:rPr>
                <w:rFonts w:hint="eastAsia"/>
                <w:bCs/>
                <w:color w:val="auto"/>
                <w:kern w:val="24"/>
                <w:sz w:val="24"/>
                <w:lang w:eastAsia="zh-CN"/>
              </w:rPr>
              <w:t>）</w:t>
            </w:r>
            <w:r>
              <w:rPr>
                <w:bCs/>
                <w:color w:val="auto"/>
                <w:kern w:val="24"/>
                <w:sz w:val="24"/>
              </w:rPr>
              <w:t>施工废水</w:t>
            </w:r>
          </w:p>
          <w:p>
            <w:pPr>
              <w:adjustRightInd w:val="0"/>
              <w:snapToGrid w:val="0"/>
              <w:spacing w:line="360" w:lineRule="auto"/>
              <w:ind w:firstLine="480"/>
              <w:rPr>
                <w:color w:val="auto"/>
                <w:sz w:val="24"/>
              </w:rPr>
            </w:pPr>
            <w:r>
              <w:rPr>
                <w:color w:val="auto"/>
                <w:sz w:val="24"/>
              </w:rPr>
              <w:t>施工期废水主要来源于机械跑、冒、滴、漏的污油及施工机械</w:t>
            </w:r>
            <w:r>
              <w:rPr>
                <w:bCs/>
                <w:color w:val="auto"/>
                <w:kern w:val="24"/>
                <w:sz w:val="24"/>
              </w:rPr>
              <w:t>、</w:t>
            </w:r>
            <w:r>
              <w:rPr>
                <w:color w:val="auto"/>
                <w:sz w:val="24"/>
              </w:rPr>
              <w:t>建材清洗产生废水，</w:t>
            </w:r>
            <w:r>
              <w:rPr>
                <w:bCs/>
                <w:color w:val="auto"/>
                <w:kern w:val="24"/>
                <w:sz w:val="24"/>
              </w:rPr>
              <w:t>施工材料、建筑垃圾和废弃渣土管理防护不当，在雨天时被雨水冲刷形成地表径流污染收纳水体，主要污染物为泥沙、SS和石油类。</w:t>
            </w:r>
            <w:r>
              <w:rPr>
                <w:color w:val="auto"/>
                <w:sz w:val="24"/>
              </w:rPr>
              <w:t>由于此部分废水量跟现场施工状况等诸多因素有关，难以估算，故不做定量分析。施工废水成分相对比较简单，主要是SS，据类比调查一般为1000mg/L。</w:t>
            </w:r>
          </w:p>
          <w:p>
            <w:pPr>
              <w:adjustRightInd w:val="0"/>
              <w:snapToGrid w:val="0"/>
              <w:spacing w:line="360" w:lineRule="auto"/>
              <w:ind w:firstLine="480"/>
              <w:rPr>
                <w:rFonts w:hint="eastAsia"/>
                <w:color w:val="FF0000"/>
                <w:sz w:val="24"/>
              </w:rPr>
            </w:pPr>
            <w:r>
              <w:rPr>
                <w:rFonts w:hint="eastAsia"/>
                <w:color w:val="FF0000"/>
                <w:sz w:val="24"/>
              </w:rPr>
              <w:t>其中钻孔泥浆废水收集至泥浆沉淀池，上清液回用于施工或施工场地洒水降尘。</w:t>
            </w:r>
          </w:p>
          <w:p>
            <w:pPr>
              <w:adjustRightInd w:val="0"/>
              <w:snapToGrid w:val="0"/>
              <w:spacing w:line="360" w:lineRule="auto"/>
              <w:ind w:firstLine="480"/>
              <w:rPr>
                <w:rFonts w:ascii="宋体" w:hAnsi="宋体"/>
                <w:color w:val="auto"/>
                <w:sz w:val="24"/>
              </w:rPr>
            </w:pPr>
            <w:r>
              <w:rPr>
                <w:b/>
                <w:bCs/>
                <w:color w:val="auto"/>
                <w:sz w:val="24"/>
              </w:rPr>
              <w:t>3.2环境影响分析</w:t>
            </w:r>
          </w:p>
          <w:p>
            <w:pPr>
              <w:adjustRightInd w:val="0"/>
              <w:snapToGrid w:val="0"/>
              <w:spacing w:line="360" w:lineRule="auto"/>
              <w:ind w:firstLine="480"/>
              <w:rPr>
                <w:color w:val="auto"/>
                <w:sz w:val="24"/>
              </w:rPr>
            </w:pPr>
            <w:r>
              <w:rPr>
                <w:rFonts w:ascii="宋体" w:hAnsi="宋体"/>
                <w:color w:val="auto"/>
                <w:sz w:val="24"/>
              </w:rPr>
              <w:t>项目施工期间产生的污水主要是含悬浮物及石油类的施工污水，尤其在雨季，建筑施工的工地将有较大量的工地污水产生，建议施工工地设置收集池，使工地污水经沉淀后回用或用于场地泼洒和绿化，不外排。因此，项目施工废水对周围环境影响较小。</w:t>
            </w:r>
          </w:p>
          <w:p>
            <w:pPr>
              <w:adjustRightInd w:val="0"/>
              <w:snapToGrid w:val="0"/>
              <w:spacing w:line="360" w:lineRule="auto"/>
              <w:ind w:firstLine="480"/>
              <w:rPr>
                <w:rFonts w:hint="eastAsia" w:ascii="宋体" w:hAnsi="宋体"/>
                <w:color w:val="auto"/>
                <w:sz w:val="24"/>
              </w:rPr>
            </w:pPr>
            <w:r>
              <w:rPr>
                <w:rFonts w:ascii="宋体" w:hAnsi="宋体"/>
                <w:color w:val="auto"/>
                <w:sz w:val="24"/>
              </w:rPr>
              <w:t>此外，项目施工期的施工人员还将产生生活污水，废水中主要污染物为</w:t>
            </w:r>
            <w:r>
              <w:rPr>
                <w:color w:val="auto"/>
                <w:sz w:val="24"/>
              </w:rPr>
              <w:t>COD</w:t>
            </w:r>
            <w:r>
              <w:rPr>
                <w:rFonts w:ascii="宋体" w:hAnsi="宋体"/>
                <w:color w:val="auto"/>
                <w:sz w:val="24"/>
              </w:rPr>
              <w:t>、</w:t>
            </w:r>
            <w:r>
              <w:rPr>
                <w:color w:val="auto"/>
                <w:sz w:val="24"/>
              </w:rPr>
              <w:t>BOD</w:t>
            </w:r>
            <w:r>
              <w:rPr>
                <w:color w:val="auto"/>
                <w:sz w:val="24"/>
                <w:vertAlign w:val="subscript"/>
              </w:rPr>
              <w:t>5</w:t>
            </w:r>
            <w:r>
              <w:rPr>
                <w:rFonts w:ascii="宋体" w:hAnsi="宋体"/>
                <w:color w:val="auto"/>
                <w:sz w:val="24"/>
              </w:rPr>
              <w:t>、</w:t>
            </w:r>
            <w:r>
              <w:rPr>
                <w:color w:val="auto"/>
                <w:sz w:val="24"/>
              </w:rPr>
              <w:t>SS</w:t>
            </w:r>
            <w:r>
              <w:rPr>
                <w:rFonts w:ascii="宋体" w:hAnsi="宋体"/>
                <w:color w:val="auto"/>
                <w:sz w:val="24"/>
              </w:rPr>
              <w:t>等。生活污水主要为洗漱类废水，属于中低浓度生活污水</w:t>
            </w:r>
            <w:r>
              <w:rPr>
                <w:rFonts w:hint="eastAsia" w:ascii="宋体" w:hAnsi="宋体"/>
                <w:color w:val="auto"/>
                <w:sz w:val="24"/>
              </w:rPr>
              <w:t>。本项目施工人员租赁</w:t>
            </w:r>
            <w:r>
              <w:rPr>
                <w:rFonts w:hint="eastAsia" w:ascii="宋体" w:hAnsi="宋体"/>
                <w:color w:val="FF0000"/>
                <w:sz w:val="24"/>
                <w:lang w:eastAsia="zh-CN"/>
              </w:rPr>
              <w:t>宁县</w:t>
            </w:r>
            <w:r>
              <w:rPr>
                <w:rFonts w:hint="eastAsia" w:ascii="宋体" w:hAnsi="宋体"/>
                <w:color w:val="FF0000"/>
                <w:sz w:val="24"/>
              </w:rPr>
              <w:t>居民房屋</w:t>
            </w:r>
            <w:r>
              <w:rPr>
                <w:rFonts w:hint="eastAsia" w:ascii="宋体" w:hAnsi="宋体"/>
                <w:color w:val="auto"/>
                <w:sz w:val="24"/>
              </w:rPr>
              <w:t>，不设置施工营地，生活废水依托</w:t>
            </w:r>
            <w:r>
              <w:rPr>
                <w:rFonts w:hint="eastAsia" w:ascii="宋体" w:hAnsi="宋体"/>
                <w:color w:val="auto"/>
                <w:sz w:val="24"/>
                <w:lang w:eastAsia="zh-CN"/>
              </w:rPr>
              <w:t>城区</w:t>
            </w:r>
            <w:r>
              <w:rPr>
                <w:rFonts w:hint="eastAsia" w:ascii="宋体" w:hAnsi="宋体"/>
                <w:color w:val="auto"/>
                <w:sz w:val="24"/>
              </w:rPr>
              <w:t>污水处理设施处理，</w:t>
            </w:r>
            <w:r>
              <w:rPr>
                <w:rFonts w:ascii="宋体" w:hAnsi="宋体"/>
                <w:color w:val="auto"/>
                <w:sz w:val="24"/>
              </w:rPr>
              <w:t>不会对周围水环境产生污染影响</w:t>
            </w:r>
            <w:r>
              <w:rPr>
                <w:rFonts w:hint="eastAsia" w:ascii="宋体" w:hAnsi="宋体"/>
                <w:color w:val="auto"/>
                <w:sz w:val="24"/>
              </w:rPr>
              <w:t>。</w:t>
            </w:r>
          </w:p>
          <w:p>
            <w:pPr>
              <w:spacing w:line="360" w:lineRule="auto"/>
              <w:ind w:firstLine="482" w:firstLineChars="200"/>
              <w:rPr>
                <w:rFonts w:hint="eastAsia"/>
                <w:b/>
                <w:bCs/>
                <w:color w:val="auto"/>
                <w:sz w:val="24"/>
              </w:rPr>
            </w:pPr>
            <w:r>
              <w:rPr>
                <w:b/>
                <w:bCs/>
                <w:color w:val="auto"/>
                <w:sz w:val="24"/>
              </w:rPr>
              <w:t>3.3桥梁施工作业对地表水环境的影响</w:t>
            </w:r>
            <w:r>
              <w:rPr>
                <w:rFonts w:hint="eastAsia"/>
                <w:b/>
                <w:bCs/>
                <w:color w:val="auto"/>
                <w:sz w:val="24"/>
              </w:rPr>
              <w:t>分析</w:t>
            </w:r>
          </w:p>
          <w:p>
            <w:pPr>
              <w:adjustRightInd w:val="0"/>
              <w:snapToGrid w:val="0"/>
              <w:spacing w:line="360" w:lineRule="auto"/>
              <w:ind w:firstLine="480" w:firstLineChars="200"/>
              <w:contextualSpacing/>
              <w:rPr>
                <w:color w:val="auto"/>
                <w:sz w:val="24"/>
              </w:rPr>
            </w:pPr>
            <w:r>
              <w:rPr>
                <w:color w:val="auto"/>
                <w:sz w:val="24"/>
              </w:rPr>
              <w:t>项目区内地表水</w:t>
            </w:r>
            <w:r>
              <w:rPr>
                <w:rFonts w:hint="eastAsia"/>
                <w:color w:val="auto"/>
                <w:sz w:val="24"/>
                <w:lang w:eastAsia="zh-CN"/>
              </w:rPr>
              <w:t>为马莲河</w:t>
            </w:r>
            <w:r>
              <w:rPr>
                <w:color w:val="auto"/>
                <w:sz w:val="24"/>
              </w:rPr>
              <w:t>，以大气降水和发源地流水为主要补给来源。跨河桥梁的桥墩基础、墩身、临时支撑等水下工程的施工会影响水体水质，这种影响随着施工期的结束而结束。在施工初期，由于围堰或筑岛，在作业场地周围会扰动河水，使底泥浮起导致局部悬浮物增加。目前跨越水体桥墩下部结构施工主要采用袋装沙土工布防渗围堰沉井施工工艺，桥墩</w:t>
            </w:r>
            <w:r>
              <w:rPr>
                <w:rFonts w:hint="eastAsia"/>
                <w:color w:val="auto"/>
                <w:sz w:val="24"/>
              </w:rPr>
              <w:t>桩</w:t>
            </w:r>
            <w:r>
              <w:rPr>
                <w:color w:val="auto"/>
                <w:sz w:val="24"/>
              </w:rPr>
              <w:t>基施工时将造成施工河段局部水域SS增大，通过采用围堰或沉井施工工艺，可以效地防止施工引起的水质污染。据类比资料分析，采用围堰法施工，施工处下游100m范围外SS增量不超过50mg/L，对下游100m范围外水域水质污染影响较小。随着施工期的结束，该类污染将不复存在。此外搬运钻渣撒落、施工机械机修及工作时油污跑冒滴漏和建筑材料冲洗等施工环节如不加强控制管理，都会影响河流水质。</w:t>
            </w:r>
          </w:p>
          <w:p>
            <w:pPr>
              <w:adjustRightInd w:val="0"/>
              <w:snapToGrid w:val="0"/>
              <w:spacing w:line="360" w:lineRule="auto"/>
              <w:ind w:firstLine="480" w:firstLineChars="200"/>
              <w:contextualSpacing/>
              <w:rPr>
                <w:color w:val="auto"/>
                <w:sz w:val="24"/>
              </w:rPr>
            </w:pPr>
            <w:r>
              <w:rPr>
                <w:color w:val="auto"/>
                <w:sz w:val="24"/>
              </w:rPr>
              <w:t>项目区沿线经过河流多为季节性河流，降雨量分配不均匀，夏季暴雨时，容易引发洪水，具有暴涨暴落特点，对桥梁基础施工影响较大，建议桥梁基础施工选择旱季施工。桥梁的基础施工均避开汛期，桥墩采用钻孔灌注</w:t>
            </w:r>
            <w:r>
              <w:rPr>
                <w:rFonts w:hint="eastAsia"/>
                <w:color w:val="auto"/>
                <w:sz w:val="24"/>
              </w:rPr>
              <w:t>桩</w:t>
            </w:r>
            <w:r>
              <w:rPr>
                <w:color w:val="auto"/>
                <w:sz w:val="24"/>
              </w:rPr>
              <w:t>基础，其钻孔泥浆基本循环利用，少量剩余泥浆不定期排出，发生量很少，主要污染物为悬浮物，排至沉淀池沉淀后堆放干化即可。施工时，在桥梁施工区</w:t>
            </w:r>
            <w:r>
              <w:rPr>
                <w:rFonts w:hint="eastAsia"/>
                <w:color w:val="auto"/>
                <w:sz w:val="24"/>
              </w:rPr>
              <w:t>设置</w:t>
            </w:r>
            <w:r>
              <w:rPr>
                <w:color w:val="auto"/>
                <w:sz w:val="24"/>
              </w:rPr>
              <w:t>沉淀池，将钻渣及泥浆排入沉淀池沉淀后晾晒，沉淀池大小根据具体桥墩钻孔工程量确定，晾晒后的钻渣能利用的尽量利用，不能利用的运至陆上处置，严禁直接排入</w:t>
            </w:r>
            <w:r>
              <w:rPr>
                <w:rFonts w:hint="eastAsia"/>
                <w:color w:val="auto"/>
                <w:sz w:val="24"/>
              </w:rPr>
              <w:t>地表</w:t>
            </w:r>
            <w:r>
              <w:rPr>
                <w:color w:val="auto"/>
                <w:sz w:val="24"/>
              </w:rPr>
              <w:t>水体。</w:t>
            </w:r>
          </w:p>
          <w:p>
            <w:pPr>
              <w:pStyle w:val="11"/>
              <w:spacing w:line="360" w:lineRule="auto"/>
              <w:rPr>
                <w:b/>
                <w:bCs/>
                <w:color w:val="auto"/>
                <w:sz w:val="24"/>
                <w:highlight w:val="none"/>
              </w:rPr>
            </w:pPr>
            <w:r>
              <w:rPr>
                <w:b/>
                <w:bCs/>
                <w:color w:val="auto"/>
                <w:sz w:val="24"/>
                <w:highlight w:val="none"/>
              </w:rPr>
              <w:t>4、声环境影响分析</w:t>
            </w:r>
          </w:p>
          <w:p>
            <w:pPr>
              <w:adjustRightInd w:val="0"/>
              <w:snapToGrid w:val="0"/>
              <w:spacing w:line="360" w:lineRule="auto"/>
              <w:ind w:firstLine="480"/>
              <w:rPr>
                <w:b/>
                <w:bCs/>
                <w:color w:val="auto"/>
                <w:sz w:val="24"/>
              </w:rPr>
            </w:pPr>
            <w:r>
              <w:rPr>
                <w:b/>
                <w:bCs/>
                <w:color w:val="auto"/>
                <w:sz w:val="24"/>
              </w:rPr>
              <w:t>4.1噪声源强分析</w:t>
            </w:r>
          </w:p>
          <w:p>
            <w:pPr>
              <w:spacing w:line="360" w:lineRule="auto"/>
              <w:ind w:firstLine="480" w:firstLineChars="200"/>
              <w:rPr>
                <w:color w:val="auto"/>
                <w:kern w:val="24"/>
                <w:sz w:val="24"/>
              </w:rPr>
            </w:pPr>
            <w:r>
              <w:rPr>
                <w:color w:val="auto"/>
                <w:kern w:val="24"/>
                <w:sz w:val="24"/>
              </w:rPr>
              <w:t>施工期噪声污染源主要为施工作业机械和运输车辆，主要的施工作业机械类型有装载机、推土机、振动式压路机、轮胎式压路机、挖掘机、摊铺机等。这些机械运行时在距声源5m处的噪声值在76～90dB，主要施工机械噪声源强见下表</w:t>
            </w:r>
            <w:r>
              <w:rPr>
                <w:rFonts w:hint="eastAsia"/>
                <w:color w:val="auto"/>
                <w:kern w:val="24"/>
                <w:sz w:val="24"/>
              </w:rPr>
              <w:t>4-2</w:t>
            </w:r>
            <w:r>
              <w:rPr>
                <w:color w:val="auto"/>
                <w:kern w:val="24"/>
                <w:sz w:val="24"/>
              </w:rPr>
              <w:t>。</w:t>
            </w:r>
          </w:p>
          <w:p>
            <w:pPr>
              <w:spacing w:line="240" w:lineRule="auto"/>
              <w:jc w:val="center"/>
              <w:rPr>
                <w:b/>
                <w:color w:val="auto"/>
                <w:sz w:val="21"/>
                <w:szCs w:val="21"/>
              </w:rPr>
            </w:pPr>
          </w:p>
          <w:p>
            <w:pPr>
              <w:spacing w:line="240" w:lineRule="auto"/>
              <w:jc w:val="center"/>
              <w:rPr>
                <w:b/>
                <w:color w:val="auto"/>
                <w:sz w:val="21"/>
                <w:szCs w:val="21"/>
              </w:rPr>
            </w:pPr>
            <w:r>
              <w:rPr>
                <w:b/>
                <w:color w:val="auto"/>
                <w:sz w:val="21"/>
                <w:szCs w:val="21"/>
              </w:rPr>
              <w:t>表</w:t>
            </w:r>
            <w:r>
              <w:rPr>
                <w:rFonts w:hint="eastAsia"/>
                <w:b/>
                <w:color w:val="auto"/>
                <w:sz w:val="21"/>
                <w:szCs w:val="21"/>
              </w:rPr>
              <w:t>4-2</w:t>
            </w:r>
            <w:r>
              <w:rPr>
                <w:b/>
                <w:color w:val="auto"/>
                <w:sz w:val="21"/>
                <w:szCs w:val="21"/>
              </w:rPr>
              <w:t xml:space="preserve">    主要施工机械噪声源强</w:t>
            </w:r>
          </w:p>
          <w:tbl>
            <w:tblPr>
              <w:tblStyle w:val="2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4"/>
              <w:gridCol w:w="2444"/>
              <w:gridCol w:w="2387"/>
              <w:gridCol w:w="1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20" w:type="pct"/>
                  <w:noWrap w:val="0"/>
                  <w:vAlign w:val="center"/>
                </w:tcPr>
                <w:p>
                  <w:pPr>
                    <w:adjustRightInd w:val="0"/>
                    <w:snapToGrid w:val="0"/>
                    <w:jc w:val="center"/>
                    <w:rPr>
                      <w:color w:val="auto"/>
                      <w:szCs w:val="21"/>
                    </w:rPr>
                  </w:pPr>
                  <w:r>
                    <w:rPr>
                      <w:color w:val="auto"/>
                      <w:szCs w:val="21"/>
                    </w:rPr>
                    <w:t>序号</w:t>
                  </w:r>
                </w:p>
              </w:tc>
              <w:tc>
                <w:tcPr>
                  <w:tcW w:w="1572" w:type="pct"/>
                  <w:noWrap w:val="0"/>
                  <w:vAlign w:val="center"/>
                </w:tcPr>
                <w:p>
                  <w:pPr>
                    <w:adjustRightInd w:val="0"/>
                    <w:snapToGrid w:val="0"/>
                    <w:jc w:val="center"/>
                    <w:rPr>
                      <w:color w:val="auto"/>
                      <w:szCs w:val="21"/>
                    </w:rPr>
                  </w:pPr>
                  <w:r>
                    <w:rPr>
                      <w:color w:val="auto"/>
                      <w:szCs w:val="21"/>
                    </w:rPr>
                    <w:t>施工设备名称</w:t>
                  </w:r>
                </w:p>
              </w:tc>
              <w:tc>
                <w:tcPr>
                  <w:tcW w:w="1535" w:type="pct"/>
                  <w:noWrap w:val="0"/>
                  <w:vAlign w:val="center"/>
                </w:tcPr>
                <w:p>
                  <w:pPr>
                    <w:adjustRightInd w:val="0"/>
                    <w:snapToGrid w:val="0"/>
                    <w:jc w:val="center"/>
                    <w:rPr>
                      <w:color w:val="auto"/>
                      <w:szCs w:val="21"/>
                    </w:rPr>
                  </w:pPr>
                  <w:r>
                    <w:rPr>
                      <w:color w:val="auto"/>
                      <w:szCs w:val="21"/>
                    </w:rPr>
                    <w:t>测点距声源距离（m）</w:t>
                  </w:r>
                </w:p>
              </w:tc>
              <w:tc>
                <w:tcPr>
                  <w:tcW w:w="1271" w:type="pct"/>
                  <w:noWrap w:val="0"/>
                  <w:vAlign w:val="center"/>
                </w:tcPr>
                <w:p>
                  <w:pPr>
                    <w:adjustRightInd w:val="0"/>
                    <w:snapToGrid w:val="0"/>
                    <w:jc w:val="center"/>
                    <w:rPr>
                      <w:color w:val="auto"/>
                      <w:szCs w:val="21"/>
                    </w:rPr>
                  </w:pPr>
                  <w:r>
                    <w:rPr>
                      <w:color w:val="auto"/>
                      <w:szCs w:val="21"/>
                    </w:rPr>
                    <w:t>最大噪声级（</w:t>
                  </w:r>
                  <w:r>
                    <w:rPr>
                      <w:color w:val="auto"/>
                      <w:kern w:val="24"/>
                      <w:szCs w:val="21"/>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620" w:type="pct"/>
                  <w:noWrap w:val="0"/>
                  <w:vAlign w:val="center"/>
                </w:tcPr>
                <w:p>
                  <w:pPr>
                    <w:adjustRightInd w:val="0"/>
                    <w:snapToGrid w:val="0"/>
                    <w:jc w:val="center"/>
                    <w:rPr>
                      <w:color w:val="auto"/>
                      <w:szCs w:val="21"/>
                    </w:rPr>
                  </w:pPr>
                  <w:r>
                    <w:rPr>
                      <w:color w:val="auto"/>
                      <w:szCs w:val="21"/>
                    </w:rPr>
                    <w:t>1</w:t>
                  </w:r>
                </w:p>
              </w:tc>
              <w:tc>
                <w:tcPr>
                  <w:tcW w:w="1572" w:type="pct"/>
                  <w:noWrap w:val="0"/>
                  <w:vAlign w:val="center"/>
                </w:tcPr>
                <w:p>
                  <w:pPr>
                    <w:adjustRightInd w:val="0"/>
                    <w:snapToGrid w:val="0"/>
                    <w:jc w:val="center"/>
                    <w:rPr>
                      <w:color w:val="auto"/>
                      <w:szCs w:val="21"/>
                    </w:rPr>
                  </w:pPr>
                  <w:r>
                    <w:rPr>
                      <w:color w:val="auto"/>
                      <w:szCs w:val="21"/>
                    </w:rPr>
                    <w:t>装载机</w:t>
                  </w:r>
                </w:p>
              </w:tc>
              <w:tc>
                <w:tcPr>
                  <w:tcW w:w="1535" w:type="pct"/>
                  <w:noWrap w:val="0"/>
                  <w:vAlign w:val="center"/>
                </w:tcPr>
                <w:p>
                  <w:pPr>
                    <w:adjustRightInd w:val="0"/>
                    <w:snapToGrid w:val="0"/>
                    <w:jc w:val="center"/>
                    <w:rPr>
                      <w:color w:val="auto"/>
                      <w:szCs w:val="21"/>
                    </w:rPr>
                  </w:pPr>
                  <w:r>
                    <w:rPr>
                      <w:color w:val="auto"/>
                      <w:szCs w:val="21"/>
                    </w:rPr>
                    <w:t>5</w:t>
                  </w:r>
                </w:p>
              </w:tc>
              <w:tc>
                <w:tcPr>
                  <w:tcW w:w="1271" w:type="pct"/>
                  <w:noWrap w:val="0"/>
                  <w:vAlign w:val="center"/>
                </w:tcPr>
                <w:p>
                  <w:pPr>
                    <w:adjustRightInd w:val="0"/>
                    <w:snapToGrid w:val="0"/>
                    <w:jc w:val="center"/>
                    <w:rPr>
                      <w:color w:val="auto"/>
                      <w:szCs w:val="21"/>
                    </w:rPr>
                  </w:pPr>
                  <w:r>
                    <w:rPr>
                      <w:color w:val="auto"/>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620" w:type="pct"/>
                  <w:noWrap w:val="0"/>
                  <w:vAlign w:val="center"/>
                </w:tcPr>
                <w:p>
                  <w:pPr>
                    <w:adjustRightInd w:val="0"/>
                    <w:snapToGrid w:val="0"/>
                    <w:jc w:val="center"/>
                    <w:rPr>
                      <w:color w:val="auto"/>
                      <w:kern w:val="24"/>
                      <w:szCs w:val="21"/>
                    </w:rPr>
                  </w:pPr>
                  <w:r>
                    <w:rPr>
                      <w:color w:val="auto"/>
                      <w:kern w:val="24"/>
                      <w:szCs w:val="21"/>
                    </w:rPr>
                    <w:t>2</w:t>
                  </w:r>
                </w:p>
              </w:tc>
              <w:tc>
                <w:tcPr>
                  <w:tcW w:w="1572" w:type="pct"/>
                  <w:noWrap w:val="0"/>
                  <w:vAlign w:val="center"/>
                </w:tcPr>
                <w:p>
                  <w:pPr>
                    <w:adjustRightInd w:val="0"/>
                    <w:snapToGrid w:val="0"/>
                    <w:jc w:val="center"/>
                    <w:rPr>
                      <w:color w:val="auto"/>
                      <w:szCs w:val="21"/>
                    </w:rPr>
                  </w:pPr>
                  <w:r>
                    <w:rPr>
                      <w:color w:val="auto"/>
                      <w:kern w:val="24"/>
                      <w:szCs w:val="21"/>
                    </w:rPr>
                    <w:t>推土机</w:t>
                  </w:r>
                </w:p>
              </w:tc>
              <w:tc>
                <w:tcPr>
                  <w:tcW w:w="1535" w:type="pct"/>
                  <w:noWrap w:val="0"/>
                  <w:vAlign w:val="center"/>
                </w:tcPr>
                <w:p>
                  <w:pPr>
                    <w:adjustRightInd w:val="0"/>
                    <w:snapToGrid w:val="0"/>
                    <w:jc w:val="center"/>
                    <w:rPr>
                      <w:color w:val="auto"/>
                      <w:szCs w:val="21"/>
                    </w:rPr>
                  </w:pPr>
                  <w:r>
                    <w:rPr>
                      <w:color w:val="auto"/>
                      <w:szCs w:val="21"/>
                    </w:rPr>
                    <w:t>5</w:t>
                  </w:r>
                </w:p>
              </w:tc>
              <w:tc>
                <w:tcPr>
                  <w:tcW w:w="1271" w:type="pct"/>
                  <w:noWrap w:val="0"/>
                  <w:vAlign w:val="center"/>
                </w:tcPr>
                <w:p>
                  <w:pPr>
                    <w:adjustRightInd w:val="0"/>
                    <w:snapToGrid w:val="0"/>
                    <w:jc w:val="center"/>
                    <w:rPr>
                      <w:color w:val="auto"/>
                      <w:szCs w:val="21"/>
                    </w:rPr>
                  </w:pPr>
                  <w:r>
                    <w:rPr>
                      <w:color w:val="auto"/>
                      <w:szCs w:val="21"/>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620" w:type="pct"/>
                  <w:noWrap w:val="0"/>
                  <w:vAlign w:val="center"/>
                </w:tcPr>
                <w:p>
                  <w:pPr>
                    <w:adjustRightInd w:val="0"/>
                    <w:snapToGrid w:val="0"/>
                    <w:jc w:val="center"/>
                    <w:rPr>
                      <w:color w:val="auto"/>
                      <w:szCs w:val="21"/>
                    </w:rPr>
                  </w:pPr>
                  <w:r>
                    <w:rPr>
                      <w:color w:val="auto"/>
                      <w:szCs w:val="21"/>
                    </w:rPr>
                    <w:t>3</w:t>
                  </w:r>
                </w:p>
              </w:tc>
              <w:tc>
                <w:tcPr>
                  <w:tcW w:w="1572" w:type="pct"/>
                  <w:noWrap w:val="0"/>
                  <w:vAlign w:val="center"/>
                </w:tcPr>
                <w:p>
                  <w:pPr>
                    <w:adjustRightInd w:val="0"/>
                    <w:snapToGrid w:val="0"/>
                    <w:jc w:val="center"/>
                    <w:rPr>
                      <w:color w:val="auto"/>
                      <w:szCs w:val="21"/>
                    </w:rPr>
                  </w:pPr>
                  <w:r>
                    <w:rPr>
                      <w:color w:val="auto"/>
                      <w:szCs w:val="21"/>
                    </w:rPr>
                    <w:t>振动式压路机</w:t>
                  </w:r>
                </w:p>
              </w:tc>
              <w:tc>
                <w:tcPr>
                  <w:tcW w:w="1535" w:type="pct"/>
                  <w:noWrap w:val="0"/>
                  <w:vAlign w:val="center"/>
                </w:tcPr>
                <w:p>
                  <w:pPr>
                    <w:adjustRightInd w:val="0"/>
                    <w:snapToGrid w:val="0"/>
                    <w:jc w:val="center"/>
                    <w:rPr>
                      <w:color w:val="auto"/>
                      <w:szCs w:val="21"/>
                    </w:rPr>
                  </w:pPr>
                  <w:r>
                    <w:rPr>
                      <w:color w:val="auto"/>
                      <w:szCs w:val="21"/>
                    </w:rPr>
                    <w:t>5</w:t>
                  </w:r>
                </w:p>
              </w:tc>
              <w:tc>
                <w:tcPr>
                  <w:tcW w:w="1271" w:type="pct"/>
                  <w:noWrap w:val="0"/>
                  <w:vAlign w:val="center"/>
                </w:tcPr>
                <w:p>
                  <w:pPr>
                    <w:adjustRightInd w:val="0"/>
                    <w:snapToGrid w:val="0"/>
                    <w:jc w:val="center"/>
                    <w:rPr>
                      <w:color w:val="auto"/>
                      <w:szCs w:val="21"/>
                    </w:rPr>
                  </w:pPr>
                  <w:r>
                    <w:rPr>
                      <w:color w:val="auto"/>
                      <w:szCs w:val="21"/>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620" w:type="pct"/>
                  <w:noWrap w:val="0"/>
                  <w:vAlign w:val="center"/>
                </w:tcPr>
                <w:p>
                  <w:pPr>
                    <w:adjustRightInd w:val="0"/>
                    <w:snapToGrid w:val="0"/>
                    <w:jc w:val="center"/>
                    <w:rPr>
                      <w:color w:val="auto"/>
                      <w:szCs w:val="21"/>
                    </w:rPr>
                  </w:pPr>
                  <w:r>
                    <w:rPr>
                      <w:color w:val="auto"/>
                      <w:szCs w:val="21"/>
                    </w:rPr>
                    <w:t>4</w:t>
                  </w:r>
                </w:p>
              </w:tc>
              <w:tc>
                <w:tcPr>
                  <w:tcW w:w="1572" w:type="pct"/>
                  <w:noWrap w:val="0"/>
                  <w:vAlign w:val="center"/>
                </w:tcPr>
                <w:p>
                  <w:pPr>
                    <w:adjustRightInd w:val="0"/>
                    <w:snapToGrid w:val="0"/>
                    <w:jc w:val="center"/>
                    <w:rPr>
                      <w:color w:val="auto"/>
                      <w:szCs w:val="21"/>
                    </w:rPr>
                  </w:pPr>
                  <w:r>
                    <w:rPr>
                      <w:color w:val="auto"/>
                      <w:szCs w:val="21"/>
                    </w:rPr>
                    <w:t>轮胎式压路机</w:t>
                  </w:r>
                </w:p>
              </w:tc>
              <w:tc>
                <w:tcPr>
                  <w:tcW w:w="1535" w:type="pct"/>
                  <w:noWrap w:val="0"/>
                  <w:vAlign w:val="center"/>
                </w:tcPr>
                <w:p>
                  <w:pPr>
                    <w:adjustRightInd w:val="0"/>
                    <w:snapToGrid w:val="0"/>
                    <w:jc w:val="center"/>
                    <w:rPr>
                      <w:color w:val="auto"/>
                      <w:szCs w:val="21"/>
                    </w:rPr>
                  </w:pPr>
                  <w:r>
                    <w:rPr>
                      <w:color w:val="auto"/>
                      <w:szCs w:val="21"/>
                    </w:rPr>
                    <w:t>5</w:t>
                  </w:r>
                </w:p>
              </w:tc>
              <w:tc>
                <w:tcPr>
                  <w:tcW w:w="1271" w:type="pct"/>
                  <w:noWrap w:val="0"/>
                  <w:vAlign w:val="center"/>
                </w:tcPr>
                <w:p>
                  <w:pPr>
                    <w:adjustRightInd w:val="0"/>
                    <w:snapToGrid w:val="0"/>
                    <w:jc w:val="center"/>
                    <w:rPr>
                      <w:color w:val="auto"/>
                      <w:szCs w:val="21"/>
                    </w:rPr>
                  </w:pPr>
                  <w:r>
                    <w:rPr>
                      <w:color w:val="auto"/>
                      <w:szCs w:val="21"/>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620" w:type="pct"/>
                  <w:noWrap w:val="0"/>
                  <w:vAlign w:val="center"/>
                </w:tcPr>
                <w:p>
                  <w:pPr>
                    <w:adjustRightInd w:val="0"/>
                    <w:snapToGrid w:val="0"/>
                    <w:jc w:val="center"/>
                    <w:rPr>
                      <w:color w:val="auto"/>
                      <w:kern w:val="24"/>
                      <w:szCs w:val="21"/>
                    </w:rPr>
                  </w:pPr>
                  <w:r>
                    <w:rPr>
                      <w:color w:val="auto"/>
                      <w:kern w:val="24"/>
                      <w:szCs w:val="21"/>
                    </w:rPr>
                    <w:t>5</w:t>
                  </w:r>
                </w:p>
              </w:tc>
              <w:tc>
                <w:tcPr>
                  <w:tcW w:w="1572" w:type="pct"/>
                  <w:noWrap w:val="0"/>
                  <w:vAlign w:val="center"/>
                </w:tcPr>
                <w:p>
                  <w:pPr>
                    <w:adjustRightInd w:val="0"/>
                    <w:snapToGrid w:val="0"/>
                    <w:jc w:val="center"/>
                    <w:rPr>
                      <w:color w:val="auto"/>
                      <w:szCs w:val="21"/>
                    </w:rPr>
                  </w:pPr>
                  <w:r>
                    <w:rPr>
                      <w:color w:val="auto"/>
                      <w:kern w:val="24"/>
                      <w:szCs w:val="21"/>
                    </w:rPr>
                    <w:t>挖掘机</w:t>
                  </w:r>
                </w:p>
              </w:tc>
              <w:tc>
                <w:tcPr>
                  <w:tcW w:w="1535" w:type="pct"/>
                  <w:noWrap w:val="0"/>
                  <w:vAlign w:val="center"/>
                </w:tcPr>
                <w:p>
                  <w:pPr>
                    <w:adjustRightInd w:val="0"/>
                    <w:snapToGrid w:val="0"/>
                    <w:jc w:val="center"/>
                    <w:rPr>
                      <w:color w:val="auto"/>
                      <w:szCs w:val="21"/>
                    </w:rPr>
                  </w:pPr>
                  <w:r>
                    <w:rPr>
                      <w:color w:val="auto"/>
                      <w:szCs w:val="21"/>
                    </w:rPr>
                    <w:t>5</w:t>
                  </w:r>
                </w:p>
              </w:tc>
              <w:tc>
                <w:tcPr>
                  <w:tcW w:w="1271" w:type="pct"/>
                  <w:noWrap w:val="0"/>
                  <w:vAlign w:val="center"/>
                </w:tcPr>
                <w:p>
                  <w:pPr>
                    <w:adjustRightInd w:val="0"/>
                    <w:snapToGrid w:val="0"/>
                    <w:jc w:val="center"/>
                    <w:rPr>
                      <w:color w:val="auto"/>
                      <w:szCs w:val="21"/>
                    </w:rPr>
                  </w:pPr>
                  <w:r>
                    <w:rPr>
                      <w:color w:val="auto"/>
                      <w:szCs w:val="21"/>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20" w:type="pct"/>
                  <w:noWrap w:val="0"/>
                  <w:vAlign w:val="center"/>
                </w:tcPr>
                <w:p>
                  <w:pPr>
                    <w:adjustRightInd w:val="0"/>
                    <w:snapToGrid w:val="0"/>
                    <w:jc w:val="center"/>
                    <w:rPr>
                      <w:color w:val="auto"/>
                      <w:kern w:val="24"/>
                      <w:szCs w:val="21"/>
                    </w:rPr>
                  </w:pPr>
                  <w:r>
                    <w:rPr>
                      <w:color w:val="auto"/>
                      <w:kern w:val="24"/>
                      <w:szCs w:val="21"/>
                    </w:rPr>
                    <w:t>6</w:t>
                  </w:r>
                </w:p>
              </w:tc>
              <w:tc>
                <w:tcPr>
                  <w:tcW w:w="1572" w:type="pct"/>
                  <w:noWrap w:val="0"/>
                  <w:vAlign w:val="center"/>
                </w:tcPr>
                <w:p>
                  <w:pPr>
                    <w:adjustRightInd w:val="0"/>
                    <w:snapToGrid w:val="0"/>
                    <w:jc w:val="center"/>
                    <w:rPr>
                      <w:color w:val="auto"/>
                      <w:szCs w:val="21"/>
                    </w:rPr>
                  </w:pPr>
                  <w:r>
                    <w:rPr>
                      <w:color w:val="auto"/>
                      <w:kern w:val="24"/>
                      <w:szCs w:val="21"/>
                    </w:rPr>
                    <w:t>摊铺机</w:t>
                  </w:r>
                </w:p>
              </w:tc>
              <w:tc>
                <w:tcPr>
                  <w:tcW w:w="1535" w:type="pct"/>
                  <w:noWrap w:val="0"/>
                  <w:vAlign w:val="center"/>
                </w:tcPr>
                <w:p>
                  <w:pPr>
                    <w:adjustRightInd w:val="0"/>
                    <w:snapToGrid w:val="0"/>
                    <w:jc w:val="center"/>
                    <w:rPr>
                      <w:color w:val="auto"/>
                      <w:szCs w:val="21"/>
                    </w:rPr>
                  </w:pPr>
                  <w:r>
                    <w:rPr>
                      <w:color w:val="auto"/>
                      <w:szCs w:val="21"/>
                    </w:rPr>
                    <w:t>5</w:t>
                  </w:r>
                </w:p>
              </w:tc>
              <w:tc>
                <w:tcPr>
                  <w:tcW w:w="1271" w:type="pct"/>
                  <w:noWrap w:val="0"/>
                  <w:vAlign w:val="center"/>
                </w:tcPr>
                <w:p>
                  <w:pPr>
                    <w:adjustRightInd w:val="0"/>
                    <w:snapToGrid w:val="0"/>
                    <w:jc w:val="center"/>
                    <w:rPr>
                      <w:color w:val="auto"/>
                      <w:szCs w:val="21"/>
                    </w:rPr>
                  </w:pPr>
                  <w:r>
                    <w:rPr>
                      <w:color w:val="auto"/>
                      <w:szCs w:val="21"/>
                    </w:rPr>
                    <w:t>87</w:t>
                  </w:r>
                </w:p>
              </w:tc>
            </w:tr>
          </w:tbl>
          <w:p>
            <w:pPr>
              <w:adjustRightInd w:val="0"/>
              <w:snapToGrid w:val="0"/>
              <w:spacing w:before="120" w:beforeLines="50" w:line="360" w:lineRule="auto"/>
              <w:ind w:firstLine="482"/>
              <w:rPr>
                <w:b/>
                <w:bCs/>
                <w:color w:val="auto"/>
                <w:sz w:val="24"/>
              </w:rPr>
            </w:pPr>
            <w:r>
              <w:rPr>
                <w:b/>
                <w:bCs/>
                <w:color w:val="auto"/>
                <w:sz w:val="24"/>
              </w:rPr>
              <w:t>4.2环境影响分析</w:t>
            </w:r>
          </w:p>
          <w:p>
            <w:pPr>
              <w:adjustRightInd w:val="0"/>
              <w:spacing w:line="360" w:lineRule="auto"/>
              <w:ind w:firstLine="480" w:firstLineChars="200"/>
              <w:rPr>
                <w:color w:val="auto"/>
                <w:sz w:val="24"/>
              </w:rPr>
            </w:pPr>
            <w:r>
              <w:rPr>
                <w:color w:val="auto"/>
                <w:sz w:val="24"/>
              </w:rPr>
              <w:t>施工阶段，设备作业时需要一定的作业空间，施工机械操作运转时有一定的工作间距，因此噪声源强可视为点声源。</w:t>
            </w:r>
          </w:p>
          <w:p>
            <w:pPr>
              <w:widowControl/>
              <w:autoSpaceDE w:val="0"/>
              <w:autoSpaceDN w:val="0"/>
              <w:spacing w:line="360" w:lineRule="auto"/>
              <w:ind w:firstLine="480" w:firstLineChars="200"/>
              <w:textAlignment w:val="bottom"/>
              <w:rPr>
                <w:color w:val="auto"/>
                <w:kern w:val="0"/>
                <w:sz w:val="24"/>
              </w:rPr>
            </w:pPr>
            <w:r>
              <w:rPr>
                <w:color w:val="auto"/>
                <w:kern w:val="0"/>
                <w:sz w:val="24"/>
              </w:rPr>
              <w:t>利用点源距离衰减公式计算设备噪声对场界的噪声影响值：</w:t>
            </w:r>
          </w:p>
          <w:p>
            <w:pPr>
              <w:widowControl/>
              <w:autoSpaceDE w:val="0"/>
              <w:autoSpaceDN w:val="0"/>
              <w:spacing w:line="360" w:lineRule="auto"/>
              <w:jc w:val="center"/>
              <w:textAlignment w:val="bottom"/>
              <w:rPr>
                <w:color w:val="auto"/>
                <w:kern w:val="0"/>
                <w:sz w:val="24"/>
                <w:vertAlign w:val="subscript"/>
              </w:rPr>
            </w:pPr>
            <w:r>
              <w:rPr>
                <w:color w:val="auto"/>
                <w:kern w:val="0"/>
                <w:sz w:val="24"/>
              </w:rPr>
              <w:t>L=L</w:t>
            </w:r>
            <w:r>
              <w:rPr>
                <w:color w:val="auto"/>
                <w:kern w:val="0"/>
                <w:sz w:val="24"/>
                <w:vertAlign w:val="subscript"/>
              </w:rPr>
              <w:t>0</w:t>
            </w:r>
            <w:r>
              <w:rPr>
                <w:color w:val="auto"/>
                <w:kern w:val="0"/>
                <w:sz w:val="24"/>
              </w:rPr>
              <w:t>-20lg(r/r</w:t>
            </w:r>
            <w:r>
              <w:rPr>
                <w:color w:val="auto"/>
                <w:kern w:val="0"/>
                <w:sz w:val="24"/>
                <w:vertAlign w:val="subscript"/>
              </w:rPr>
              <w:t>0</w:t>
            </w:r>
            <w:r>
              <w:rPr>
                <w:color w:val="auto"/>
                <w:kern w:val="0"/>
                <w:sz w:val="24"/>
              </w:rPr>
              <w:t>)</w:t>
            </w:r>
          </w:p>
          <w:p>
            <w:pPr>
              <w:adjustRightInd w:val="0"/>
              <w:snapToGrid w:val="0"/>
              <w:spacing w:line="360" w:lineRule="auto"/>
              <w:ind w:left="1129" w:leftChars="195" w:hanging="720" w:hangingChars="300"/>
              <w:rPr>
                <w:color w:val="auto"/>
                <w:sz w:val="24"/>
              </w:rPr>
            </w:pPr>
            <w:r>
              <w:rPr>
                <w:color w:val="auto"/>
                <w:kern w:val="0"/>
                <w:sz w:val="24"/>
              </w:rPr>
              <w:t>式中：L——受声点（即被影响点）所接受的声压级，dB(A)；</w:t>
            </w:r>
            <w:r>
              <w:rPr>
                <w:color w:val="auto"/>
                <w:kern w:val="0"/>
                <w:sz w:val="24"/>
              </w:rPr>
              <w:br w:type="textWrapping"/>
            </w:r>
            <w:r>
              <w:rPr>
                <w:color w:val="auto"/>
                <w:kern w:val="0"/>
                <w:sz w:val="24"/>
              </w:rPr>
              <w:t>L</w:t>
            </w:r>
            <w:r>
              <w:rPr>
                <w:color w:val="auto"/>
                <w:kern w:val="0"/>
                <w:sz w:val="24"/>
                <w:vertAlign w:val="subscript"/>
              </w:rPr>
              <w:t>0</w:t>
            </w:r>
            <w:r>
              <w:rPr>
                <w:color w:val="auto"/>
                <w:kern w:val="0"/>
                <w:sz w:val="24"/>
              </w:rPr>
              <w:t>——参考位置源强dB(A)；</w:t>
            </w:r>
            <w:r>
              <w:rPr>
                <w:color w:val="auto"/>
                <w:kern w:val="0"/>
                <w:sz w:val="24"/>
              </w:rPr>
              <w:br w:type="textWrapping"/>
            </w:r>
            <w:r>
              <w:rPr>
                <w:color w:val="auto"/>
                <w:kern w:val="0"/>
                <w:sz w:val="24"/>
              </w:rPr>
              <w:t>r</w:t>
            </w:r>
            <w:r>
              <w:rPr>
                <w:color w:val="auto"/>
                <w:kern w:val="0"/>
                <w:sz w:val="24"/>
                <w:vertAlign w:val="subscript"/>
              </w:rPr>
              <w:t>0</w:t>
            </w:r>
            <w:r>
              <w:rPr>
                <w:color w:val="auto"/>
                <w:kern w:val="0"/>
                <w:sz w:val="24"/>
              </w:rPr>
              <w:t>——参考位置，r0取1m；</w:t>
            </w:r>
            <w:r>
              <w:rPr>
                <w:color w:val="auto"/>
                <w:kern w:val="0"/>
                <w:sz w:val="24"/>
              </w:rPr>
              <w:br w:type="textWrapping"/>
            </w:r>
            <w:r>
              <w:rPr>
                <w:color w:val="auto"/>
                <w:kern w:val="0"/>
                <w:sz w:val="24"/>
              </w:rPr>
              <w:t>r——噪声源至受声点的距离。</w:t>
            </w:r>
            <w:r>
              <w:rPr>
                <w:color w:val="auto"/>
                <w:sz w:val="24"/>
              </w:rPr>
              <w:t>根据上述公式，预测结果见表</w:t>
            </w:r>
            <w:r>
              <w:rPr>
                <w:rFonts w:hint="eastAsia"/>
                <w:color w:val="auto"/>
                <w:sz w:val="24"/>
              </w:rPr>
              <w:t>4-3</w:t>
            </w:r>
            <w:r>
              <w:rPr>
                <w:color w:val="auto"/>
                <w:sz w:val="24"/>
              </w:rPr>
              <w:t>。</w:t>
            </w:r>
          </w:p>
          <w:p>
            <w:pPr>
              <w:spacing w:line="240" w:lineRule="auto"/>
              <w:jc w:val="center"/>
              <w:rPr>
                <w:b/>
                <w:color w:val="auto"/>
                <w:sz w:val="21"/>
                <w:szCs w:val="21"/>
              </w:rPr>
            </w:pPr>
            <w:r>
              <w:rPr>
                <w:b/>
                <w:color w:val="auto"/>
                <w:sz w:val="21"/>
                <w:szCs w:val="21"/>
              </w:rPr>
              <w:t>表</w:t>
            </w:r>
            <w:r>
              <w:rPr>
                <w:rFonts w:hint="eastAsia"/>
                <w:b/>
                <w:color w:val="auto"/>
                <w:sz w:val="21"/>
                <w:szCs w:val="21"/>
              </w:rPr>
              <w:t>4-3</w:t>
            </w:r>
            <w:r>
              <w:rPr>
                <w:b/>
                <w:color w:val="auto"/>
                <w:sz w:val="21"/>
                <w:szCs w:val="21"/>
              </w:rPr>
              <w:t xml:space="preserve">     施工机械环境噪声影响预测值</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957"/>
              <w:gridCol w:w="832"/>
              <w:gridCol w:w="471"/>
              <w:gridCol w:w="476"/>
              <w:gridCol w:w="476"/>
              <w:gridCol w:w="523"/>
              <w:gridCol w:w="426"/>
              <w:gridCol w:w="355"/>
              <w:gridCol w:w="487"/>
              <w:gridCol w:w="594"/>
              <w:gridCol w:w="574"/>
              <w:gridCol w:w="802"/>
              <w:gridCol w:w="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4" w:hRule="atLeast"/>
                <w:jc w:val="center"/>
              </w:trPr>
              <w:tc>
                <w:tcPr>
                  <w:tcW w:w="616" w:type="pct"/>
                  <w:vMerge w:val="restart"/>
                  <w:noWrap w:val="0"/>
                  <w:vAlign w:val="center"/>
                </w:tcPr>
                <w:p>
                  <w:pPr>
                    <w:spacing w:line="240" w:lineRule="auto"/>
                    <w:jc w:val="center"/>
                    <w:rPr>
                      <w:color w:val="auto"/>
                      <w:kern w:val="0"/>
                      <w:sz w:val="21"/>
                      <w:szCs w:val="21"/>
                    </w:rPr>
                  </w:pPr>
                  <w:r>
                    <w:rPr>
                      <w:color w:val="auto"/>
                      <w:kern w:val="0"/>
                      <w:sz w:val="21"/>
                      <w:szCs w:val="21"/>
                      <w:lang w:val="zh-CN"/>
                    </w:rPr>
                    <w:t>施工机械</w:t>
                  </w:r>
                </w:p>
              </w:tc>
              <w:tc>
                <w:tcPr>
                  <w:tcW w:w="535" w:type="pct"/>
                  <w:vMerge w:val="restart"/>
                  <w:noWrap w:val="0"/>
                  <w:vAlign w:val="center"/>
                </w:tcPr>
                <w:p>
                  <w:pPr>
                    <w:spacing w:line="240" w:lineRule="auto"/>
                    <w:jc w:val="center"/>
                    <w:rPr>
                      <w:color w:val="auto"/>
                      <w:kern w:val="0"/>
                      <w:sz w:val="21"/>
                      <w:szCs w:val="21"/>
                    </w:rPr>
                  </w:pPr>
                  <w:r>
                    <w:rPr>
                      <w:color w:val="auto"/>
                      <w:sz w:val="21"/>
                      <w:szCs w:val="21"/>
                    </w:rPr>
                    <w:t>噪声源强dB(A)</w:t>
                  </w:r>
                </w:p>
              </w:tc>
              <w:tc>
                <w:tcPr>
                  <w:tcW w:w="2066" w:type="pct"/>
                  <w:gridSpan w:val="7"/>
                  <w:noWrap w:val="0"/>
                  <w:vAlign w:val="center"/>
                </w:tcPr>
                <w:p>
                  <w:pPr>
                    <w:spacing w:line="240" w:lineRule="auto"/>
                    <w:jc w:val="center"/>
                    <w:rPr>
                      <w:color w:val="auto"/>
                      <w:kern w:val="0"/>
                      <w:sz w:val="21"/>
                      <w:szCs w:val="21"/>
                    </w:rPr>
                  </w:pPr>
                  <w:r>
                    <w:rPr>
                      <w:color w:val="auto"/>
                      <w:kern w:val="0"/>
                      <w:sz w:val="21"/>
                      <w:szCs w:val="21"/>
                      <w:lang w:val="zh-CN"/>
                    </w:rPr>
                    <w:t>距离（m）</w:t>
                  </w:r>
                </w:p>
              </w:tc>
              <w:tc>
                <w:tcPr>
                  <w:tcW w:w="751" w:type="pct"/>
                  <w:gridSpan w:val="2"/>
                  <w:noWrap w:val="0"/>
                  <w:vAlign w:val="center"/>
                </w:tcPr>
                <w:p>
                  <w:pPr>
                    <w:spacing w:line="240" w:lineRule="auto"/>
                    <w:jc w:val="center"/>
                    <w:rPr>
                      <w:color w:val="auto"/>
                      <w:kern w:val="0"/>
                      <w:sz w:val="21"/>
                      <w:szCs w:val="21"/>
                    </w:rPr>
                  </w:pPr>
                  <w:r>
                    <w:rPr>
                      <w:color w:val="auto"/>
                      <w:kern w:val="0"/>
                      <w:sz w:val="21"/>
                      <w:szCs w:val="21"/>
                    </w:rPr>
                    <w:t>标准值dB(A)</w:t>
                  </w:r>
                </w:p>
              </w:tc>
              <w:tc>
                <w:tcPr>
                  <w:tcW w:w="1029" w:type="pct"/>
                  <w:gridSpan w:val="2"/>
                  <w:noWrap w:val="0"/>
                  <w:vAlign w:val="center"/>
                </w:tcPr>
                <w:p>
                  <w:pPr>
                    <w:spacing w:line="240" w:lineRule="auto"/>
                    <w:jc w:val="center"/>
                    <w:rPr>
                      <w:color w:val="auto"/>
                      <w:kern w:val="0"/>
                      <w:sz w:val="21"/>
                      <w:szCs w:val="21"/>
                    </w:rPr>
                  </w:pPr>
                  <w:r>
                    <w:rPr>
                      <w:color w:val="auto"/>
                      <w:kern w:val="0"/>
                      <w:sz w:val="21"/>
                      <w:szCs w:val="21"/>
                      <w:lang w:val="zh-CN"/>
                    </w:rPr>
                    <w:t>达标距离（m）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4" w:hRule="atLeast"/>
                <w:jc w:val="center"/>
              </w:trPr>
              <w:tc>
                <w:tcPr>
                  <w:tcW w:w="616" w:type="pct"/>
                  <w:vMerge w:val="continue"/>
                  <w:noWrap w:val="0"/>
                  <w:vAlign w:val="center"/>
                </w:tcPr>
                <w:p>
                  <w:pPr>
                    <w:widowControl/>
                    <w:jc w:val="left"/>
                    <w:rPr>
                      <w:color w:val="auto"/>
                      <w:kern w:val="0"/>
                      <w:szCs w:val="21"/>
                    </w:rPr>
                  </w:pPr>
                </w:p>
              </w:tc>
              <w:tc>
                <w:tcPr>
                  <w:tcW w:w="535" w:type="pct"/>
                  <w:vMerge w:val="continue"/>
                  <w:noWrap w:val="0"/>
                  <w:vAlign w:val="center"/>
                </w:tcPr>
                <w:p>
                  <w:pPr>
                    <w:widowControl/>
                    <w:jc w:val="left"/>
                    <w:rPr>
                      <w:color w:val="auto"/>
                      <w:kern w:val="0"/>
                      <w:szCs w:val="21"/>
                    </w:rPr>
                  </w:pPr>
                </w:p>
              </w:tc>
              <w:tc>
                <w:tcPr>
                  <w:tcW w:w="303" w:type="pct"/>
                  <w:noWrap w:val="0"/>
                  <w:vAlign w:val="center"/>
                </w:tcPr>
                <w:p>
                  <w:pPr>
                    <w:jc w:val="center"/>
                    <w:rPr>
                      <w:color w:val="auto"/>
                      <w:kern w:val="0"/>
                      <w:szCs w:val="21"/>
                    </w:rPr>
                  </w:pPr>
                  <w:r>
                    <w:rPr>
                      <w:color w:val="auto"/>
                      <w:kern w:val="0"/>
                      <w:szCs w:val="21"/>
                    </w:rPr>
                    <w:t>10</w:t>
                  </w:r>
                </w:p>
              </w:tc>
              <w:tc>
                <w:tcPr>
                  <w:tcW w:w="306" w:type="pct"/>
                  <w:noWrap w:val="0"/>
                  <w:vAlign w:val="center"/>
                </w:tcPr>
                <w:p>
                  <w:pPr>
                    <w:jc w:val="center"/>
                    <w:rPr>
                      <w:color w:val="auto"/>
                      <w:kern w:val="0"/>
                      <w:szCs w:val="21"/>
                    </w:rPr>
                  </w:pPr>
                  <w:r>
                    <w:rPr>
                      <w:color w:val="auto"/>
                      <w:kern w:val="0"/>
                      <w:szCs w:val="21"/>
                    </w:rPr>
                    <w:t>20</w:t>
                  </w:r>
                </w:p>
              </w:tc>
              <w:tc>
                <w:tcPr>
                  <w:tcW w:w="306" w:type="pct"/>
                  <w:noWrap w:val="0"/>
                  <w:vAlign w:val="center"/>
                </w:tcPr>
                <w:p>
                  <w:pPr>
                    <w:jc w:val="center"/>
                    <w:rPr>
                      <w:color w:val="auto"/>
                      <w:kern w:val="0"/>
                      <w:szCs w:val="21"/>
                    </w:rPr>
                  </w:pPr>
                  <w:r>
                    <w:rPr>
                      <w:color w:val="auto"/>
                      <w:kern w:val="0"/>
                      <w:szCs w:val="21"/>
                    </w:rPr>
                    <w:t>40</w:t>
                  </w:r>
                </w:p>
              </w:tc>
              <w:tc>
                <w:tcPr>
                  <w:tcW w:w="336" w:type="pct"/>
                  <w:noWrap w:val="0"/>
                  <w:vAlign w:val="center"/>
                </w:tcPr>
                <w:p>
                  <w:pPr>
                    <w:jc w:val="center"/>
                    <w:rPr>
                      <w:color w:val="auto"/>
                      <w:kern w:val="0"/>
                      <w:szCs w:val="21"/>
                    </w:rPr>
                  </w:pPr>
                  <w:r>
                    <w:rPr>
                      <w:color w:val="auto"/>
                      <w:kern w:val="0"/>
                      <w:szCs w:val="21"/>
                    </w:rPr>
                    <w:t>60</w:t>
                  </w:r>
                </w:p>
              </w:tc>
              <w:tc>
                <w:tcPr>
                  <w:tcW w:w="274" w:type="pct"/>
                  <w:noWrap w:val="0"/>
                  <w:vAlign w:val="center"/>
                </w:tcPr>
                <w:p>
                  <w:pPr>
                    <w:jc w:val="center"/>
                    <w:rPr>
                      <w:color w:val="auto"/>
                      <w:kern w:val="0"/>
                      <w:szCs w:val="21"/>
                    </w:rPr>
                  </w:pPr>
                  <w:r>
                    <w:rPr>
                      <w:color w:val="auto"/>
                      <w:kern w:val="0"/>
                      <w:szCs w:val="21"/>
                    </w:rPr>
                    <w:t>80</w:t>
                  </w:r>
                </w:p>
              </w:tc>
              <w:tc>
                <w:tcPr>
                  <w:tcW w:w="228" w:type="pct"/>
                  <w:noWrap w:val="0"/>
                  <w:vAlign w:val="center"/>
                </w:tcPr>
                <w:p>
                  <w:pPr>
                    <w:jc w:val="center"/>
                    <w:rPr>
                      <w:color w:val="auto"/>
                      <w:kern w:val="0"/>
                      <w:szCs w:val="21"/>
                    </w:rPr>
                  </w:pPr>
                  <w:r>
                    <w:rPr>
                      <w:color w:val="auto"/>
                      <w:kern w:val="0"/>
                      <w:szCs w:val="21"/>
                    </w:rPr>
                    <w:t>100</w:t>
                  </w:r>
                </w:p>
              </w:tc>
              <w:tc>
                <w:tcPr>
                  <w:tcW w:w="310" w:type="pct"/>
                  <w:noWrap w:val="0"/>
                  <w:vAlign w:val="center"/>
                </w:tcPr>
                <w:p>
                  <w:pPr>
                    <w:jc w:val="center"/>
                    <w:rPr>
                      <w:color w:val="auto"/>
                      <w:kern w:val="0"/>
                      <w:szCs w:val="21"/>
                    </w:rPr>
                  </w:pPr>
                  <w:r>
                    <w:rPr>
                      <w:color w:val="auto"/>
                      <w:kern w:val="0"/>
                      <w:szCs w:val="21"/>
                    </w:rPr>
                    <w:t>150</w:t>
                  </w:r>
                </w:p>
              </w:tc>
              <w:tc>
                <w:tcPr>
                  <w:tcW w:w="382" w:type="pct"/>
                  <w:noWrap w:val="0"/>
                  <w:vAlign w:val="center"/>
                </w:tcPr>
                <w:p>
                  <w:pPr>
                    <w:jc w:val="center"/>
                    <w:rPr>
                      <w:color w:val="auto"/>
                      <w:kern w:val="0"/>
                      <w:szCs w:val="21"/>
                    </w:rPr>
                  </w:pPr>
                  <w:r>
                    <w:rPr>
                      <w:color w:val="auto"/>
                      <w:kern w:val="0"/>
                      <w:szCs w:val="21"/>
                    </w:rPr>
                    <w:t>昼间</w:t>
                  </w:r>
                </w:p>
              </w:tc>
              <w:tc>
                <w:tcPr>
                  <w:tcW w:w="368" w:type="pct"/>
                  <w:noWrap w:val="0"/>
                  <w:vAlign w:val="center"/>
                </w:tcPr>
                <w:p>
                  <w:pPr>
                    <w:jc w:val="center"/>
                    <w:rPr>
                      <w:color w:val="auto"/>
                      <w:kern w:val="0"/>
                      <w:szCs w:val="21"/>
                    </w:rPr>
                  </w:pPr>
                  <w:r>
                    <w:rPr>
                      <w:color w:val="auto"/>
                      <w:kern w:val="0"/>
                      <w:szCs w:val="21"/>
                    </w:rPr>
                    <w:t>夜间</w:t>
                  </w:r>
                </w:p>
              </w:tc>
              <w:tc>
                <w:tcPr>
                  <w:tcW w:w="516" w:type="pct"/>
                  <w:noWrap w:val="0"/>
                  <w:vAlign w:val="center"/>
                </w:tcPr>
                <w:p>
                  <w:pPr>
                    <w:jc w:val="center"/>
                    <w:rPr>
                      <w:color w:val="auto"/>
                      <w:kern w:val="0"/>
                      <w:szCs w:val="21"/>
                    </w:rPr>
                  </w:pPr>
                  <w:r>
                    <w:rPr>
                      <w:color w:val="auto"/>
                      <w:kern w:val="0"/>
                      <w:szCs w:val="21"/>
                    </w:rPr>
                    <w:t>昼间</w:t>
                  </w:r>
                </w:p>
              </w:tc>
              <w:tc>
                <w:tcPr>
                  <w:tcW w:w="513" w:type="pct"/>
                  <w:noWrap w:val="0"/>
                  <w:vAlign w:val="center"/>
                </w:tcPr>
                <w:p>
                  <w:pPr>
                    <w:jc w:val="center"/>
                    <w:rPr>
                      <w:color w:val="auto"/>
                      <w:kern w:val="0"/>
                      <w:szCs w:val="21"/>
                    </w:rPr>
                  </w:pPr>
                  <w:r>
                    <w:rPr>
                      <w:color w:val="auto"/>
                      <w:kern w:val="0"/>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4" w:hRule="atLeast"/>
                <w:jc w:val="center"/>
              </w:trPr>
              <w:tc>
                <w:tcPr>
                  <w:tcW w:w="616" w:type="pct"/>
                  <w:noWrap w:val="0"/>
                  <w:vAlign w:val="center"/>
                </w:tcPr>
                <w:p>
                  <w:pPr>
                    <w:jc w:val="center"/>
                    <w:rPr>
                      <w:color w:val="auto"/>
                      <w:kern w:val="0"/>
                      <w:szCs w:val="21"/>
                    </w:rPr>
                  </w:pPr>
                  <w:r>
                    <w:rPr>
                      <w:color w:val="auto"/>
                      <w:szCs w:val="21"/>
                    </w:rPr>
                    <w:t>装载机</w:t>
                  </w:r>
                </w:p>
              </w:tc>
              <w:tc>
                <w:tcPr>
                  <w:tcW w:w="535" w:type="pct"/>
                  <w:noWrap w:val="0"/>
                  <w:vAlign w:val="center"/>
                </w:tcPr>
                <w:p>
                  <w:pPr>
                    <w:jc w:val="center"/>
                    <w:rPr>
                      <w:color w:val="auto"/>
                      <w:kern w:val="0"/>
                      <w:szCs w:val="21"/>
                    </w:rPr>
                  </w:pPr>
                  <w:r>
                    <w:rPr>
                      <w:color w:val="auto"/>
                      <w:kern w:val="0"/>
                      <w:szCs w:val="21"/>
                    </w:rPr>
                    <w:t>90</w:t>
                  </w:r>
                </w:p>
              </w:tc>
              <w:tc>
                <w:tcPr>
                  <w:tcW w:w="303" w:type="pct"/>
                  <w:noWrap w:val="0"/>
                  <w:vAlign w:val="center"/>
                </w:tcPr>
                <w:p>
                  <w:pPr>
                    <w:jc w:val="center"/>
                    <w:rPr>
                      <w:color w:val="auto"/>
                      <w:kern w:val="0"/>
                      <w:szCs w:val="21"/>
                    </w:rPr>
                  </w:pPr>
                  <w:r>
                    <w:rPr>
                      <w:color w:val="auto"/>
                      <w:kern w:val="0"/>
                      <w:szCs w:val="21"/>
                    </w:rPr>
                    <w:t>84</w:t>
                  </w:r>
                </w:p>
              </w:tc>
              <w:tc>
                <w:tcPr>
                  <w:tcW w:w="306" w:type="pct"/>
                  <w:noWrap w:val="0"/>
                  <w:vAlign w:val="center"/>
                </w:tcPr>
                <w:p>
                  <w:pPr>
                    <w:jc w:val="center"/>
                    <w:rPr>
                      <w:color w:val="auto"/>
                      <w:kern w:val="0"/>
                      <w:szCs w:val="21"/>
                    </w:rPr>
                  </w:pPr>
                  <w:r>
                    <w:rPr>
                      <w:color w:val="auto"/>
                      <w:kern w:val="0"/>
                      <w:szCs w:val="21"/>
                    </w:rPr>
                    <w:t>78</w:t>
                  </w:r>
                </w:p>
              </w:tc>
              <w:tc>
                <w:tcPr>
                  <w:tcW w:w="306" w:type="pct"/>
                  <w:noWrap w:val="0"/>
                  <w:vAlign w:val="center"/>
                </w:tcPr>
                <w:p>
                  <w:pPr>
                    <w:jc w:val="center"/>
                    <w:rPr>
                      <w:color w:val="auto"/>
                      <w:kern w:val="0"/>
                      <w:szCs w:val="21"/>
                    </w:rPr>
                  </w:pPr>
                  <w:r>
                    <w:rPr>
                      <w:color w:val="auto"/>
                      <w:kern w:val="0"/>
                      <w:szCs w:val="21"/>
                    </w:rPr>
                    <w:t>72</w:t>
                  </w:r>
                </w:p>
              </w:tc>
              <w:tc>
                <w:tcPr>
                  <w:tcW w:w="336" w:type="pct"/>
                  <w:noWrap w:val="0"/>
                  <w:vAlign w:val="center"/>
                </w:tcPr>
                <w:p>
                  <w:pPr>
                    <w:jc w:val="center"/>
                    <w:rPr>
                      <w:color w:val="auto"/>
                      <w:kern w:val="0"/>
                      <w:szCs w:val="21"/>
                    </w:rPr>
                  </w:pPr>
                  <w:r>
                    <w:rPr>
                      <w:color w:val="auto"/>
                      <w:kern w:val="0"/>
                      <w:szCs w:val="21"/>
                    </w:rPr>
                    <w:t>68.4</w:t>
                  </w:r>
                </w:p>
              </w:tc>
              <w:tc>
                <w:tcPr>
                  <w:tcW w:w="274" w:type="pct"/>
                  <w:noWrap w:val="0"/>
                  <w:vAlign w:val="center"/>
                </w:tcPr>
                <w:p>
                  <w:pPr>
                    <w:jc w:val="center"/>
                    <w:rPr>
                      <w:color w:val="auto"/>
                      <w:kern w:val="0"/>
                      <w:szCs w:val="21"/>
                    </w:rPr>
                  </w:pPr>
                  <w:r>
                    <w:rPr>
                      <w:color w:val="auto"/>
                      <w:kern w:val="0"/>
                      <w:szCs w:val="21"/>
                    </w:rPr>
                    <w:t>66</w:t>
                  </w:r>
                </w:p>
              </w:tc>
              <w:tc>
                <w:tcPr>
                  <w:tcW w:w="228" w:type="pct"/>
                  <w:noWrap w:val="0"/>
                  <w:vAlign w:val="center"/>
                </w:tcPr>
                <w:p>
                  <w:pPr>
                    <w:jc w:val="center"/>
                    <w:rPr>
                      <w:color w:val="auto"/>
                      <w:kern w:val="0"/>
                      <w:szCs w:val="21"/>
                    </w:rPr>
                  </w:pPr>
                  <w:r>
                    <w:rPr>
                      <w:color w:val="auto"/>
                      <w:kern w:val="0"/>
                      <w:szCs w:val="21"/>
                    </w:rPr>
                    <w:t>64</w:t>
                  </w:r>
                </w:p>
              </w:tc>
              <w:tc>
                <w:tcPr>
                  <w:tcW w:w="310" w:type="pct"/>
                  <w:noWrap w:val="0"/>
                  <w:vAlign w:val="center"/>
                </w:tcPr>
                <w:p>
                  <w:pPr>
                    <w:jc w:val="center"/>
                    <w:rPr>
                      <w:color w:val="auto"/>
                      <w:kern w:val="0"/>
                      <w:szCs w:val="21"/>
                    </w:rPr>
                  </w:pPr>
                  <w:r>
                    <w:rPr>
                      <w:color w:val="auto"/>
                      <w:kern w:val="0"/>
                      <w:szCs w:val="21"/>
                    </w:rPr>
                    <w:t>60.5</w:t>
                  </w:r>
                </w:p>
              </w:tc>
              <w:tc>
                <w:tcPr>
                  <w:tcW w:w="382" w:type="pct"/>
                  <w:noWrap w:val="0"/>
                  <w:vAlign w:val="center"/>
                </w:tcPr>
                <w:p>
                  <w:pPr>
                    <w:jc w:val="center"/>
                    <w:rPr>
                      <w:color w:val="auto"/>
                      <w:kern w:val="0"/>
                      <w:szCs w:val="21"/>
                    </w:rPr>
                  </w:pPr>
                  <w:r>
                    <w:rPr>
                      <w:color w:val="auto"/>
                      <w:kern w:val="0"/>
                      <w:szCs w:val="21"/>
                    </w:rPr>
                    <w:t>70</w:t>
                  </w:r>
                </w:p>
              </w:tc>
              <w:tc>
                <w:tcPr>
                  <w:tcW w:w="368" w:type="pct"/>
                  <w:noWrap w:val="0"/>
                  <w:vAlign w:val="center"/>
                </w:tcPr>
                <w:p>
                  <w:pPr>
                    <w:jc w:val="center"/>
                    <w:rPr>
                      <w:color w:val="auto"/>
                      <w:kern w:val="0"/>
                      <w:szCs w:val="21"/>
                    </w:rPr>
                  </w:pPr>
                  <w:r>
                    <w:rPr>
                      <w:color w:val="auto"/>
                      <w:kern w:val="0"/>
                      <w:szCs w:val="21"/>
                    </w:rPr>
                    <w:t>55</w:t>
                  </w:r>
                </w:p>
              </w:tc>
              <w:tc>
                <w:tcPr>
                  <w:tcW w:w="516" w:type="pct"/>
                  <w:noWrap w:val="0"/>
                  <w:vAlign w:val="center"/>
                </w:tcPr>
                <w:p>
                  <w:pPr>
                    <w:jc w:val="center"/>
                    <w:rPr>
                      <w:color w:val="auto"/>
                      <w:kern w:val="0"/>
                      <w:szCs w:val="21"/>
                    </w:rPr>
                  </w:pPr>
                  <w:r>
                    <w:rPr>
                      <w:color w:val="auto"/>
                      <w:kern w:val="0"/>
                      <w:szCs w:val="21"/>
                    </w:rPr>
                    <w:t>60</w:t>
                  </w:r>
                </w:p>
              </w:tc>
              <w:tc>
                <w:tcPr>
                  <w:tcW w:w="513" w:type="pct"/>
                  <w:noWrap w:val="0"/>
                  <w:vAlign w:val="center"/>
                </w:tcPr>
                <w:p>
                  <w:pPr>
                    <w:jc w:val="center"/>
                    <w:rPr>
                      <w:color w:val="auto"/>
                      <w:kern w:val="0"/>
                      <w:szCs w:val="21"/>
                    </w:rPr>
                  </w:pPr>
                  <w:r>
                    <w:rPr>
                      <w:color w:val="auto"/>
                      <w:kern w:val="0"/>
                      <w:szCs w:val="21"/>
                    </w:rPr>
                    <w:t>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4" w:hRule="atLeast"/>
                <w:jc w:val="center"/>
              </w:trPr>
              <w:tc>
                <w:tcPr>
                  <w:tcW w:w="616" w:type="pct"/>
                  <w:noWrap w:val="0"/>
                  <w:vAlign w:val="center"/>
                </w:tcPr>
                <w:p>
                  <w:pPr>
                    <w:jc w:val="center"/>
                    <w:rPr>
                      <w:color w:val="auto"/>
                      <w:kern w:val="0"/>
                      <w:szCs w:val="21"/>
                    </w:rPr>
                  </w:pPr>
                  <w:r>
                    <w:rPr>
                      <w:color w:val="auto"/>
                      <w:kern w:val="24"/>
                      <w:szCs w:val="21"/>
                    </w:rPr>
                    <w:t>推土机</w:t>
                  </w:r>
                </w:p>
              </w:tc>
              <w:tc>
                <w:tcPr>
                  <w:tcW w:w="535" w:type="pct"/>
                  <w:noWrap w:val="0"/>
                  <w:vAlign w:val="center"/>
                </w:tcPr>
                <w:p>
                  <w:pPr>
                    <w:jc w:val="center"/>
                    <w:rPr>
                      <w:color w:val="auto"/>
                      <w:kern w:val="0"/>
                      <w:szCs w:val="21"/>
                    </w:rPr>
                  </w:pPr>
                  <w:r>
                    <w:rPr>
                      <w:color w:val="auto"/>
                      <w:kern w:val="0"/>
                      <w:szCs w:val="21"/>
                    </w:rPr>
                    <w:t>86</w:t>
                  </w:r>
                </w:p>
              </w:tc>
              <w:tc>
                <w:tcPr>
                  <w:tcW w:w="303" w:type="pct"/>
                  <w:noWrap w:val="0"/>
                  <w:vAlign w:val="center"/>
                </w:tcPr>
                <w:p>
                  <w:pPr>
                    <w:jc w:val="center"/>
                    <w:rPr>
                      <w:color w:val="auto"/>
                      <w:kern w:val="0"/>
                      <w:szCs w:val="21"/>
                    </w:rPr>
                  </w:pPr>
                  <w:r>
                    <w:rPr>
                      <w:color w:val="auto"/>
                      <w:kern w:val="0"/>
                      <w:szCs w:val="21"/>
                    </w:rPr>
                    <w:t>80</w:t>
                  </w:r>
                </w:p>
              </w:tc>
              <w:tc>
                <w:tcPr>
                  <w:tcW w:w="306" w:type="pct"/>
                  <w:noWrap w:val="0"/>
                  <w:vAlign w:val="center"/>
                </w:tcPr>
                <w:p>
                  <w:pPr>
                    <w:jc w:val="center"/>
                    <w:rPr>
                      <w:color w:val="auto"/>
                      <w:kern w:val="0"/>
                      <w:szCs w:val="21"/>
                    </w:rPr>
                  </w:pPr>
                  <w:r>
                    <w:rPr>
                      <w:color w:val="auto"/>
                      <w:kern w:val="0"/>
                      <w:szCs w:val="21"/>
                    </w:rPr>
                    <w:t>74</w:t>
                  </w:r>
                </w:p>
              </w:tc>
              <w:tc>
                <w:tcPr>
                  <w:tcW w:w="306" w:type="pct"/>
                  <w:noWrap w:val="0"/>
                  <w:vAlign w:val="center"/>
                </w:tcPr>
                <w:p>
                  <w:pPr>
                    <w:jc w:val="center"/>
                    <w:rPr>
                      <w:color w:val="auto"/>
                      <w:kern w:val="0"/>
                      <w:szCs w:val="21"/>
                    </w:rPr>
                  </w:pPr>
                  <w:r>
                    <w:rPr>
                      <w:color w:val="auto"/>
                      <w:kern w:val="0"/>
                      <w:szCs w:val="21"/>
                    </w:rPr>
                    <w:t>68</w:t>
                  </w:r>
                </w:p>
              </w:tc>
              <w:tc>
                <w:tcPr>
                  <w:tcW w:w="336" w:type="pct"/>
                  <w:noWrap w:val="0"/>
                  <w:vAlign w:val="center"/>
                </w:tcPr>
                <w:p>
                  <w:pPr>
                    <w:jc w:val="center"/>
                    <w:rPr>
                      <w:color w:val="auto"/>
                      <w:kern w:val="0"/>
                      <w:szCs w:val="21"/>
                    </w:rPr>
                  </w:pPr>
                  <w:r>
                    <w:rPr>
                      <w:color w:val="auto"/>
                      <w:kern w:val="0"/>
                      <w:szCs w:val="21"/>
                    </w:rPr>
                    <w:t>64.4</w:t>
                  </w:r>
                </w:p>
              </w:tc>
              <w:tc>
                <w:tcPr>
                  <w:tcW w:w="274" w:type="pct"/>
                  <w:noWrap w:val="0"/>
                  <w:vAlign w:val="center"/>
                </w:tcPr>
                <w:p>
                  <w:pPr>
                    <w:jc w:val="center"/>
                    <w:rPr>
                      <w:color w:val="auto"/>
                      <w:kern w:val="0"/>
                      <w:szCs w:val="21"/>
                    </w:rPr>
                  </w:pPr>
                  <w:r>
                    <w:rPr>
                      <w:color w:val="auto"/>
                      <w:kern w:val="0"/>
                      <w:szCs w:val="21"/>
                    </w:rPr>
                    <w:t>62</w:t>
                  </w:r>
                </w:p>
              </w:tc>
              <w:tc>
                <w:tcPr>
                  <w:tcW w:w="228" w:type="pct"/>
                  <w:noWrap w:val="0"/>
                  <w:vAlign w:val="center"/>
                </w:tcPr>
                <w:p>
                  <w:pPr>
                    <w:jc w:val="center"/>
                    <w:rPr>
                      <w:color w:val="auto"/>
                      <w:kern w:val="0"/>
                      <w:szCs w:val="21"/>
                    </w:rPr>
                  </w:pPr>
                  <w:r>
                    <w:rPr>
                      <w:color w:val="auto"/>
                      <w:kern w:val="0"/>
                      <w:szCs w:val="21"/>
                    </w:rPr>
                    <w:t>60</w:t>
                  </w:r>
                </w:p>
              </w:tc>
              <w:tc>
                <w:tcPr>
                  <w:tcW w:w="310" w:type="pct"/>
                  <w:noWrap w:val="0"/>
                  <w:vAlign w:val="center"/>
                </w:tcPr>
                <w:p>
                  <w:pPr>
                    <w:jc w:val="center"/>
                    <w:rPr>
                      <w:color w:val="auto"/>
                      <w:kern w:val="0"/>
                      <w:szCs w:val="21"/>
                    </w:rPr>
                  </w:pPr>
                  <w:r>
                    <w:rPr>
                      <w:color w:val="auto"/>
                      <w:kern w:val="0"/>
                      <w:szCs w:val="21"/>
                    </w:rPr>
                    <w:t>56.5</w:t>
                  </w:r>
                </w:p>
              </w:tc>
              <w:tc>
                <w:tcPr>
                  <w:tcW w:w="382" w:type="pct"/>
                  <w:noWrap w:val="0"/>
                  <w:vAlign w:val="center"/>
                </w:tcPr>
                <w:p>
                  <w:pPr>
                    <w:jc w:val="center"/>
                    <w:rPr>
                      <w:color w:val="auto"/>
                      <w:kern w:val="0"/>
                      <w:szCs w:val="21"/>
                    </w:rPr>
                  </w:pPr>
                  <w:r>
                    <w:rPr>
                      <w:color w:val="auto"/>
                      <w:kern w:val="0"/>
                      <w:szCs w:val="21"/>
                    </w:rPr>
                    <w:t>70</w:t>
                  </w:r>
                </w:p>
              </w:tc>
              <w:tc>
                <w:tcPr>
                  <w:tcW w:w="368" w:type="pct"/>
                  <w:noWrap w:val="0"/>
                  <w:vAlign w:val="center"/>
                </w:tcPr>
                <w:p>
                  <w:pPr>
                    <w:jc w:val="center"/>
                    <w:rPr>
                      <w:color w:val="auto"/>
                      <w:kern w:val="0"/>
                      <w:szCs w:val="21"/>
                    </w:rPr>
                  </w:pPr>
                  <w:r>
                    <w:rPr>
                      <w:color w:val="auto"/>
                      <w:kern w:val="0"/>
                      <w:szCs w:val="21"/>
                    </w:rPr>
                    <w:t>55</w:t>
                  </w:r>
                </w:p>
              </w:tc>
              <w:tc>
                <w:tcPr>
                  <w:tcW w:w="516" w:type="pct"/>
                  <w:noWrap w:val="0"/>
                  <w:vAlign w:val="center"/>
                </w:tcPr>
                <w:p>
                  <w:pPr>
                    <w:jc w:val="center"/>
                    <w:rPr>
                      <w:color w:val="auto"/>
                      <w:kern w:val="0"/>
                      <w:szCs w:val="21"/>
                    </w:rPr>
                  </w:pPr>
                  <w:r>
                    <w:rPr>
                      <w:color w:val="auto"/>
                      <w:kern w:val="0"/>
                      <w:szCs w:val="21"/>
                    </w:rPr>
                    <w:t>40</w:t>
                  </w:r>
                </w:p>
              </w:tc>
              <w:tc>
                <w:tcPr>
                  <w:tcW w:w="513" w:type="pct"/>
                  <w:noWrap w:val="0"/>
                  <w:vAlign w:val="center"/>
                </w:tcPr>
                <w:p>
                  <w:pPr>
                    <w:jc w:val="center"/>
                    <w:rPr>
                      <w:color w:val="auto"/>
                      <w:kern w:val="0"/>
                      <w:szCs w:val="21"/>
                    </w:rPr>
                  </w:pPr>
                  <w:r>
                    <w:rPr>
                      <w:color w:val="auto"/>
                      <w:kern w:val="0"/>
                      <w:szCs w:val="21"/>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4" w:hRule="atLeast"/>
                <w:jc w:val="center"/>
              </w:trPr>
              <w:tc>
                <w:tcPr>
                  <w:tcW w:w="616" w:type="pct"/>
                  <w:noWrap w:val="0"/>
                  <w:vAlign w:val="center"/>
                </w:tcPr>
                <w:p>
                  <w:pPr>
                    <w:jc w:val="center"/>
                    <w:rPr>
                      <w:color w:val="auto"/>
                      <w:kern w:val="0"/>
                      <w:szCs w:val="21"/>
                    </w:rPr>
                  </w:pPr>
                  <w:r>
                    <w:rPr>
                      <w:color w:val="auto"/>
                      <w:szCs w:val="21"/>
                    </w:rPr>
                    <w:t>压路机</w:t>
                  </w:r>
                </w:p>
              </w:tc>
              <w:tc>
                <w:tcPr>
                  <w:tcW w:w="535" w:type="pct"/>
                  <w:noWrap w:val="0"/>
                  <w:vAlign w:val="center"/>
                </w:tcPr>
                <w:p>
                  <w:pPr>
                    <w:jc w:val="center"/>
                    <w:rPr>
                      <w:color w:val="auto"/>
                      <w:kern w:val="0"/>
                      <w:szCs w:val="21"/>
                    </w:rPr>
                  </w:pPr>
                  <w:r>
                    <w:rPr>
                      <w:color w:val="auto"/>
                      <w:kern w:val="0"/>
                      <w:szCs w:val="21"/>
                    </w:rPr>
                    <w:t>86</w:t>
                  </w:r>
                </w:p>
              </w:tc>
              <w:tc>
                <w:tcPr>
                  <w:tcW w:w="303" w:type="pct"/>
                  <w:noWrap w:val="0"/>
                  <w:vAlign w:val="center"/>
                </w:tcPr>
                <w:p>
                  <w:pPr>
                    <w:jc w:val="center"/>
                    <w:rPr>
                      <w:color w:val="auto"/>
                      <w:kern w:val="0"/>
                      <w:szCs w:val="21"/>
                    </w:rPr>
                  </w:pPr>
                  <w:r>
                    <w:rPr>
                      <w:color w:val="auto"/>
                      <w:kern w:val="0"/>
                      <w:szCs w:val="21"/>
                    </w:rPr>
                    <w:t>80</w:t>
                  </w:r>
                </w:p>
              </w:tc>
              <w:tc>
                <w:tcPr>
                  <w:tcW w:w="306" w:type="pct"/>
                  <w:noWrap w:val="0"/>
                  <w:vAlign w:val="center"/>
                </w:tcPr>
                <w:p>
                  <w:pPr>
                    <w:jc w:val="center"/>
                    <w:rPr>
                      <w:color w:val="auto"/>
                      <w:kern w:val="0"/>
                      <w:szCs w:val="21"/>
                    </w:rPr>
                  </w:pPr>
                  <w:r>
                    <w:rPr>
                      <w:color w:val="auto"/>
                      <w:kern w:val="0"/>
                      <w:szCs w:val="21"/>
                    </w:rPr>
                    <w:t>74</w:t>
                  </w:r>
                </w:p>
              </w:tc>
              <w:tc>
                <w:tcPr>
                  <w:tcW w:w="306" w:type="pct"/>
                  <w:noWrap w:val="0"/>
                  <w:vAlign w:val="center"/>
                </w:tcPr>
                <w:p>
                  <w:pPr>
                    <w:jc w:val="center"/>
                    <w:rPr>
                      <w:color w:val="auto"/>
                      <w:kern w:val="0"/>
                      <w:szCs w:val="21"/>
                    </w:rPr>
                  </w:pPr>
                  <w:r>
                    <w:rPr>
                      <w:color w:val="auto"/>
                      <w:kern w:val="0"/>
                      <w:szCs w:val="21"/>
                    </w:rPr>
                    <w:t>68</w:t>
                  </w:r>
                </w:p>
              </w:tc>
              <w:tc>
                <w:tcPr>
                  <w:tcW w:w="336" w:type="pct"/>
                  <w:noWrap w:val="0"/>
                  <w:vAlign w:val="center"/>
                </w:tcPr>
                <w:p>
                  <w:pPr>
                    <w:jc w:val="center"/>
                    <w:rPr>
                      <w:color w:val="auto"/>
                      <w:kern w:val="0"/>
                      <w:szCs w:val="21"/>
                    </w:rPr>
                  </w:pPr>
                  <w:r>
                    <w:rPr>
                      <w:color w:val="auto"/>
                      <w:kern w:val="0"/>
                      <w:szCs w:val="21"/>
                    </w:rPr>
                    <w:t>64.4</w:t>
                  </w:r>
                </w:p>
              </w:tc>
              <w:tc>
                <w:tcPr>
                  <w:tcW w:w="274" w:type="pct"/>
                  <w:noWrap w:val="0"/>
                  <w:vAlign w:val="center"/>
                </w:tcPr>
                <w:p>
                  <w:pPr>
                    <w:jc w:val="center"/>
                    <w:rPr>
                      <w:color w:val="auto"/>
                      <w:kern w:val="0"/>
                      <w:szCs w:val="21"/>
                    </w:rPr>
                  </w:pPr>
                  <w:r>
                    <w:rPr>
                      <w:color w:val="auto"/>
                      <w:kern w:val="0"/>
                      <w:szCs w:val="21"/>
                    </w:rPr>
                    <w:t>62</w:t>
                  </w:r>
                </w:p>
              </w:tc>
              <w:tc>
                <w:tcPr>
                  <w:tcW w:w="228" w:type="pct"/>
                  <w:noWrap w:val="0"/>
                  <w:vAlign w:val="center"/>
                </w:tcPr>
                <w:p>
                  <w:pPr>
                    <w:jc w:val="center"/>
                    <w:rPr>
                      <w:color w:val="auto"/>
                      <w:kern w:val="0"/>
                      <w:szCs w:val="21"/>
                    </w:rPr>
                  </w:pPr>
                  <w:r>
                    <w:rPr>
                      <w:color w:val="auto"/>
                      <w:kern w:val="0"/>
                      <w:szCs w:val="21"/>
                    </w:rPr>
                    <w:t>60</w:t>
                  </w:r>
                </w:p>
              </w:tc>
              <w:tc>
                <w:tcPr>
                  <w:tcW w:w="310" w:type="pct"/>
                  <w:noWrap w:val="0"/>
                  <w:vAlign w:val="center"/>
                </w:tcPr>
                <w:p>
                  <w:pPr>
                    <w:jc w:val="center"/>
                    <w:rPr>
                      <w:color w:val="auto"/>
                      <w:kern w:val="0"/>
                      <w:szCs w:val="21"/>
                    </w:rPr>
                  </w:pPr>
                  <w:r>
                    <w:rPr>
                      <w:color w:val="auto"/>
                      <w:kern w:val="0"/>
                      <w:szCs w:val="21"/>
                    </w:rPr>
                    <w:t>56.5</w:t>
                  </w:r>
                </w:p>
              </w:tc>
              <w:tc>
                <w:tcPr>
                  <w:tcW w:w="382" w:type="pct"/>
                  <w:noWrap w:val="0"/>
                  <w:vAlign w:val="center"/>
                </w:tcPr>
                <w:p>
                  <w:pPr>
                    <w:jc w:val="center"/>
                    <w:rPr>
                      <w:color w:val="auto"/>
                      <w:kern w:val="0"/>
                      <w:szCs w:val="21"/>
                    </w:rPr>
                  </w:pPr>
                  <w:r>
                    <w:rPr>
                      <w:color w:val="auto"/>
                      <w:kern w:val="0"/>
                      <w:szCs w:val="21"/>
                    </w:rPr>
                    <w:t>70</w:t>
                  </w:r>
                </w:p>
              </w:tc>
              <w:tc>
                <w:tcPr>
                  <w:tcW w:w="368" w:type="pct"/>
                  <w:noWrap w:val="0"/>
                  <w:vAlign w:val="center"/>
                </w:tcPr>
                <w:p>
                  <w:pPr>
                    <w:jc w:val="center"/>
                    <w:rPr>
                      <w:color w:val="auto"/>
                      <w:kern w:val="0"/>
                      <w:szCs w:val="21"/>
                    </w:rPr>
                  </w:pPr>
                  <w:r>
                    <w:rPr>
                      <w:color w:val="auto"/>
                      <w:kern w:val="0"/>
                      <w:szCs w:val="21"/>
                    </w:rPr>
                    <w:t>55</w:t>
                  </w:r>
                </w:p>
              </w:tc>
              <w:tc>
                <w:tcPr>
                  <w:tcW w:w="516" w:type="pct"/>
                  <w:noWrap w:val="0"/>
                  <w:vAlign w:val="center"/>
                </w:tcPr>
                <w:p>
                  <w:pPr>
                    <w:jc w:val="center"/>
                    <w:rPr>
                      <w:color w:val="auto"/>
                      <w:kern w:val="0"/>
                      <w:szCs w:val="21"/>
                    </w:rPr>
                  </w:pPr>
                  <w:r>
                    <w:rPr>
                      <w:color w:val="auto"/>
                      <w:kern w:val="0"/>
                      <w:szCs w:val="21"/>
                    </w:rPr>
                    <w:t>40</w:t>
                  </w:r>
                </w:p>
              </w:tc>
              <w:tc>
                <w:tcPr>
                  <w:tcW w:w="513" w:type="pct"/>
                  <w:noWrap w:val="0"/>
                  <w:vAlign w:val="center"/>
                </w:tcPr>
                <w:p>
                  <w:pPr>
                    <w:jc w:val="center"/>
                    <w:rPr>
                      <w:color w:val="auto"/>
                      <w:kern w:val="0"/>
                      <w:szCs w:val="21"/>
                    </w:rPr>
                  </w:pPr>
                  <w:r>
                    <w:rPr>
                      <w:color w:val="auto"/>
                      <w:kern w:val="0"/>
                      <w:szCs w:val="21"/>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4" w:hRule="atLeast"/>
                <w:jc w:val="center"/>
              </w:trPr>
              <w:tc>
                <w:tcPr>
                  <w:tcW w:w="616" w:type="pct"/>
                  <w:noWrap w:val="0"/>
                  <w:vAlign w:val="center"/>
                </w:tcPr>
                <w:p>
                  <w:pPr>
                    <w:jc w:val="center"/>
                    <w:rPr>
                      <w:color w:val="auto"/>
                      <w:kern w:val="0"/>
                      <w:szCs w:val="21"/>
                    </w:rPr>
                  </w:pPr>
                  <w:r>
                    <w:rPr>
                      <w:color w:val="auto"/>
                      <w:kern w:val="24"/>
                      <w:szCs w:val="21"/>
                    </w:rPr>
                    <w:t>挖掘机</w:t>
                  </w:r>
                </w:p>
              </w:tc>
              <w:tc>
                <w:tcPr>
                  <w:tcW w:w="535" w:type="pct"/>
                  <w:noWrap w:val="0"/>
                  <w:vAlign w:val="center"/>
                </w:tcPr>
                <w:p>
                  <w:pPr>
                    <w:jc w:val="center"/>
                    <w:rPr>
                      <w:color w:val="auto"/>
                      <w:kern w:val="0"/>
                      <w:szCs w:val="21"/>
                    </w:rPr>
                  </w:pPr>
                  <w:r>
                    <w:rPr>
                      <w:color w:val="auto"/>
                      <w:kern w:val="0"/>
                      <w:szCs w:val="21"/>
                    </w:rPr>
                    <w:t>84</w:t>
                  </w:r>
                </w:p>
              </w:tc>
              <w:tc>
                <w:tcPr>
                  <w:tcW w:w="303" w:type="pct"/>
                  <w:noWrap w:val="0"/>
                  <w:vAlign w:val="center"/>
                </w:tcPr>
                <w:p>
                  <w:pPr>
                    <w:jc w:val="center"/>
                    <w:rPr>
                      <w:color w:val="auto"/>
                      <w:kern w:val="0"/>
                      <w:szCs w:val="21"/>
                    </w:rPr>
                  </w:pPr>
                  <w:r>
                    <w:rPr>
                      <w:color w:val="auto"/>
                      <w:kern w:val="0"/>
                      <w:szCs w:val="21"/>
                    </w:rPr>
                    <w:t>78</w:t>
                  </w:r>
                </w:p>
              </w:tc>
              <w:tc>
                <w:tcPr>
                  <w:tcW w:w="306" w:type="pct"/>
                  <w:noWrap w:val="0"/>
                  <w:vAlign w:val="center"/>
                </w:tcPr>
                <w:p>
                  <w:pPr>
                    <w:jc w:val="center"/>
                    <w:rPr>
                      <w:color w:val="auto"/>
                      <w:kern w:val="0"/>
                      <w:szCs w:val="21"/>
                    </w:rPr>
                  </w:pPr>
                  <w:r>
                    <w:rPr>
                      <w:color w:val="auto"/>
                      <w:kern w:val="0"/>
                      <w:szCs w:val="21"/>
                    </w:rPr>
                    <w:t>72</w:t>
                  </w:r>
                </w:p>
              </w:tc>
              <w:tc>
                <w:tcPr>
                  <w:tcW w:w="306" w:type="pct"/>
                  <w:noWrap w:val="0"/>
                  <w:vAlign w:val="center"/>
                </w:tcPr>
                <w:p>
                  <w:pPr>
                    <w:jc w:val="center"/>
                    <w:rPr>
                      <w:color w:val="auto"/>
                      <w:kern w:val="0"/>
                      <w:szCs w:val="21"/>
                    </w:rPr>
                  </w:pPr>
                  <w:r>
                    <w:rPr>
                      <w:color w:val="auto"/>
                      <w:kern w:val="0"/>
                      <w:szCs w:val="21"/>
                    </w:rPr>
                    <w:t>66</w:t>
                  </w:r>
                </w:p>
              </w:tc>
              <w:tc>
                <w:tcPr>
                  <w:tcW w:w="336" w:type="pct"/>
                  <w:noWrap w:val="0"/>
                  <w:vAlign w:val="center"/>
                </w:tcPr>
                <w:p>
                  <w:pPr>
                    <w:jc w:val="center"/>
                    <w:rPr>
                      <w:color w:val="auto"/>
                      <w:kern w:val="0"/>
                      <w:szCs w:val="21"/>
                    </w:rPr>
                  </w:pPr>
                  <w:r>
                    <w:rPr>
                      <w:color w:val="auto"/>
                      <w:kern w:val="0"/>
                      <w:szCs w:val="21"/>
                    </w:rPr>
                    <w:t>62.4</w:t>
                  </w:r>
                </w:p>
              </w:tc>
              <w:tc>
                <w:tcPr>
                  <w:tcW w:w="274" w:type="pct"/>
                  <w:noWrap w:val="0"/>
                  <w:vAlign w:val="center"/>
                </w:tcPr>
                <w:p>
                  <w:pPr>
                    <w:jc w:val="center"/>
                    <w:rPr>
                      <w:color w:val="auto"/>
                      <w:kern w:val="0"/>
                      <w:szCs w:val="21"/>
                    </w:rPr>
                  </w:pPr>
                  <w:r>
                    <w:rPr>
                      <w:color w:val="auto"/>
                      <w:kern w:val="0"/>
                      <w:szCs w:val="21"/>
                    </w:rPr>
                    <w:t>60</w:t>
                  </w:r>
                </w:p>
              </w:tc>
              <w:tc>
                <w:tcPr>
                  <w:tcW w:w="228" w:type="pct"/>
                  <w:noWrap w:val="0"/>
                  <w:vAlign w:val="center"/>
                </w:tcPr>
                <w:p>
                  <w:pPr>
                    <w:jc w:val="center"/>
                    <w:rPr>
                      <w:color w:val="auto"/>
                      <w:kern w:val="0"/>
                      <w:szCs w:val="21"/>
                    </w:rPr>
                  </w:pPr>
                  <w:r>
                    <w:rPr>
                      <w:color w:val="auto"/>
                      <w:kern w:val="0"/>
                      <w:szCs w:val="21"/>
                    </w:rPr>
                    <w:t>58</w:t>
                  </w:r>
                </w:p>
              </w:tc>
              <w:tc>
                <w:tcPr>
                  <w:tcW w:w="310" w:type="pct"/>
                  <w:noWrap w:val="0"/>
                  <w:vAlign w:val="center"/>
                </w:tcPr>
                <w:p>
                  <w:pPr>
                    <w:jc w:val="center"/>
                    <w:rPr>
                      <w:color w:val="auto"/>
                      <w:kern w:val="0"/>
                      <w:szCs w:val="21"/>
                    </w:rPr>
                  </w:pPr>
                  <w:r>
                    <w:rPr>
                      <w:color w:val="auto"/>
                      <w:kern w:val="0"/>
                      <w:szCs w:val="21"/>
                    </w:rPr>
                    <w:t>54.5</w:t>
                  </w:r>
                </w:p>
              </w:tc>
              <w:tc>
                <w:tcPr>
                  <w:tcW w:w="382" w:type="pct"/>
                  <w:noWrap w:val="0"/>
                  <w:vAlign w:val="center"/>
                </w:tcPr>
                <w:p>
                  <w:pPr>
                    <w:jc w:val="center"/>
                    <w:rPr>
                      <w:color w:val="auto"/>
                      <w:kern w:val="0"/>
                      <w:szCs w:val="21"/>
                    </w:rPr>
                  </w:pPr>
                  <w:r>
                    <w:rPr>
                      <w:color w:val="auto"/>
                      <w:kern w:val="0"/>
                      <w:szCs w:val="21"/>
                    </w:rPr>
                    <w:t>70</w:t>
                  </w:r>
                </w:p>
              </w:tc>
              <w:tc>
                <w:tcPr>
                  <w:tcW w:w="368" w:type="pct"/>
                  <w:noWrap w:val="0"/>
                  <w:vAlign w:val="center"/>
                </w:tcPr>
                <w:p>
                  <w:pPr>
                    <w:jc w:val="center"/>
                    <w:rPr>
                      <w:color w:val="auto"/>
                      <w:kern w:val="0"/>
                      <w:szCs w:val="21"/>
                    </w:rPr>
                  </w:pPr>
                  <w:r>
                    <w:rPr>
                      <w:color w:val="auto"/>
                      <w:kern w:val="0"/>
                      <w:szCs w:val="21"/>
                    </w:rPr>
                    <w:t>55</w:t>
                  </w:r>
                </w:p>
              </w:tc>
              <w:tc>
                <w:tcPr>
                  <w:tcW w:w="516" w:type="pct"/>
                  <w:noWrap w:val="0"/>
                  <w:vAlign w:val="center"/>
                </w:tcPr>
                <w:p>
                  <w:pPr>
                    <w:jc w:val="center"/>
                    <w:rPr>
                      <w:color w:val="auto"/>
                      <w:kern w:val="0"/>
                      <w:szCs w:val="21"/>
                    </w:rPr>
                  </w:pPr>
                  <w:r>
                    <w:rPr>
                      <w:color w:val="auto"/>
                      <w:kern w:val="0"/>
                      <w:szCs w:val="21"/>
                    </w:rPr>
                    <w:t>40</w:t>
                  </w:r>
                </w:p>
              </w:tc>
              <w:tc>
                <w:tcPr>
                  <w:tcW w:w="513" w:type="pct"/>
                  <w:noWrap w:val="0"/>
                  <w:vAlign w:val="center"/>
                </w:tcPr>
                <w:p>
                  <w:pPr>
                    <w:jc w:val="center"/>
                    <w:rPr>
                      <w:color w:val="auto"/>
                      <w:kern w:val="0"/>
                      <w:szCs w:val="21"/>
                    </w:rPr>
                  </w:pPr>
                  <w:r>
                    <w:rPr>
                      <w:color w:val="auto"/>
                      <w:kern w:val="0"/>
                      <w:szCs w:val="21"/>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94" w:hRule="atLeast"/>
                <w:jc w:val="center"/>
              </w:trPr>
              <w:tc>
                <w:tcPr>
                  <w:tcW w:w="616" w:type="pct"/>
                  <w:noWrap w:val="0"/>
                  <w:vAlign w:val="center"/>
                </w:tcPr>
                <w:p>
                  <w:pPr>
                    <w:jc w:val="center"/>
                    <w:rPr>
                      <w:color w:val="auto"/>
                      <w:kern w:val="0"/>
                      <w:szCs w:val="21"/>
                    </w:rPr>
                  </w:pPr>
                  <w:r>
                    <w:rPr>
                      <w:color w:val="auto"/>
                      <w:kern w:val="24"/>
                      <w:szCs w:val="21"/>
                    </w:rPr>
                    <w:t>摊铺机</w:t>
                  </w:r>
                </w:p>
              </w:tc>
              <w:tc>
                <w:tcPr>
                  <w:tcW w:w="535" w:type="pct"/>
                  <w:noWrap w:val="0"/>
                  <w:vAlign w:val="center"/>
                </w:tcPr>
                <w:p>
                  <w:pPr>
                    <w:jc w:val="center"/>
                    <w:rPr>
                      <w:color w:val="auto"/>
                      <w:kern w:val="0"/>
                      <w:szCs w:val="21"/>
                    </w:rPr>
                  </w:pPr>
                  <w:r>
                    <w:rPr>
                      <w:color w:val="auto"/>
                      <w:kern w:val="0"/>
                      <w:szCs w:val="21"/>
                    </w:rPr>
                    <w:t>87</w:t>
                  </w:r>
                </w:p>
              </w:tc>
              <w:tc>
                <w:tcPr>
                  <w:tcW w:w="303" w:type="pct"/>
                  <w:noWrap w:val="0"/>
                  <w:vAlign w:val="center"/>
                </w:tcPr>
                <w:p>
                  <w:pPr>
                    <w:jc w:val="center"/>
                    <w:rPr>
                      <w:color w:val="auto"/>
                      <w:kern w:val="0"/>
                      <w:szCs w:val="21"/>
                    </w:rPr>
                  </w:pPr>
                  <w:r>
                    <w:rPr>
                      <w:color w:val="auto"/>
                      <w:kern w:val="0"/>
                      <w:szCs w:val="21"/>
                    </w:rPr>
                    <w:t>81</w:t>
                  </w:r>
                </w:p>
              </w:tc>
              <w:tc>
                <w:tcPr>
                  <w:tcW w:w="306" w:type="pct"/>
                  <w:noWrap w:val="0"/>
                  <w:vAlign w:val="center"/>
                </w:tcPr>
                <w:p>
                  <w:pPr>
                    <w:jc w:val="center"/>
                    <w:rPr>
                      <w:color w:val="auto"/>
                      <w:kern w:val="0"/>
                      <w:szCs w:val="21"/>
                    </w:rPr>
                  </w:pPr>
                  <w:r>
                    <w:rPr>
                      <w:color w:val="auto"/>
                      <w:kern w:val="0"/>
                      <w:szCs w:val="21"/>
                    </w:rPr>
                    <w:t>75</w:t>
                  </w:r>
                </w:p>
              </w:tc>
              <w:tc>
                <w:tcPr>
                  <w:tcW w:w="306" w:type="pct"/>
                  <w:noWrap w:val="0"/>
                  <w:vAlign w:val="center"/>
                </w:tcPr>
                <w:p>
                  <w:pPr>
                    <w:jc w:val="center"/>
                    <w:rPr>
                      <w:color w:val="auto"/>
                      <w:kern w:val="0"/>
                      <w:szCs w:val="21"/>
                    </w:rPr>
                  </w:pPr>
                  <w:r>
                    <w:rPr>
                      <w:color w:val="auto"/>
                      <w:kern w:val="0"/>
                      <w:szCs w:val="21"/>
                    </w:rPr>
                    <w:t>69</w:t>
                  </w:r>
                </w:p>
              </w:tc>
              <w:tc>
                <w:tcPr>
                  <w:tcW w:w="336" w:type="pct"/>
                  <w:noWrap w:val="0"/>
                  <w:vAlign w:val="center"/>
                </w:tcPr>
                <w:p>
                  <w:pPr>
                    <w:jc w:val="center"/>
                    <w:rPr>
                      <w:color w:val="auto"/>
                      <w:kern w:val="0"/>
                      <w:szCs w:val="21"/>
                    </w:rPr>
                  </w:pPr>
                  <w:r>
                    <w:rPr>
                      <w:color w:val="auto"/>
                      <w:kern w:val="0"/>
                      <w:szCs w:val="21"/>
                    </w:rPr>
                    <w:t>65.4</w:t>
                  </w:r>
                </w:p>
              </w:tc>
              <w:tc>
                <w:tcPr>
                  <w:tcW w:w="274" w:type="pct"/>
                  <w:noWrap w:val="0"/>
                  <w:vAlign w:val="center"/>
                </w:tcPr>
                <w:p>
                  <w:pPr>
                    <w:jc w:val="center"/>
                    <w:rPr>
                      <w:color w:val="auto"/>
                      <w:kern w:val="0"/>
                      <w:szCs w:val="21"/>
                    </w:rPr>
                  </w:pPr>
                  <w:r>
                    <w:rPr>
                      <w:color w:val="auto"/>
                      <w:kern w:val="0"/>
                      <w:szCs w:val="21"/>
                    </w:rPr>
                    <w:t>63</w:t>
                  </w:r>
                </w:p>
              </w:tc>
              <w:tc>
                <w:tcPr>
                  <w:tcW w:w="228" w:type="pct"/>
                  <w:noWrap w:val="0"/>
                  <w:vAlign w:val="center"/>
                </w:tcPr>
                <w:p>
                  <w:pPr>
                    <w:jc w:val="center"/>
                    <w:rPr>
                      <w:color w:val="auto"/>
                      <w:kern w:val="0"/>
                      <w:szCs w:val="21"/>
                    </w:rPr>
                  </w:pPr>
                  <w:r>
                    <w:rPr>
                      <w:color w:val="auto"/>
                      <w:kern w:val="0"/>
                      <w:szCs w:val="21"/>
                    </w:rPr>
                    <w:t>61</w:t>
                  </w:r>
                </w:p>
              </w:tc>
              <w:tc>
                <w:tcPr>
                  <w:tcW w:w="310" w:type="pct"/>
                  <w:noWrap w:val="0"/>
                  <w:vAlign w:val="center"/>
                </w:tcPr>
                <w:p>
                  <w:pPr>
                    <w:jc w:val="center"/>
                    <w:rPr>
                      <w:color w:val="auto"/>
                      <w:kern w:val="0"/>
                      <w:szCs w:val="21"/>
                    </w:rPr>
                  </w:pPr>
                  <w:r>
                    <w:rPr>
                      <w:color w:val="auto"/>
                      <w:kern w:val="0"/>
                      <w:szCs w:val="21"/>
                    </w:rPr>
                    <w:t>57.5</w:t>
                  </w:r>
                </w:p>
              </w:tc>
              <w:tc>
                <w:tcPr>
                  <w:tcW w:w="382" w:type="pct"/>
                  <w:noWrap w:val="0"/>
                  <w:vAlign w:val="center"/>
                </w:tcPr>
                <w:p>
                  <w:pPr>
                    <w:jc w:val="center"/>
                    <w:rPr>
                      <w:color w:val="auto"/>
                      <w:kern w:val="0"/>
                      <w:szCs w:val="21"/>
                    </w:rPr>
                  </w:pPr>
                  <w:r>
                    <w:rPr>
                      <w:color w:val="auto"/>
                      <w:kern w:val="0"/>
                      <w:szCs w:val="21"/>
                    </w:rPr>
                    <w:t>70</w:t>
                  </w:r>
                </w:p>
              </w:tc>
              <w:tc>
                <w:tcPr>
                  <w:tcW w:w="368" w:type="pct"/>
                  <w:noWrap w:val="0"/>
                  <w:vAlign w:val="center"/>
                </w:tcPr>
                <w:p>
                  <w:pPr>
                    <w:jc w:val="center"/>
                    <w:rPr>
                      <w:color w:val="auto"/>
                      <w:kern w:val="0"/>
                      <w:szCs w:val="21"/>
                    </w:rPr>
                  </w:pPr>
                  <w:r>
                    <w:rPr>
                      <w:color w:val="auto"/>
                      <w:kern w:val="0"/>
                      <w:szCs w:val="21"/>
                    </w:rPr>
                    <w:t>55</w:t>
                  </w:r>
                </w:p>
              </w:tc>
              <w:tc>
                <w:tcPr>
                  <w:tcW w:w="516" w:type="pct"/>
                  <w:noWrap w:val="0"/>
                  <w:vAlign w:val="center"/>
                </w:tcPr>
                <w:p>
                  <w:pPr>
                    <w:jc w:val="center"/>
                    <w:rPr>
                      <w:color w:val="auto"/>
                      <w:kern w:val="0"/>
                      <w:szCs w:val="21"/>
                    </w:rPr>
                  </w:pPr>
                  <w:r>
                    <w:rPr>
                      <w:color w:val="auto"/>
                      <w:kern w:val="0"/>
                      <w:szCs w:val="21"/>
                    </w:rPr>
                    <w:t>40</w:t>
                  </w:r>
                </w:p>
              </w:tc>
              <w:tc>
                <w:tcPr>
                  <w:tcW w:w="513" w:type="pct"/>
                  <w:noWrap w:val="0"/>
                  <w:vAlign w:val="center"/>
                </w:tcPr>
                <w:p>
                  <w:pPr>
                    <w:jc w:val="center"/>
                    <w:rPr>
                      <w:color w:val="auto"/>
                      <w:kern w:val="0"/>
                      <w:szCs w:val="21"/>
                    </w:rPr>
                  </w:pPr>
                  <w:r>
                    <w:rPr>
                      <w:color w:val="auto"/>
                      <w:kern w:val="0"/>
                      <w:szCs w:val="21"/>
                    </w:rPr>
                    <w:t>199</w:t>
                  </w:r>
                </w:p>
              </w:tc>
            </w:tr>
          </w:tbl>
          <w:p>
            <w:pPr>
              <w:adjustRightInd w:val="0"/>
              <w:snapToGrid w:val="0"/>
              <w:spacing w:before="120" w:beforeLines="50" w:line="360" w:lineRule="auto"/>
              <w:ind w:firstLine="482"/>
              <w:rPr>
                <w:color w:val="auto"/>
                <w:sz w:val="24"/>
              </w:rPr>
            </w:pPr>
            <w:r>
              <w:rPr>
                <w:color w:val="auto"/>
                <w:sz w:val="24"/>
              </w:rPr>
              <w:t>经预测，施工期昼间噪声在60m范围内出现超标现象，道路沿线敏感点均距离较近，昼间施工应在高噪声设备靠近敏感点一侧设置隔声挡板；施工期夜间噪声在281m范围内均出现超标现象，夜间施工过程会对道路两侧281m范围内环境敏感点产生一定的噪声影响，施工期应加强管理，合理安排施工作业时间，禁止夜间22：00～次日凌晨6：00施工，尽可能将施工噪声降至最低程度，使施工期昼夜施工噪声均满足《建筑施工场界环境噪声排放标准》（GB12523-2011）的限值要求，此外，该项目施工期有限，施工噪声会随着施工的结束而终止，故施工期噪声对周围声环境影响较小。</w:t>
            </w:r>
          </w:p>
          <w:p>
            <w:pPr>
              <w:pStyle w:val="11"/>
              <w:spacing w:line="360" w:lineRule="auto"/>
              <w:rPr>
                <w:b/>
                <w:bCs/>
                <w:color w:val="auto"/>
                <w:sz w:val="24"/>
                <w:szCs w:val="36"/>
              </w:rPr>
            </w:pPr>
            <w:r>
              <w:rPr>
                <w:b/>
                <w:bCs/>
                <w:color w:val="auto"/>
                <w:sz w:val="24"/>
                <w:szCs w:val="36"/>
              </w:rPr>
              <w:t>5、</w:t>
            </w:r>
            <w:r>
              <w:rPr>
                <w:b/>
                <w:color w:val="auto"/>
                <w:sz w:val="24"/>
              </w:rPr>
              <w:t>固体废弃物环境影响分析</w:t>
            </w:r>
          </w:p>
          <w:p>
            <w:pPr>
              <w:adjustRightInd w:val="0"/>
              <w:snapToGrid w:val="0"/>
              <w:spacing w:line="360" w:lineRule="auto"/>
              <w:ind w:firstLine="480" w:firstLineChars="200"/>
              <w:rPr>
                <w:rFonts w:hint="eastAsia" w:ascii="宋体" w:cs="宋体"/>
                <w:color w:val="auto"/>
                <w:kern w:val="0"/>
                <w:sz w:val="24"/>
              </w:rPr>
            </w:pPr>
            <w:r>
              <w:rPr>
                <w:rFonts w:hint="eastAsia" w:ascii="宋体" w:cs="宋体"/>
                <w:color w:val="auto"/>
                <w:kern w:val="0"/>
                <w:sz w:val="24"/>
                <w:lang w:eastAsia="zh-CN"/>
              </w:rPr>
              <w:t>（</w:t>
            </w:r>
            <w:r>
              <w:rPr>
                <w:rFonts w:hint="eastAsia" w:ascii="宋体" w:cs="宋体"/>
                <w:color w:val="auto"/>
                <w:kern w:val="0"/>
                <w:sz w:val="24"/>
                <w:lang w:val="en-US" w:eastAsia="zh-CN"/>
              </w:rPr>
              <w:t>1</w:t>
            </w:r>
            <w:r>
              <w:rPr>
                <w:rFonts w:hint="eastAsia" w:ascii="宋体" w:cs="宋体"/>
                <w:color w:val="auto"/>
                <w:kern w:val="0"/>
                <w:sz w:val="24"/>
                <w:lang w:eastAsia="zh-CN"/>
              </w:rPr>
              <w:t>）</w:t>
            </w:r>
            <w:r>
              <w:rPr>
                <w:rFonts w:hint="eastAsia" w:ascii="宋体" w:cs="宋体"/>
                <w:color w:val="auto"/>
                <w:kern w:val="0"/>
                <w:sz w:val="24"/>
              </w:rPr>
              <w:t>源强分析</w:t>
            </w:r>
          </w:p>
          <w:p>
            <w:pPr>
              <w:adjustRightInd w:val="0"/>
              <w:snapToGrid w:val="0"/>
              <w:spacing w:line="360" w:lineRule="auto"/>
              <w:ind w:firstLine="480" w:firstLineChars="200"/>
              <w:rPr>
                <w:rFonts w:ascii="宋体" w:cs="宋体"/>
                <w:color w:val="auto"/>
                <w:kern w:val="0"/>
                <w:sz w:val="24"/>
              </w:rPr>
            </w:pPr>
            <w:r>
              <w:rPr>
                <w:rFonts w:hint="eastAsia" w:ascii="宋体" w:cs="宋体"/>
                <w:color w:val="auto"/>
                <w:kern w:val="0"/>
                <w:sz w:val="24"/>
              </w:rPr>
              <w:t>项目施工建设期间产生的固体废物主要包括废弃土方、建筑垃圾、施工人员生活垃圾。</w:t>
            </w:r>
          </w:p>
          <w:p>
            <w:pP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①废弃土方</w:t>
            </w:r>
          </w:p>
          <w:p>
            <w:pP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根据建设单位提供资料，本项目需要开挖土方约为</w:t>
            </w:r>
            <w:r>
              <w:rPr>
                <w:rFonts w:hint="default" w:ascii="Times New Roman" w:hAnsi="Times New Roman" w:eastAsia="宋体" w:cs="Times New Roman"/>
                <w:color w:val="auto"/>
                <w:kern w:val="0"/>
                <w:sz w:val="24"/>
                <w:lang w:val="en-US" w:eastAsia="zh-CN"/>
              </w:rPr>
              <w:t>600</w:t>
            </w:r>
            <w:r>
              <w:rPr>
                <w:rFonts w:hint="default" w:ascii="Times New Roman" w:hAnsi="Times New Roman" w:eastAsia="宋体" w:cs="Times New Roman"/>
                <w:color w:val="auto"/>
                <w:kern w:val="0"/>
                <w:sz w:val="24"/>
              </w:rPr>
              <w:t>m</w:t>
            </w:r>
            <w:r>
              <w:rPr>
                <w:rFonts w:hint="default" w:ascii="Times New Roman" w:hAnsi="Times New Roman" w:eastAsia="宋体" w:cs="Times New Roman"/>
                <w:color w:val="auto"/>
                <w:kern w:val="0"/>
                <w:sz w:val="24"/>
                <w:vertAlign w:val="superscript"/>
              </w:rPr>
              <w:t>3</w:t>
            </w:r>
            <w:r>
              <w:rPr>
                <w:rFonts w:hint="default" w:ascii="Times New Roman" w:hAnsi="Times New Roman" w:eastAsia="宋体" w:cs="Times New Roman"/>
                <w:color w:val="auto"/>
                <w:kern w:val="0"/>
                <w:sz w:val="24"/>
              </w:rPr>
              <w:t>，回填土方约为</w:t>
            </w:r>
            <w:r>
              <w:rPr>
                <w:rFonts w:hint="default" w:ascii="Times New Roman" w:hAnsi="Times New Roman" w:eastAsia="宋体" w:cs="Times New Roman"/>
                <w:color w:val="auto"/>
                <w:kern w:val="0"/>
                <w:sz w:val="24"/>
                <w:lang w:val="en-US" w:eastAsia="zh-CN"/>
              </w:rPr>
              <w:t>380</w:t>
            </w:r>
            <w:r>
              <w:rPr>
                <w:rFonts w:hint="default" w:ascii="Times New Roman" w:hAnsi="Times New Roman" w:eastAsia="宋体" w:cs="Times New Roman"/>
                <w:color w:val="auto"/>
                <w:kern w:val="0"/>
                <w:sz w:val="24"/>
              </w:rPr>
              <w:t>m</w:t>
            </w:r>
            <w:r>
              <w:rPr>
                <w:rFonts w:hint="default" w:ascii="Times New Roman" w:hAnsi="Times New Roman" w:eastAsia="宋体" w:cs="Times New Roman"/>
                <w:color w:val="auto"/>
                <w:kern w:val="0"/>
                <w:sz w:val="24"/>
                <w:vertAlign w:val="superscript"/>
              </w:rPr>
              <w:t>3</w:t>
            </w:r>
            <w:r>
              <w:rPr>
                <w:rFonts w:hint="default" w:ascii="Times New Roman" w:hAnsi="Times New Roman" w:eastAsia="宋体" w:cs="Times New Roman"/>
                <w:color w:val="auto"/>
                <w:kern w:val="0"/>
                <w:sz w:val="24"/>
              </w:rPr>
              <w:t>，本项目弃方</w:t>
            </w:r>
            <w:r>
              <w:rPr>
                <w:rFonts w:hint="default" w:ascii="Times New Roman" w:hAnsi="Times New Roman" w:eastAsia="宋体" w:cs="Times New Roman"/>
                <w:color w:val="auto"/>
                <w:kern w:val="0"/>
                <w:sz w:val="24"/>
                <w:lang w:val="en-US" w:eastAsia="zh-CN"/>
              </w:rPr>
              <w:t>220</w:t>
            </w:r>
            <w:r>
              <w:rPr>
                <w:rFonts w:hint="default" w:ascii="Times New Roman" w:hAnsi="Times New Roman" w:eastAsia="宋体" w:cs="Times New Roman"/>
                <w:color w:val="auto"/>
                <w:kern w:val="0"/>
                <w:sz w:val="24"/>
              </w:rPr>
              <w:t>m</w:t>
            </w:r>
            <w:r>
              <w:rPr>
                <w:rFonts w:hint="default" w:ascii="Times New Roman" w:hAnsi="Times New Roman" w:eastAsia="宋体" w:cs="Times New Roman"/>
                <w:color w:val="auto"/>
                <w:kern w:val="0"/>
                <w:sz w:val="24"/>
                <w:vertAlign w:val="superscript"/>
              </w:rPr>
              <w:t>3</w:t>
            </w:r>
            <w:r>
              <w:rPr>
                <w:rFonts w:hint="default" w:ascii="Times New Roman" w:hAnsi="Times New Roman" w:eastAsia="宋体" w:cs="Times New Roman"/>
                <w:color w:val="auto"/>
                <w:kern w:val="0"/>
                <w:sz w:val="24"/>
              </w:rPr>
              <w:t>，弃方量较小，全部用于沿线地面平整，不需额外设置弃土场。</w:t>
            </w:r>
          </w:p>
          <w:p>
            <w:pPr>
              <w:spacing w:line="360" w:lineRule="auto"/>
              <w:ind w:firstLine="480" w:firstLineChars="200"/>
              <w:rPr>
                <w:color w:val="auto"/>
                <w:sz w:val="24"/>
              </w:rPr>
            </w:pPr>
            <w:r>
              <w:rPr>
                <w:color w:val="auto"/>
                <w:sz w:val="24"/>
              </w:rPr>
              <w:t>②生活垃圾</w:t>
            </w:r>
          </w:p>
          <w:p>
            <w:pPr>
              <w:adjustRightInd w:val="0"/>
              <w:snapToGrid w:val="0"/>
              <w:spacing w:line="360" w:lineRule="auto"/>
              <w:ind w:firstLine="480"/>
              <w:rPr>
                <w:color w:val="auto"/>
                <w:kern w:val="24"/>
                <w:sz w:val="24"/>
              </w:rPr>
            </w:pPr>
            <w:r>
              <w:rPr>
                <w:color w:val="auto"/>
                <w:sz w:val="24"/>
              </w:rPr>
              <w:t>施工期施工人员共50人，施工人员生活垃圾产生量按0.5kg/人·d计算，生活垃圾产生量约为25kg/d。</w:t>
            </w:r>
            <w:r>
              <w:rPr>
                <w:color w:val="auto"/>
                <w:kern w:val="24"/>
                <w:sz w:val="24"/>
              </w:rPr>
              <w:t>施工现场设置垃圾箱，生活垃圾经集中收集后，由施工单位统一清运至当地环卫部门指定地点处理处置。</w:t>
            </w:r>
          </w:p>
          <w:p>
            <w:pPr>
              <w:adjustRightInd w:val="0"/>
              <w:snapToGrid w:val="0"/>
              <w:spacing w:line="360" w:lineRule="auto"/>
              <w:ind w:firstLine="480" w:firstLineChars="200"/>
              <w:rPr>
                <w:rFonts w:ascii="宋体" w:cs="宋体"/>
                <w:color w:val="auto"/>
                <w:kern w:val="0"/>
                <w:sz w:val="24"/>
              </w:rPr>
            </w:pPr>
            <w:r>
              <w:rPr>
                <w:rFonts w:hint="eastAsia" w:ascii="宋体" w:cs="宋体"/>
                <w:color w:val="auto"/>
                <w:kern w:val="0"/>
                <w:sz w:val="24"/>
              </w:rPr>
              <w:t>③建筑垃圾</w:t>
            </w:r>
          </w:p>
          <w:p>
            <w:pPr>
              <w:adjustRightInd w:val="0"/>
              <w:snapToGrid w:val="0"/>
              <w:spacing w:line="360" w:lineRule="auto"/>
              <w:ind w:firstLine="480" w:firstLineChars="200"/>
              <w:rPr>
                <w:rFonts w:ascii="宋体" w:cs="宋体"/>
                <w:color w:val="auto"/>
                <w:kern w:val="0"/>
                <w:sz w:val="24"/>
              </w:rPr>
            </w:pPr>
            <w:r>
              <w:rPr>
                <w:rFonts w:hint="eastAsia" w:ascii="宋体" w:cs="宋体"/>
                <w:color w:val="auto"/>
                <w:kern w:val="0"/>
                <w:sz w:val="24"/>
              </w:rPr>
              <w:t>建筑垃圾主要产生于道路工程、桥梁工程、管线工程以及其他附属工程产生的废弃木材、混凝土块、废钢筋等，其中有利用价值的钢筋等集中收集后外售至垃圾回收站，其余不能利用的部分外运至当地住建部门指定地点处理。</w:t>
            </w:r>
          </w:p>
          <w:p>
            <w:pPr>
              <w:adjustRightInd w:val="0"/>
              <w:snapToGrid w:val="0"/>
              <w:spacing w:line="360" w:lineRule="auto"/>
              <w:ind w:firstLine="480" w:firstLineChars="200"/>
              <w:rPr>
                <w:rFonts w:ascii="宋体" w:cs="宋体"/>
                <w:color w:val="auto"/>
                <w:kern w:val="0"/>
                <w:sz w:val="24"/>
              </w:rPr>
            </w:pPr>
            <w:r>
              <w:rPr>
                <w:rFonts w:hint="eastAsia" w:ascii="宋体" w:cs="宋体"/>
                <w:color w:val="auto"/>
                <w:kern w:val="0"/>
                <w:sz w:val="24"/>
              </w:rPr>
              <w:t>⑵影响分析</w:t>
            </w:r>
          </w:p>
          <w:p>
            <w:pPr>
              <w:adjustRightInd w:val="0"/>
              <w:snapToGrid w:val="0"/>
              <w:spacing w:line="360" w:lineRule="auto"/>
              <w:ind w:firstLine="480" w:firstLineChars="200"/>
              <w:rPr>
                <w:color w:val="auto"/>
                <w:sz w:val="24"/>
              </w:rPr>
            </w:pPr>
            <w:r>
              <w:rPr>
                <w:rFonts w:hint="eastAsia" w:ascii="宋体" w:cs="宋体"/>
                <w:color w:val="auto"/>
                <w:kern w:val="0"/>
                <w:sz w:val="24"/>
              </w:rPr>
              <w:t>施工期间产生的固体废弃物主要有路基工程产生的废弃土方、道路工程、桥梁工程以及其他附属工程产生的固体废物，废弃土方运往当地政府指定地点处理，建筑垃圾运往当地住建部门指定地点处理，能回收利用部分外售至垃圾回收站，施工期间产生的固体废弃物均得到妥善处置，不会对周边环境造成不良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3" w:hRule="atLeast"/>
          <w:jc w:val="center"/>
        </w:trPr>
        <w:tc>
          <w:tcPr>
            <w:tcW w:w="780" w:type="dxa"/>
            <w:tcMar>
              <w:left w:w="28" w:type="dxa"/>
              <w:right w:w="28" w:type="dxa"/>
            </w:tcMar>
            <w:vAlign w:val="center"/>
          </w:tcPr>
          <w:p>
            <w:pPr>
              <w:pStyle w:val="21"/>
              <w:adjustRightInd w:val="0"/>
              <w:snapToGrid w:val="0"/>
              <w:spacing w:before="0" w:beforeAutospacing="0" w:after="0" w:afterAutospacing="0"/>
              <w:jc w:val="center"/>
              <w:rPr>
                <w:rFonts w:ascii="Times New Roman" w:hAnsi="Times New Roman"/>
                <w:bCs/>
                <w:color w:val="auto"/>
                <w:kern w:val="2"/>
              </w:rPr>
            </w:pPr>
            <w:r>
              <w:rPr>
                <w:rFonts w:ascii="Times New Roman" w:hAnsi="Times New Roman"/>
                <w:bCs/>
                <w:color w:val="auto"/>
                <w:spacing w:val="10"/>
                <w:kern w:val="2"/>
              </w:rPr>
              <w:t>运营期生态环境影响分析</w:t>
            </w:r>
          </w:p>
        </w:tc>
        <w:tc>
          <w:tcPr>
            <w:tcW w:w="7662" w:type="dxa"/>
          </w:tcPr>
          <w:p>
            <w:pPr>
              <w:spacing w:line="360" w:lineRule="auto"/>
              <w:contextualSpacing/>
              <w:outlineLvl w:val="2"/>
              <w:rPr>
                <w:b/>
                <w:color w:val="auto"/>
                <w:sz w:val="24"/>
              </w:rPr>
            </w:pPr>
            <w:r>
              <w:rPr>
                <w:b/>
                <w:color w:val="auto"/>
                <w:sz w:val="24"/>
              </w:rPr>
              <w:t>运行期</w:t>
            </w:r>
          </w:p>
          <w:p>
            <w:pPr>
              <w:autoSpaceDE w:val="0"/>
              <w:autoSpaceDN w:val="0"/>
              <w:adjustRightInd w:val="0"/>
              <w:snapToGrid w:val="0"/>
              <w:spacing w:line="360" w:lineRule="auto"/>
              <w:ind w:firstLine="482" w:firstLineChars="200"/>
              <w:rPr>
                <w:b/>
                <w:color w:val="auto"/>
                <w:kern w:val="0"/>
                <w:sz w:val="24"/>
              </w:rPr>
            </w:pPr>
            <w:r>
              <w:rPr>
                <w:rFonts w:hint="eastAsia"/>
                <w:b/>
                <w:color w:val="auto"/>
                <w:kern w:val="0"/>
                <w:sz w:val="24"/>
              </w:rPr>
              <w:t>1、</w:t>
            </w:r>
            <w:r>
              <w:rPr>
                <w:rFonts w:ascii="宋体" w:hAnsi="宋体"/>
                <w:b/>
                <w:color w:val="auto"/>
                <w:kern w:val="0"/>
                <w:sz w:val="24"/>
              </w:rPr>
              <w:t>生态环境影响评价</w:t>
            </w:r>
          </w:p>
          <w:p>
            <w:pPr>
              <w:pStyle w:val="2"/>
              <w:snapToGrid w:val="0"/>
              <w:spacing w:line="360" w:lineRule="auto"/>
              <w:ind w:firstLine="480" w:firstLineChars="200"/>
              <w:jc w:val="both"/>
              <w:rPr>
                <w:rFonts w:hint="eastAsia" w:ascii="宋体" w:hAnsi="Times New Roman" w:eastAsia="宋体" w:cs="宋体"/>
                <w:color w:val="auto"/>
                <w:kern w:val="0"/>
                <w:sz w:val="24"/>
                <w:szCs w:val="24"/>
                <w:lang w:val="en-US" w:eastAsia="zh-CN" w:bidi="ar-SA"/>
              </w:rPr>
            </w:pPr>
            <w:r>
              <w:rPr>
                <w:rFonts w:hint="eastAsia" w:ascii="宋体" w:hAnsi="Times New Roman" w:eastAsia="宋体" w:cs="宋体"/>
                <w:color w:val="auto"/>
                <w:kern w:val="0"/>
                <w:sz w:val="24"/>
                <w:szCs w:val="24"/>
                <w:lang w:val="en-US" w:eastAsia="zh-CN" w:bidi="ar-SA"/>
              </w:rPr>
              <w:t>运营期车辆排放的尾气，会造成评价区内的空气污染，对评价区内植物生长有间接影响。区域生态系统组成简单，自身的净化能力较差，汽车尾气污染会随着公路使用年限增长而累积其对植物的影响。</w:t>
            </w:r>
          </w:p>
          <w:p>
            <w:pPr>
              <w:pStyle w:val="2"/>
              <w:snapToGrid w:val="0"/>
              <w:spacing w:line="360" w:lineRule="auto"/>
              <w:ind w:firstLine="480" w:firstLineChars="200"/>
              <w:jc w:val="both"/>
              <w:rPr>
                <w:rFonts w:hint="eastAsia" w:ascii="宋体" w:hAnsi="Times New Roman" w:eastAsia="宋体" w:cs="宋体"/>
                <w:color w:val="auto"/>
                <w:kern w:val="0"/>
                <w:sz w:val="24"/>
                <w:szCs w:val="24"/>
                <w:lang w:val="en-US" w:eastAsia="zh-CN" w:bidi="ar-SA"/>
              </w:rPr>
            </w:pPr>
            <w:r>
              <w:rPr>
                <w:rFonts w:hint="eastAsia" w:ascii="宋体" w:hAnsi="Times New Roman" w:eastAsia="宋体" w:cs="宋体"/>
                <w:color w:val="auto"/>
                <w:kern w:val="0"/>
                <w:sz w:val="24"/>
                <w:szCs w:val="24"/>
                <w:lang w:val="en-US" w:eastAsia="zh-CN" w:bidi="ar-SA"/>
              </w:rPr>
              <w:t>本项目的建成运营，使评价区内的交通条件得到改善，区内车流量及人口流动性也将增加。车辆的进出及游人的一些无意识活动，可能会将一些外来种带入评价区。虽然大部分植物种类在本区域内无法生存，但应在运营期注意外来物种的入侵，防范于未然，以减少其带来的生态和经济损失。</w:t>
            </w:r>
          </w:p>
          <w:p>
            <w:pPr>
              <w:adjustRightInd w:val="0"/>
              <w:snapToGrid w:val="0"/>
              <w:spacing w:line="360" w:lineRule="auto"/>
              <w:ind w:firstLine="482" w:firstLineChars="200"/>
              <w:rPr>
                <w:b/>
                <w:color w:val="auto"/>
                <w:sz w:val="24"/>
              </w:rPr>
            </w:pPr>
            <w:r>
              <w:rPr>
                <w:rFonts w:hint="eastAsia"/>
                <w:b/>
                <w:color w:val="auto"/>
                <w:sz w:val="24"/>
              </w:rPr>
              <w:t>2、</w:t>
            </w:r>
            <w:r>
              <w:rPr>
                <w:rFonts w:hint="eastAsia" w:ascii="宋体" w:hAnsi="宋体"/>
                <w:b/>
                <w:color w:val="auto"/>
                <w:sz w:val="24"/>
              </w:rPr>
              <w:t>环境空气影响分析</w:t>
            </w:r>
          </w:p>
          <w:p>
            <w:pPr>
              <w:adjustRightInd w:val="0"/>
              <w:snapToGrid w:val="0"/>
              <w:spacing w:line="360" w:lineRule="auto"/>
              <w:ind w:firstLine="482" w:firstLineChars="200"/>
              <w:rPr>
                <w:b/>
                <w:color w:val="auto"/>
                <w:sz w:val="24"/>
              </w:rPr>
            </w:pPr>
            <w:r>
              <w:rPr>
                <w:b/>
                <w:color w:val="auto"/>
                <w:sz w:val="24"/>
              </w:rPr>
              <w:t>2.1废气污染源</w:t>
            </w:r>
            <w:r>
              <w:rPr>
                <w:rFonts w:hint="eastAsia"/>
                <w:b/>
                <w:color w:val="auto"/>
                <w:sz w:val="24"/>
              </w:rPr>
              <w:t>强</w:t>
            </w:r>
            <w:r>
              <w:rPr>
                <w:b/>
                <w:color w:val="auto"/>
                <w:sz w:val="24"/>
              </w:rPr>
              <w:t>核算</w:t>
            </w:r>
          </w:p>
          <w:p>
            <w:pPr>
              <w:adjustRightInd w:val="0"/>
              <w:snapToGrid w:val="0"/>
              <w:spacing w:line="360" w:lineRule="auto"/>
              <w:ind w:firstLine="480" w:firstLineChars="200"/>
              <w:rPr>
                <w:color w:val="auto"/>
                <w:sz w:val="24"/>
              </w:rPr>
            </w:pPr>
            <w:r>
              <w:rPr>
                <w:color w:val="auto"/>
                <w:sz w:val="24"/>
              </w:rPr>
              <w:t>运营期大气污染主要来源于车辆行驶过程产生的汽车尾气，主要污染物为NOx、CO、非甲烷总烃等，根据《公路建设项目环境影响评价规范（JTGB</w:t>
            </w:r>
            <w:r>
              <w:rPr>
                <w:rFonts w:hint="eastAsia"/>
                <w:color w:val="auto"/>
                <w:sz w:val="24"/>
                <w:lang w:val="en-US" w:eastAsia="zh-CN"/>
              </w:rPr>
              <w:t>0</w:t>
            </w:r>
            <w:r>
              <w:rPr>
                <w:color w:val="auto"/>
                <w:sz w:val="24"/>
              </w:rPr>
              <w:t>3-2006）》，气态污染物源强按下式计算：</w:t>
            </w:r>
          </w:p>
          <w:p>
            <w:pPr>
              <w:pStyle w:val="108"/>
              <w:ind w:firstLine="1920" w:firstLineChars="800"/>
              <w:rPr>
                <w:rFonts w:ascii="Times New Roman" w:hAnsi="Times New Roman" w:eastAsia="仿宋_GB2312"/>
                <w:color w:val="auto"/>
              </w:rPr>
            </w:pPr>
            <w:r>
              <w:rPr>
                <w:rFonts w:ascii="Times New Roman" w:hAnsi="Times New Roman" w:eastAsia="仿宋_GB2312"/>
                <w:color w:val="auto"/>
                <w:lang w:val="zh-CN" w:bidi="th-TH"/>
              </w:rPr>
              <w:object>
                <v:shape id="_x0000_i1027" o:spt="75" type="#_x0000_t75" style="height:33.75pt;width:101.95pt;" o:ole="t" fillcolor="#ACA899" filled="f" o:preferrelative="t" stroked="f" coordsize="21600,21600">
                  <v:path/>
                  <v:fill on="f" focussize="0,0"/>
                  <v:stroke on="f"/>
                  <v:imagedata r:id="rId16" o:title=""/>
                  <o:lock v:ext="edit" aspectratio="t"/>
                  <w10:wrap type="none"/>
                  <w10:anchorlock/>
                </v:shape>
                <o:OLEObject Type="Embed" ProgID="Equation.3" ShapeID="_x0000_i1027" DrawAspect="Content" ObjectID="_1468075727" r:id="rId15">
                  <o:LockedField>false</o:LockedField>
                </o:OLEObject>
              </w:object>
            </w:r>
          </w:p>
          <w:p>
            <w:pPr>
              <w:spacing w:line="360" w:lineRule="auto"/>
              <w:ind w:firstLine="480"/>
              <w:jc w:val="left"/>
              <w:rPr>
                <w:color w:val="auto"/>
                <w:kern w:val="0"/>
                <w:sz w:val="24"/>
                <w:lang w:val="zh-CN"/>
              </w:rPr>
            </w:pPr>
            <w:r>
              <w:rPr>
                <w:color w:val="auto"/>
                <w:kern w:val="0"/>
                <w:sz w:val="24"/>
                <w:lang w:val="zh-CN"/>
              </w:rPr>
              <w:t>式中：Q</w:t>
            </w:r>
            <w:r>
              <w:rPr>
                <w:color w:val="auto"/>
                <w:kern w:val="0"/>
                <w:sz w:val="24"/>
                <w:vertAlign w:val="subscript"/>
                <w:lang w:val="zh-CN"/>
              </w:rPr>
              <w:t>j</w:t>
            </w:r>
            <w:r>
              <w:rPr>
                <w:color w:val="auto"/>
                <w:kern w:val="0"/>
                <w:sz w:val="24"/>
                <w:lang w:val="zh-CN"/>
              </w:rPr>
              <w:t>——j类气态污染物排放源强度，mg/（s• m）；</w:t>
            </w:r>
          </w:p>
          <w:p>
            <w:pPr>
              <w:spacing w:line="360" w:lineRule="auto"/>
              <w:ind w:firstLine="480"/>
              <w:jc w:val="left"/>
              <w:rPr>
                <w:color w:val="auto"/>
                <w:kern w:val="0"/>
                <w:sz w:val="24"/>
                <w:lang w:val="zh-CN"/>
              </w:rPr>
            </w:pPr>
            <w:r>
              <w:rPr>
                <w:color w:val="auto"/>
                <w:kern w:val="0"/>
                <w:sz w:val="24"/>
                <w:lang w:val="zh-CN"/>
              </w:rPr>
              <w:t xml:space="preserve">      A</w:t>
            </w:r>
            <w:r>
              <w:rPr>
                <w:color w:val="auto"/>
                <w:kern w:val="0"/>
                <w:sz w:val="24"/>
                <w:vertAlign w:val="subscript"/>
                <w:lang w:val="zh-CN"/>
              </w:rPr>
              <w:t>i</w:t>
            </w:r>
            <w:r>
              <w:rPr>
                <w:color w:val="auto"/>
                <w:kern w:val="0"/>
                <w:sz w:val="24"/>
                <w:lang w:val="zh-CN"/>
              </w:rPr>
              <w:t>——</w:t>
            </w:r>
            <w:r>
              <w:rPr>
                <w:color w:val="auto"/>
                <w:sz w:val="24"/>
                <w:lang w:val="zh-CN"/>
              </w:rPr>
              <w:t>i</w:t>
            </w:r>
            <w:r>
              <w:rPr>
                <w:color w:val="auto"/>
                <w:kern w:val="0"/>
                <w:sz w:val="24"/>
                <w:lang w:val="zh-CN"/>
              </w:rPr>
              <w:t>型车预测年的小时交通量，辆/h；</w:t>
            </w:r>
          </w:p>
          <w:p>
            <w:pPr>
              <w:spacing w:line="360" w:lineRule="auto"/>
              <w:ind w:firstLine="480"/>
              <w:jc w:val="left"/>
              <w:rPr>
                <w:color w:val="auto"/>
                <w:sz w:val="24"/>
              </w:rPr>
            </w:pPr>
            <w:r>
              <w:rPr>
                <w:color w:val="auto"/>
                <w:sz w:val="24"/>
                <w:lang w:val="zh-CN"/>
              </w:rPr>
              <w:t xml:space="preserve">      E</w:t>
            </w:r>
            <w:r>
              <w:rPr>
                <w:color w:val="auto"/>
                <w:sz w:val="24"/>
                <w:vertAlign w:val="subscript"/>
                <w:lang w:val="zh-CN"/>
              </w:rPr>
              <w:t>ij</w:t>
            </w:r>
            <w:r>
              <w:rPr>
                <w:color w:val="auto"/>
                <w:sz w:val="24"/>
                <w:lang w:val="zh-CN"/>
              </w:rPr>
              <w:t>——汽车专用公路运行工况下i型车j类污染物在预测年的单车排放因子（mg/辆•m）。</w:t>
            </w:r>
          </w:p>
          <w:p>
            <w:pPr>
              <w:spacing w:line="360" w:lineRule="auto"/>
              <w:ind w:firstLine="480"/>
              <w:jc w:val="left"/>
              <w:rPr>
                <w:rFonts w:hint="eastAsia"/>
                <w:color w:val="auto"/>
                <w:kern w:val="0"/>
                <w:sz w:val="24"/>
                <w:szCs w:val="20"/>
                <w:lang w:val="en-US" w:eastAsia="zh-CN"/>
              </w:rPr>
            </w:pPr>
            <w:r>
              <w:rPr>
                <w:rFonts w:hint="eastAsia"/>
                <w:color w:val="auto"/>
                <w:kern w:val="0"/>
                <w:sz w:val="24"/>
                <w:szCs w:val="20"/>
                <w:lang w:val="en-US" w:eastAsia="zh-CN"/>
              </w:rPr>
              <w:t>（1）单车排放因子</w:t>
            </w:r>
          </w:p>
          <w:p>
            <w:pPr>
              <w:spacing w:line="360" w:lineRule="auto"/>
              <w:ind w:firstLine="480"/>
              <w:jc w:val="left"/>
              <w:rPr>
                <w:color w:val="auto"/>
                <w:sz w:val="24"/>
                <w:lang w:val="zh-CN"/>
              </w:rPr>
            </w:pPr>
            <w:r>
              <w:rPr>
                <w:color w:val="auto"/>
                <w:kern w:val="0"/>
                <w:sz w:val="24"/>
                <w:szCs w:val="20"/>
              </w:rPr>
              <w:t>本项目的单车排放因子推荐值见表</w:t>
            </w:r>
            <w:r>
              <w:rPr>
                <w:rFonts w:hint="eastAsia"/>
                <w:color w:val="auto"/>
                <w:sz w:val="24"/>
              </w:rPr>
              <w:t>4-4</w:t>
            </w:r>
            <w:r>
              <w:rPr>
                <w:color w:val="auto"/>
                <w:sz w:val="24"/>
                <w:lang w:val="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jc w:val="left"/>
              <w:textAlignment w:val="auto"/>
              <w:rPr>
                <w:color w:val="auto"/>
                <w:sz w:val="21"/>
                <w:szCs w:val="21"/>
                <w:lang w:val="zh-CN"/>
              </w:rPr>
            </w:pPr>
            <w:r>
              <w:rPr>
                <w:b/>
                <w:color w:val="auto"/>
                <w:sz w:val="21"/>
                <w:szCs w:val="21"/>
              </w:rPr>
              <w:t>表</w:t>
            </w:r>
            <w:r>
              <w:rPr>
                <w:rFonts w:hint="eastAsia"/>
                <w:b/>
                <w:color w:val="auto"/>
                <w:sz w:val="21"/>
                <w:szCs w:val="21"/>
              </w:rPr>
              <w:t>4-4</w:t>
            </w:r>
            <w:r>
              <w:rPr>
                <w:b/>
                <w:color w:val="auto"/>
                <w:sz w:val="21"/>
                <w:szCs w:val="21"/>
              </w:rPr>
              <w:t xml:space="preserve">          车辆单车排放因子推荐值         单位：</w:t>
            </w:r>
            <w:r>
              <w:rPr>
                <w:rFonts w:hint="eastAsia"/>
                <w:b/>
                <w:color w:val="auto"/>
                <w:sz w:val="21"/>
                <w:szCs w:val="21"/>
              </w:rPr>
              <w:t>m</w:t>
            </w:r>
            <w:r>
              <w:rPr>
                <w:b/>
                <w:color w:val="auto"/>
                <w:sz w:val="21"/>
                <w:szCs w:val="21"/>
              </w:rPr>
              <w:t>g/（辆·m）</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911"/>
              <w:gridCol w:w="737"/>
              <w:gridCol w:w="905"/>
              <w:gridCol w:w="890"/>
              <w:gridCol w:w="904"/>
              <w:gridCol w:w="904"/>
              <w:gridCol w:w="905"/>
              <w:gridCol w:w="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053" w:type="pct"/>
                  <w:gridSpan w:val="2"/>
                  <w:noWrap w:val="0"/>
                  <w:vAlign w:val="center"/>
                </w:tcPr>
                <w:p>
                  <w:pPr>
                    <w:jc w:val="center"/>
                    <w:rPr>
                      <w:color w:val="auto"/>
                      <w:szCs w:val="21"/>
                    </w:rPr>
                  </w:pPr>
                  <w:r>
                    <w:rPr>
                      <w:color w:val="auto"/>
                      <w:szCs w:val="21"/>
                    </w:rPr>
                    <w:t>平均车速（km/h）</w:t>
                  </w:r>
                </w:p>
              </w:tc>
              <w:tc>
                <w:tcPr>
                  <w:tcW w:w="474" w:type="pct"/>
                  <w:noWrap w:val="0"/>
                  <w:vAlign w:val="center"/>
                </w:tcPr>
                <w:p>
                  <w:pPr>
                    <w:jc w:val="center"/>
                    <w:rPr>
                      <w:color w:val="auto"/>
                      <w:szCs w:val="21"/>
                    </w:rPr>
                  </w:pPr>
                  <w:r>
                    <w:rPr>
                      <w:color w:val="auto"/>
                      <w:szCs w:val="21"/>
                    </w:rPr>
                    <w:t>20.00</w:t>
                  </w:r>
                </w:p>
              </w:tc>
              <w:tc>
                <w:tcPr>
                  <w:tcW w:w="582" w:type="pct"/>
                  <w:noWrap w:val="0"/>
                  <w:vAlign w:val="center"/>
                </w:tcPr>
                <w:p>
                  <w:pPr>
                    <w:jc w:val="center"/>
                    <w:rPr>
                      <w:color w:val="auto"/>
                      <w:szCs w:val="21"/>
                    </w:rPr>
                  </w:pPr>
                  <w:r>
                    <w:rPr>
                      <w:color w:val="auto"/>
                      <w:szCs w:val="21"/>
                    </w:rPr>
                    <w:t>30.00</w:t>
                  </w:r>
                </w:p>
              </w:tc>
              <w:tc>
                <w:tcPr>
                  <w:tcW w:w="572" w:type="pct"/>
                  <w:noWrap w:val="0"/>
                  <w:vAlign w:val="center"/>
                </w:tcPr>
                <w:p>
                  <w:pPr>
                    <w:jc w:val="center"/>
                    <w:rPr>
                      <w:color w:val="auto"/>
                      <w:szCs w:val="21"/>
                    </w:rPr>
                  </w:pPr>
                  <w:r>
                    <w:rPr>
                      <w:color w:val="auto"/>
                      <w:szCs w:val="21"/>
                    </w:rPr>
                    <w:t>40.00</w:t>
                  </w:r>
                </w:p>
              </w:tc>
              <w:tc>
                <w:tcPr>
                  <w:tcW w:w="581" w:type="pct"/>
                  <w:noWrap w:val="0"/>
                  <w:vAlign w:val="center"/>
                </w:tcPr>
                <w:p>
                  <w:pPr>
                    <w:jc w:val="center"/>
                    <w:rPr>
                      <w:color w:val="auto"/>
                      <w:szCs w:val="21"/>
                    </w:rPr>
                  </w:pPr>
                  <w:r>
                    <w:rPr>
                      <w:color w:val="auto"/>
                      <w:szCs w:val="21"/>
                    </w:rPr>
                    <w:t>50.00</w:t>
                  </w:r>
                </w:p>
              </w:tc>
              <w:tc>
                <w:tcPr>
                  <w:tcW w:w="581" w:type="pct"/>
                  <w:noWrap w:val="0"/>
                  <w:vAlign w:val="center"/>
                </w:tcPr>
                <w:p>
                  <w:pPr>
                    <w:jc w:val="center"/>
                    <w:rPr>
                      <w:color w:val="auto"/>
                      <w:szCs w:val="21"/>
                    </w:rPr>
                  </w:pPr>
                  <w:r>
                    <w:rPr>
                      <w:color w:val="auto"/>
                      <w:szCs w:val="21"/>
                    </w:rPr>
                    <w:t>60.00</w:t>
                  </w:r>
                </w:p>
              </w:tc>
              <w:tc>
                <w:tcPr>
                  <w:tcW w:w="582" w:type="pct"/>
                  <w:noWrap w:val="0"/>
                  <w:vAlign w:val="center"/>
                </w:tcPr>
                <w:p>
                  <w:pPr>
                    <w:jc w:val="center"/>
                    <w:rPr>
                      <w:color w:val="auto"/>
                      <w:szCs w:val="21"/>
                    </w:rPr>
                  </w:pPr>
                  <w:r>
                    <w:rPr>
                      <w:color w:val="auto"/>
                      <w:szCs w:val="21"/>
                    </w:rPr>
                    <w:t>70.00</w:t>
                  </w:r>
                </w:p>
              </w:tc>
              <w:tc>
                <w:tcPr>
                  <w:tcW w:w="572" w:type="pct"/>
                  <w:noWrap w:val="0"/>
                  <w:vAlign w:val="center"/>
                </w:tcPr>
                <w:p>
                  <w:pPr>
                    <w:jc w:val="center"/>
                    <w:rPr>
                      <w:color w:val="auto"/>
                      <w:szCs w:val="21"/>
                    </w:rPr>
                  </w:pPr>
                  <w:r>
                    <w:rPr>
                      <w:color w:val="auto"/>
                      <w:szCs w:val="21"/>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67" w:type="pct"/>
                  <w:vMerge w:val="restart"/>
                  <w:noWrap w:val="0"/>
                  <w:vAlign w:val="center"/>
                </w:tcPr>
                <w:p>
                  <w:pPr>
                    <w:jc w:val="center"/>
                    <w:rPr>
                      <w:color w:val="auto"/>
                      <w:szCs w:val="21"/>
                    </w:rPr>
                  </w:pPr>
                  <w:r>
                    <w:rPr>
                      <w:color w:val="auto"/>
                      <w:szCs w:val="21"/>
                    </w:rPr>
                    <w:t>小型车</w:t>
                  </w:r>
                </w:p>
              </w:tc>
              <w:tc>
                <w:tcPr>
                  <w:tcW w:w="586" w:type="pct"/>
                  <w:noWrap w:val="0"/>
                  <w:vAlign w:val="center"/>
                </w:tcPr>
                <w:p>
                  <w:pPr>
                    <w:jc w:val="center"/>
                    <w:rPr>
                      <w:color w:val="auto"/>
                      <w:szCs w:val="21"/>
                    </w:rPr>
                  </w:pPr>
                  <w:r>
                    <w:rPr>
                      <w:color w:val="auto"/>
                      <w:szCs w:val="21"/>
                    </w:rPr>
                    <w:t>CO</w:t>
                  </w:r>
                </w:p>
              </w:tc>
              <w:tc>
                <w:tcPr>
                  <w:tcW w:w="474" w:type="pct"/>
                  <w:noWrap w:val="0"/>
                  <w:vAlign w:val="center"/>
                </w:tcPr>
                <w:p>
                  <w:pPr>
                    <w:jc w:val="center"/>
                    <w:rPr>
                      <w:color w:val="auto"/>
                      <w:szCs w:val="21"/>
                    </w:rPr>
                  </w:pPr>
                  <w:r>
                    <w:rPr>
                      <w:color w:val="auto"/>
                      <w:szCs w:val="21"/>
                    </w:rPr>
                    <w:t>39.02</w:t>
                  </w:r>
                </w:p>
              </w:tc>
              <w:tc>
                <w:tcPr>
                  <w:tcW w:w="582" w:type="pct"/>
                  <w:noWrap w:val="0"/>
                  <w:vAlign w:val="center"/>
                </w:tcPr>
                <w:p>
                  <w:pPr>
                    <w:jc w:val="center"/>
                    <w:rPr>
                      <w:color w:val="auto"/>
                      <w:szCs w:val="21"/>
                    </w:rPr>
                  </w:pPr>
                  <w:r>
                    <w:rPr>
                      <w:color w:val="auto"/>
                      <w:szCs w:val="21"/>
                    </w:rPr>
                    <w:t>31.34</w:t>
                  </w:r>
                </w:p>
              </w:tc>
              <w:tc>
                <w:tcPr>
                  <w:tcW w:w="572" w:type="pct"/>
                  <w:noWrap w:val="0"/>
                  <w:vAlign w:val="center"/>
                </w:tcPr>
                <w:p>
                  <w:pPr>
                    <w:jc w:val="center"/>
                    <w:rPr>
                      <w:color w:val="auto"/>
                      <w:szCs w:val="21"/>
                    </w:rPr>
                  </w:pPr>
                  <w:r>
                    <w:rPr>
                      <w:color w:val="auto"/>
                      <w:szCs w:val="21"/>
                    </w:rPr>
                    <w:t>23.66</w:t>
                  </w:r>
                </w:p>
              </w:tc>
              <w:tc>
                <w:tcPr>
                  <w:tcW w:w="581" w:type="pct"/>
                  <w:noWrap w:val="0"/>
                  <w:vAlign w:val="center"/>
                </w:tcPr>
                <w:p>
                  <w:pPr>
                    <w:jc w:val="center"/>
                    <w:rPr>
                      <w:color w:val="auto"/>
                      <w:szCs w:val="21"/>
                    </w:rPr>
                  </w:pPr>
                  <w:r>
                    <w:rPr>
                      <w:color w:val="auto"/>
                      <w:szCs w:val="21"/>
                    </w:rPr>
                    <w:t>17.90</w:t>
                  </w:r>
                </w:p>
              </w:tc>
              <w:tc>
                <w:tcPr>
                  <w:tcW w:w="581" w:type="pct"/>
                  <w:noWrap w:val="0"/>
                  <w:vAlign w:val="center"/>
                </w:tcPr>
                <w:p>
                  <w:pPr>
                    <w:jc w:val="center"/>
                    <w:rPr>
                      <w:color w:val="auto"/>
                      <w:szCs w:val="21"/>
                    </w:rPr>
                  </w:pPr>
                  <w:r>
                    <w:rPr>
                      <w:color w:val="auto"/>
                      <w:szCs w:val="21"/>
                    </w:rPr>
                    <w:t>14.7</w:t>
                  </w:r>
                </w:p>
              </w:tc>
              <w:tc>
                <w:tcPr>
                  <w:tcW w:w="582" w:type="pct"/>
                  <w:noWrap w:val="0"/>
                  <w:vAlign w:val="center"/>
                </w:tcPr>
                <w:p>
                  <w:pPr>
                    <w:jc w:val="center"/>
                    <w:rPr>
                      <w:color w:val="auto"/>
                      <w:szCs w:val="21"/>
                    </w:rPr>
                  </w:pPr>
                  <w:r>
                    <w:rPr>
                      <w:color w:val="auto"/>
                      <w:szCs w:val="21"/>
                    </w:rPr>
                    <w:t>0.24</w:t>
                  </w:r>
                </w:p>
              </w:tc>
              <w:tc>
                <w:tcPr>
                  <w:tcW w:w="572" w:type="pct"/>
                  <w:noWrap w:val="0"/>
                  <w:vAlign w:val="center"/>
                </w:tcPr>
                <w:p>
                  <w:pPr>
                    <w:jc w:val="center"/>
                    <w:rPr>
                      <w:color w:val="auto"/>
                      <w:szCs w:val="21"/>
                    </w:rPr>
                  </w:pPr>
                  <w:r>
                    <w:rPr>
                      <w:color w:val="auto"/>
                      <w:szCs w:val="21"/>
                    </w:rPr>
                    <w:t>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67" w:type="pct"/>
                  <w:vMerge w:val="continue"/>
                  <w:noWrap w:val="0"/>
                  <w:vAlign w:val="center"/>
                </w:tcPr>
                <w:p>
                  <w:pPr>
                    <w:jc w:val="center"/>
                    <w:rPr>
                      <w:color w:val="auto"/>
                      <w:szCs w:val="21"/>
                    </w:rPr>
                  </w:pPr>
                </w:p>
              </w:tc>
              <w:tc>
                <w:tcPr>
                  <w:tcW w:w="586" w:type="pct"/>
                  <w:noWrap w:val="0"/>
                  <w:vAlign w:val="center"/>
                </w:tcPr>
                <w:p>
                  <w:pPr>
                    <w:jc w:val="center"/>
                    <w:rPr>
                      <w:color w:val="auto"/>
                      <w:szCs w:val="21"/>
                    </w:rPr>
                  </w:pPr>
                  <w:r>
                    <w:rPr>
                      <w:color w:val="auto"/>
                      <w:szCs w:val="21"/>
                    </w:rPr>
                    <w:t>THC</w:t>
                  </w:r>
                </w:p>
              </w:tc>
              <w:tc>
                <w:tcPr>
                  <w:tcW w:w="474" w:type="pct"/>
                  <w:noWrap w:val="0"/>
                  <w:vAlign w:val="center"/>
                </w:tcPr>
                <w:p>
                  <w:pPr>
                    <w:jc w:val="center"/>
                    <w:rPr>
                      <w:color w:val="auto"/>
                      <w:szCs w:val="21"/>
                    </w:rPr>
                  </w:pPr>
                  <w:r>
                    <w:rPr>
                      <w:color w:val="auto"/>
                      <w:szCs w:val="21"/>
                    </w:rPr>
                    <w:t>9.58</w:t>
                  </w:r>
                </w:p>
              </w:tc>
              <w:tc>
                <w:tcPr>
                  <w:tcW w:w="582" w:type="pct"/>
                  <w:noWrap w:val="0"/>
                  <w:vAlign w:val="center"/>
                </w:tcPr>
                <w:p>
                  <w:pPr>
                    <w:jc w:val="center"/>
                    <w:rPr>
                      <w:color w:val="auto"/>
                      <w:szCs w:val="21"/>
                    </w:rPr>
                  </w:pPr>
                  <w:r>
                    <w:rPr>
                      <w:color w:val="auto"/>
                      <w:szCs w:val="21"/>
                    </w:rPr>
                    <w:t>8.14</w:t>
                  </w:r>
                </w:p>
              </w:tc>
              <w:tc>
                <w:tcPr>
                  <w:tcW w:w="572" w:type="pct"/>
                  <w:noWrap w:val="0"/>
                  <w:vAlign w:val="center"/>
                </w:tcPr>
                <w:p>
                  <w:pPr>
                    <w:jc w:val="center"/>
                    <w:rPr>
                      <w:color w:val="auto"/>
                      <w:szCs w:val="21"/>
                    </w:rPr>
                  </w:pPr>
                  <w:r>
                    <w:rPr>
                      <w:color w:val="auto"/>
                      <w:szCs w:val="21"/>
                    </w:rPr>
                    <w:t>6.70</w:t>
                  </w:r>
                </w:p>
              </w:tc>
              <w:tc>
                <w:tcPr>
                  <w:tcW w:w="581" w:type="pct"/>
                  <w:noWrap w:val="0"/>
                  <w:vAlign w:val="center"/>
                </w:tcPr>
                <w:p>
                  <w:pPr>
                    <w:jc w:val="center"/>
                    <w:rPr>
                      <w:color w:val="auto"/>
                      <w:szCs w:val="21"/>
                    </w:rPr>
                  </w:pPr>
                  <w:r>
                    <w:rPr>
                      <w:color w:val="auto"/>
                      <w:szCs w:val="21"/>
                    </w:rPr>
                    <w:t>6.06</w:t>
                  </w:r>
                </w:p>
              </w:tc>
              <w:tc>
                <w:tcPr>
                  <w:tcW w:w="581" w:type="pct"/>
                  <w:noWrap w:val="0"/>
                  <w:vAlign w:val="center"/>
                </w:tcPr>
                <w:p>
                  <w:pPr>
                    <w:jc w:val="center"/>
                    <w:rPr>
                      <w:color w:val="auto"/>
                      <w:szCs w:val="21"/>
                    </w:rPr>
                  </w:pPr>
                  <w:r>
                    <w:rPr>
                      <w:color w:val="auto"/>
                      <w:szCs w:val="21"/>
                    </w:rPr>
                    <w:t>5.30</w:t>
                  </w:r>
                </w:p>
              </w:tc>
              <w:tc>
                <w:tcPr>
                  <w:tcW w:w="582" w:type="pct"/>
                  <w:noWrap w:val="0"/>
                  <w:vAlign w:val="center"/>
                </w:tcPr>
                <w:p>
                  <w:pPr>
                    <w:jc w:val="center"/>
                    <w:rPr>
                      <w:color w:val="auto"/>
                      <w:szCs w:val="21"/>
                    </w:rPr>
                  </w:pPr>
                  <w:r>
                    <w:rPr>
                      <w:color w:val="auto"/>
                      <w:szCs w:val="21"/>
                    </w:rPr>
                    <w:t>4.66</w:t>
                  </w:r>
                </w:p>
              </w:tc>
              <w:tc>
                <w:tcPr>
                  <w:tcW w:w="572" w:type="pct"/>
                  <w:noWrap w:val="0"/>
                  <w:vAlign w:val="center"/>
                </w:tcPr>
                <w:p>
                  <w:pPr>
                    <w:jc w:val="center"/>
                    <w:rPr>
                      <w:color w:val="auto"/>
                      <w:szCs w:val="21"/>
                    </w:rPr>
                  </w:pPr>
                  <w:r>
                    <w:rPr>
                      <w:color w:val="auto"/>
                      <w:szCs w:val="21"/>
                    </w:rPr>
                    <w:t>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67" w:type="pct"/>
                  <w:vMerge w:val="continue"/>
                  <w:noWrap w:val="0"/>
                  <w:vAlign w:val="center"/>
                </w:tcPr>
                <w:p>
                  <w:pPr>
                    <w:jc w:val="center"/>
                    <w:rPr>
                      <w:color w:val="auto"/>
                      <w:szCs w:val="21"/>
                    </w:rPr>
                  </w:pPr>
                </w:p>
              </w:tc>
              <w:tc>
                <w:tcPr>
                  <w:tcW w:w="586" w:type="pct"/>
                  <w:noWrap w:val="0"/>
                  <w:vAlign w:val="center"/>
                </w:tcPr>
                <w:p>
                  <w:pPr>
                    <w:jc w:val="center"/>
                    <w:rPr>
                      <w:color w:val="auto"/>
                      <w:szCs w:val="21"/>
                    </w:rPr>
                  </w:pPr>
                  <w:r>
                    <w:rPr>
                      <w:color w:val="auto"/>
                      <w:szCs w:val="21"/>
                    </w:rPr>
                    <w:t>NOx</w:t>
                  </w:r>
                </w:p>
              </w:tc>
              <w:tc>
                <w:tcPr>
                  <w:tcW w:w="474" w:type="pct"/>
                  <w:noWrap w:val="0"/>
                  <w:vAlign w:val="center"/>
                </w:tcPr>
                <w:p>
                  <w:pPr>
                    <w:jc w:val="center"/>
                    <w:rPr>
                      <w:color w:val="auto"/>
                      <w:szCs w:val="21"/>
                    </w:rPr>
                  </w:pPr>
                  <w:r>
                    <w:rPr>
                      <w:color w:val="auto"/>
                      <w:szCs w:val="21"/>
                    </w:rPr>
                    <w:t>1.17</w:t>
                  </w:r>
                </w:p>
              </w:tc>
              <w:tc>
                <w:tcPr>
                  <w:tcW w:w="582" w:type="pct"/>
                  <w:noWrap w:val="0"/>
                  <w:vAlign w:val="center"/>
                </w:tcPr>
                <w:p>
                  <w:pPr>
                    <w:jc w:val="center"/>
                    <w:rPr>
                      <w:color w:val="auto"/>
                      <w:szCs w:val="21"/>
                    </w:rPr>
                  </w:pPr>
                  <w:r>
                    <w:rPr>
                      <w:color w:val="auto"/>
                      <w:szCs w:val="21"/>
                    </w:rPr>
                    <w:t>1.77</w:t>
                  </w:r>
                </w:p>
              </w:tc>
              <w:tc>
                <w:tcPr>
                  <w:tcW w:w="572" w:type="pct"/>
                  <w:noWrap w:val="0"/>
                  <w:vAlign w:val="center"/>
                </w:tcPr>
                <w:p>
                  <w:pPr>
                    <w:jc w:val="center"/>
                    <w:rPr>
                      <w:color w:val="auto"/>
                      <w:szCs w:val="21"/>
                    </w:rPr>
                  </w:pPr>
                  <w:r>
                    <w:rPr>
                      <w:color w:val="auto"/>
                      <w:szCs w:val="21"/>
                    </w:rPr>
                    <w:t>2.37</w:t>
                  </w:r>
                </w:p>
              </w:tc>
              <w:tc>
                <w:tcPr>
                  <w:tcW w:w="581" w:type="pct"/>
                  <w:noWrap w:val="0"/>
                  <w:vAlign w:val="center"/>
                </w:tcPr>
                <w:p>
                  <w:pPr>
                    <w:jc w:val="center"/>
                    <w:rPr>
                      <w:color w:val="auto"/>
                      <w:szCs w:val="21"/>
                    </w:rPr>
                  </w:pPr>
                  <w:r>
                    <w:rPr>
                      <w:color w:val="auto"/>
                      <w:szCs w:val="21"/>
                    </w:rPr>
                    <w:t>2.96</w:t>
                  </w:r>
                </w:p>
              </w:tc>
              <w:tc>
                <w:tcPr>
                  <w:tcW w:w="581" w:type="pct"/>
                  <w:noWrap w:val="0"/>
                  <w:vAlign w:val="center"/>
                </w:tcPr>
                <w:p>
                  <w:pPr>
                    <w:jc w:val="center"/>
                    <w:rPr>
                      <w:color w:val="auto"/>
                      <w:szCs w:val="21"/>
                    </w:rPr>
                  </w:pPr>
                  <w:r>
                    <w:rPr>
                      <w:color w:val="auto"/>
                      <w:szCs w:val="21"/>
                    </w:rPr>
                    <w:t>3.71</w:t>
                  </w:r>
                </w:p>
              </w:tc>
              <w:tc>
                <w:tcPr>
                  <w:tcW w:w="582" w:type="pct"/>
                  <w:noWrap w:val="0"/>
                  <w:vAlign w:val="center"/>
                </w:tcPr>
                <w:p>
                  <w:pPr>
                    <w:jc w:val="center"/>
                    <w:rPr>
                      <w:color w:val="auto"/>
                      <w:szCs w:val="21"/>
                    </w:rPr>
                  </w:pPr>
                  <w:r>
                    <w:rPr>
                      <w:color w:val="auto"/>
                      <w:szCs w:val="21"/>
                    </w:rPr>
                    <w:t>3.85</w:t>
                  </w:r>
                </w:p>
              </w:tc>
              <w:tc>
                <w:tcPr>
                  <w:tcW w:w="572" w:type="pct"/>
                  <w:noWrap w:val="0"/>
                  <w:vAlign w:val="center"/>
                </w:tcPr>
                <w:p>
                  <w:pPr>
                    <w:jc w:val="center"/>
                    <w:rPr>
                      <w:color w:val="auto"/>
                      <w:szCs w:val="21"/>
                    </w:rPr>
                  </w:pPr>
                  <w:r>
                    <w:rPr>
                      <w:color w:val="auto"/>
                      <w:szCs w:val="21"/>
                    </w:rPr>
                    <w:t>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67" w:type="pct"/>
                  <w:vMerge w:val="restart"/>
                  <w:noWrap w:val="0"/>
                  <w:vAlign w:val="center"/>
                </w:tcPr>
                <w:p>
                  <w:pPr>
                    <w:jc w:val="center"/>
                    <w:rPr>
                      <w:color w:val="auto"/>
                      <w:szCs w:val="21"/>
                    </w:rPr>
                  </w:pPr>
                  <w:r>
                    <w:rPr>
                      <w:color w:val="auto"/>
                      <w:szCs w:val="21"/>
                    </w:rPr>
                    <w:t>中型车</w:t>
                  </w:r>
                </w:p>
              </w:tc>
              <w:tc>
                <w:tcPr>
                  <w:tcW w:w="586" w:type="pct"/>
                  <w:noWrap w:val="0"/>
                  <w:vAlign w:val="center"/>
                </w:tcPr>
                <w:p>
                  <w:pPr>
                    <w:jc w:val="center"/>
                    <w:rPr>
                      <w:color w:val="auto"/>
                      <w:szCs w:val="21"/>
                    </w:rPr>
                  </w:pPr>
                  <w:r>
                    <w:rPr>
                      <w:color w:val="auto"/>
                      <w:szCs w:val="21"/>
                    </w:rPr>
                    <w:t>CO</w:t>
                  </w:r>
                </w:p>
              </w:tc>
              <w:tc>
                <w:tcPr>
                  <w:tcW w:w="474" w:type="pct"/>
                  <w:noWrap w:val="0"/>
                  <w:vAlign w:val="center"/>
                </w:tcPr>
                <w:p>
                  <w:pPr>
                    <w:jc w:val="center"/>
                    <w:rPr>
                      <w:color w:val="auto"/>
                      <w:szCs w:val="21"/>
                    </w:rPr>
                  </w:pPr>
                  <w:r>
                    <w:rPr>
                      <w:color w:val="auto"/>
                      <w:szCs w:val="21"/>
                    </w:rPr>
                    <w:t>34.17</w:t>
                  </w:r>
                </w:p>
              </w:tc>
              <w:tc>
                <w:tcPr>
                  <w:tcW w:w="582" w:type="pct"/>
                  <w:noWrap w:val="0"/>
                  <w:vAlign w:val="center"/>
                </w:tcPr>
                <w:p>
                  <w:pPr>
                    <w:jc w:val="center"/>
                    <w:rPr>
                      <w:color w:val="auto"/>
                      <w:szCs w:val="21"/>
                    </w:rPr>
                  </w:pPr>
                  <w:r>
                    <w:rPr>
                      <w:color w:val="auto"/>
                      <w:szCs w:val="21"/>
                    </w:rPr>
                    <w:t>30.18</w:t>
                  </w:r>
                </w:p>
              </w:tc>
              <w:tc>
                <w:tcPr>
                  <w:tcW w:w="572" w:type="pct"/>
                  <w:noWrap w:val="0"/>
                  <w:vAlign w:val="center"/>
                </w:tcPr>
                <w:p>
                  <w:pPr>
                    <w:jc w:val="center"/>
                    <w:rPr>
                      <w:color w:val="auto"/>
                      <w:szCs w:val="21"/>
                    </w:rPr>
                  </w:pPr>
                  <w:r>
                    <w:rPr>
                      <w:color w:val="auto"/>
                      <w:szCs w:val="21"/>
                    </w:rPr>
                    <w:t>28.55</w:t>
                  </w:r>
                </w:p>
              </w:tc>
              <w:tc>
                <w:tcPr>
                  <w:tcW w:w="581" w:type="pct"/>
                  <w:noWrap w:val="0"/>
                  <w:vAlign w:val="center"/>
                </w:tcPr>
                <w:p>
                  <w:pPr>
                    <w:jc w:val="center"/>
                    <w:rPr>
                      <w:color w:val="auto"/>
                      <w:szCs w:val="21"/>
                    </w:rPr>
                  </w:pPr>
                  <w:r>
                    <w:rPr>
                      <w:color w:val="auto"/>
                      <w:szCs w:val="21"/>
                    </w:rPr>
                    <w:t>26.19</w:t>
                  </w:r>
                </w:p>
              </w:tc>
              <w:tc>
                <w:tcPr>
                  <w:tcW w:w="581" w:type="pct"/>
                  <w:noWrap w:val="0"/>
                  <w:vAlign w:val="center"/>
                </w:tcPr>
                <w:p>
                  <w:pPr>
                    <w:jc w:val="center"/>
                    <w:rPr>
                      <w:color w:val="auto"/>
                      <w:szCs w:val="21"/>
                    </w:rPr>
                  </w:pPr>
                  <w:r>
                    <w:rPr>
                      <w:color w:val="auto"/>
                      <w:szCs w:val="21"/>
                    </w:rPr>
                    <w:t>25.47</w:t>
                  </w:r>
                </w:p>
              </w:tc>
              <w:tc>
                <w:tcPr>
                  <w:tcW w:w="582" w:type="pct"/>
                  <w:noWrap w:val="0"/>
                  <w:vAlign w:val="center"/>
                </w:tcPr>
                <w:p>
                  <w:pPr>
                    <w:jc w:val="center"/>
                    <w:rPr>
                      <w:color w:val="auto"/>
                      <w:szCs w:val="21"/>
                    </w:rPr>
                  </w:pPr>
                  <w:r>
                    <w:rPr>
                      <w:color w:val="auto"/>
                      <w:szCs w:val="21"/>
                    </w:rPr>
                    <w:t>24.76</w:t>
                  </w:r>
                </w:p>
              </w:tc>
              <w:tc>
                <w:tcPr>
                  <w:tcW w:w="572" w:type="pct"/>
                  <w:noWrap w:val="0"/>
                  <w:vAlign w:val="center"/>
                </w:tcPr>
                <w:p>
                  <w:pPr>
                    <w:jc w:val="center"/>
                    <w:rPr>
                      <w:color w:val="auto"/>
                      <w:szCs w:val="21"/>
                    </w:rPr>
                  </w:pPr>
                  <w:r>
                    <w:rPr>
                      <w:color w:val="auto"/>
                      <w:szCs w:val="21"/>
                    </w:rPr>
                    <w:t>23.65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67" w:type="pct"/>
                  <w:vMerge w:val="continue"/>
                  <w:noWrap w:val="0"/>
                  <w:vAlign w:val="center"/>
                </w:tcPr>
                <w:p>
                  <w:pPr>
                    <w:jc w:val="center"/>
                    <w:rPr>
                      <w:color w:val="auto"/>
                      <w:szCs w:val="21"/>
                    </w:rPr>
                  </w:pPr>
                </w:p>
              </w:tc>
              <w:tc>
                <w:tcPr>
                  <w:tcW w:w="586" w:type="pct"/>
                  <w:noWrap w:val="0"/>
                  <w:vAlign w:val="center"/>
                </w:tcPr>
                <w:p>
                  <w:pPr>
                    <w:jc w:val="center"/>
                    <w:rPr>
                      <w:color w:val="auto"/>
                      <w:szCs w:val="21"/>
                    </w:rPr>
                  </w:pPr>
                  <w:r>
                    <w:rPr>
                      <w:color w:val="auto"/>
                      <w:szCs w:val="21"/>
                    </w:rPr>
                    <w:t>THC</w:t>
                  </w:r>
                </w:p>
              </w:tc>
              <w:tc>
                <w:tcPr>
                  <w:tcW w:w="474" w:type="pct"/>
                  <w:noWrap w:val="0"/>
                  <w:vAlign w:val="center"/>
                </w:tcPr>
                <w:p>
                  <w:pPr>
                    <w:jc w:val="center"/>
                    <w:rPr>
                      <w:color w:val="auto"/>
                      <w:szCs w:val="21"/>
                    </w:rPr>
                  </w:pPr>
                  <w:r>
                    <w:rPr>
                      <w:color w:val="auto"/>
                      <w:szCs w:val="21"/>
                    </w:rPr>
                    <w:t>18.00</w:t>
                  </w:r>
                </w:p>
              </w:tc>
              <w:tc>
                <w:tcPr>
                  <w:tcW w:w="582" w:type="pct"/>
                  <w:noWrap w:val="0"/>
                  <w:vAlign w:val="center"/>
                </w:tcPr>
                <w:p>
                  <w:pPr>
                    <w:jc w:val="center"/>
                    <w:rPr>
                      <w:color w:val="auto"/>
                      <w:szCs w:val="21"/>
                    </w:rPr>
                  </w:pPr>
                  <w:r>
                    <w:rPr>
                      <w:color w:val="auto"/>
                      <w:szCs w:val="21"/>
                    </w:rPr>
                    <w:t>15.21</w:t>
                  </w:r>
                </w:p>
              </w:tc>
              <w:tc>
                <w:tcPr>
                  <w:tcW w:w="572" w:type="pct"/>
                  <w:noWrap w:val="0"/>
                  <w:vAlign w:val="center"/>
                </w:tcPr>
                <w:p>
                  <w:pPr>
                    <w:jc w:val="center"/>
                    <w:rPr>
                      <w:color w:val="auto"/>
                      <w:szCs w:val="21"/>
                    </w:rPr>
                  </w:pPr>
                  <w:r>
                    <w:rPr>
                      <w:color w:val="auto"/>
                      <w:szCs w:val="21"/>
                    </w:rPr>
                    <w:t>12.42</w:t>
                  </w:r>
                </w:p>
              </w:tc>
              <w:tc>
                <w:tcPr>
                  <w:tcW w:w="581" w:type="pct"/>
                  <w:noWrap w:val="0"/>
                  <w:vAlign w:val="center"/>
                </w:tcPr>
                <w:p>
                  <w:pPr>
                    <w:jc w:val="center"/>
                    <w:rPr>
                      <w:color w:val="auto"/>
                      <w:szCs w:val="21"/>
                    </w:rPr>
                  </w:pPr>
                  <w:r>
                    <w:rPr>
                      <w:color w:val="auto"/>
                      <w:szCs w:val="21"/>
                    </w:rPr>
                    <w:t>11.02</w:t>
                  </w:r>
                </w:p>
              </w:tc>
              <w:tc>
                <w:tcPr>
                  <w:tcW w:w="581" w:type="pct"/>
                  <w:noWrap w:val="0"/>
                  <w:vAlign w:val="center"/>
                </w:tcPr>
                <w:p>
                  <w:pPr>
                    <w:jc w:val="center"/>
                    <w:rPr>
                      <w:color w:val="auto"/>
                      <w:szCs w:val="21"/>
                    </w:rPr>
                  </w:pPr>
                  <w:r>
                    <w:rPr>
                      <w:color w:val="auto"/>
                      <w:szCs w:val="21"/>
                    </w:rPr>
                    <w:t>10.10</w:t>
                  </w:r>
                </w:p>
              </w:tc>
              <w:tc>
                <w:tcPr>
                  <w:tcW w:w="582" w:type="pct"/>
                  <w:noWrap w:val="0"/>
                  <w:vAlign w:val="center"/>
                </w:tcPr>
                <w:p>
                  <w:pPr>
                    <w:jc w:val="center"/>
                    <w:rPr>
                      <w:color w:val="auto"/>
                      <w:szCs w:val="21"/>
                    </w:rPr>
                  </w:pPr>
                  <w:r>
                    <w:rPr>
                      <w:color w:val="auto"/>
                      <w:szCs w:val="21"/>
                    </w:rPr>
                    <w:t>9.42</w:t>
                  </w:r>
                </w:p>
              </w:tc>
              <w:tc>
                <w:tcPr>
                  <w:tcW w:w="572" w:type="pct"/>
                  <w:noWrap w:val="0"/>
                  <w:vAlign w:val="center"/>
                </w:tcPr>
                <w:p>
                  <w:pPr>
                    <w:jc w:val="center"/>
                    <w:rPr>
                      <w:color w:val="auto"/>
                      <w:szCs w:val="21"/>
                    </w:rPr>
                  </w:pPr>
                  <w:r>
                    <w:rPr>
                      <w:color w:val="auto"/>
                      <w:szCs w:val="21"/>
                    </w:rPr>
                    <w:t>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67" w:type="pct"/>
                  <w:vMerge w:val="continue"/>
                  <w:noWrap w:val="0"/>
                  <w:vAlign w:val="center"/>
                </w:tcPr>
                <w:p>
                  <w:pPr>
                    <w:jc w:val="center"/>
                    <w:rPr>
                      <w:color w:val="auto"/>
                      <w:szCs w:val="21"/>
                    </w:rPr>
                  </w:pPr>
                </w:p>
              </w:tc>
              <w:tc>
                <w:tcPr>
                  <w:tcW w:w="586" w:type="pct"/>
                  <w:noWrap w:val="0"/>
                  <w:vAlign w:val="center"/>
                </w:tcPr>
                <w:p>
                  <w:pPr>
                    <w:jc w:val="center"/>
                    <w:rPr>
                      <w:color w:val="auto"/>
                      <w:szCs w:val="21"/>
                    </w:rPr>
                  </w:pPr>
                  <w:r>
                    <w:rPr>
                      <w:color w:val="auto"/>
                      <w:szCs w:val="21"/>
                    </w:rPr>
                    <w:t>NOx</w:t>
                  </w:r>
                </w:p>
              </w:tc>
              <w:tc>
                <w:tcPr>
                  <w:tcW w:w="474" w:type="pct"/>
                  <w:noWrap w:val="0"/>
                  <w:vAlign w:val="center"/>
                </w:tcPr>
                <w:p>
                  <w:pPr>
                    <w:jc w:val="center"/>
                    <w:rPr>
                      <w:color w:val="auto"/>
                      <w:szCs w:val="21"/>
                    </w:rPr>
                  </w:pPr>
                  <w:r>
                    <w:rPr>
                      <w:color w:val="auto"/>
                      <w:szCs w:val="21"/>
                    </w:rPr>
                    <w:t>4.50</w:t>
                  </w:r>
                </w:p>
              </w:tc>
              <w:tc>
                <w:tcPr>
                  <w:tcW w:w="582" w:type="pct"/>
                  <w:noWrap w:val="0"/>
                  <w:vAlign w:val="center"/>
                </w:tcPr>
                <w:p>
                  <w:pPr>
                    <w:jc w:val="center"/>
                    <w:rPr>
                      <w:color w:val="auto"/>
                      <w:szCs w:val="21"/>
                    </w:rPr>
                  </w:pPr>
                  <w:r>
                    <w:rPr>
                      <w:color w:val="auto"/>
                      <w:szCs w:val="21"/>
                    </w:rPr>
                    <w:t>5.40</w:t>
                  </w:r>
                </w:p>
              </w:tc>
              <w:tc>
                <w:tcPr>
                  <w:tcW w:w="572" w:type="pct"/>
                  <w:noWrap w:val="0"/>
                  <w:vAlign w:val="center"/>
                </w:tcPr>
                <w:p>
                  <w:pPr>
                    <w:jc w:val="center"/>
                    <w:rPr>
                      <w:color w:val="auto"/>
                      <w:szCs w:val="21"/>
                    </w:rPr>
                  </w:pPr>
                  <w:r>
                    <w:rPr>
                      <w:color w:val="auto"/>
                      <w:szCs w:val="21"/>
                    </w:rPr>
                    <w:t>6.30</w:t>
                  </w:r>
                </w:p>
              </w:tc>
              <w:tc>
                <w:tcPr>
                  <w:tcW w:w="581" w:type="pct"/>
                  <w:noWrap w:val="0"/>
                  <w:vAlign w:val="center"/>
                </w:tcPr>
                <w:p>
                  <w:pPr>
                    <w:jc w:val="center"/>
                    <w:rPr>
                      <w:color w:val="auto"/>
                      <w:szCs w:val="21"/>
                    </w:rPr>
                  </w:pPr>
                  <w:r>
                    <w:rPr>
                      <w:color w:val="auto"/>
                      <w:szCs w:val="21"/>
                    </w:rPr>
                    <w:t>7.20</w:t>
                  </w:r>
                </w:p>
              </w:tc>
              <w:tc>
                <w:tcPr>
                  <w:tcW w:w="581" w:type="pct"/>
                  <w:noWrap w:val="0"/>
                  <w:vAlign w:val="center"/>
                </w:tcPr>
                <w:p>
                  <w:pPr>
                    <w:jc w:val="center"/>
                    <w:rPr>
                      <w:color w:val="auto"/>
                      <w:szCs w:val="21"/>
                    </w:rPr>
                  </w:pPr>
                  <w:r>
                    <w:rPr>
                      <w:color w:val="auto"/>
                      <w:szCs w:val="21"/>
                    </w:rPr>
                    <w:t>8.30</w:t>
                  </w:r>
                </w:p>
              </w:tc>
              <w:tc>
                <w:tcPr>
                  <w:tcW w:w="582" w:type="pct"/>
                  <w:noWrap w:val="0"/>
                  <w:vAlign w:val="center"/>
                </w:tcPr>
                <w:p>
                  <w:pPr>
                    <w:jc w:val="center"/>
                    <w:rPr>
                      <w:color w:val="auto"/>
                      <w:szCs w:val="21"/>
                    </w:rPr>
                  </w:pPr>
                  <w:r>
                    <w:rPr>
                      <w:color w:val="auto"/>
                      <w:szCs w:val="21"/>
                    </w:rPr>
                    <w:t>8.80</w:t>
                  </w:r>
                </w:p>
              </w:tc>
              <w:tc>
                <w:tcPr>
                  <w:tcW w:w="572" w:type="pct"/>
                  <w:noWrap w:val="0"/>
                  <w:vAlign w:val="center"/>
                </w:tcPr>
                <w:p>
                  <w:pPr>
                    <w:jc w:val="center"/>
                    <w:rPr>
                      <w:color w:val="auto"/>
                      <w:szCs w:val="21"/>
                    </w:rPr>
                  </w:pPr>
                  <w:r>
                    <w:rPr>
                      <w:color w:val="auto"/>
                      <w:szCs w:val="21"/>
                    </w:rPr>
                    <w:t>9.30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67" w:type="pct"/>
                  <w:vMerge w:val="restart"/>
                  <w:noWrap w:val="0"/>
                  <w:vAlign w:val="center"/>
                </w:tcPr>
                <w:p>
                  <w:pPr>
                    <w:jc w:val="center"/>
                    <w:rPr>
                      <w:color w:val="auto"/>
                      <w:szCs w:val="21"/>
                    </w:rPr>
                  </w:pPr>
                  <w:r>
                    <w:rPr>
                      <w:color w:val="auto"/>
                      <w:szCs w:val="21"/>
                    </w:rPr>
                    <w:t>大型车</w:t>
                  </w:r>
                </w:p>
              </w:tc>
              <w:tc>
                <w:tcPr>
                  <w:tcW w:w="586" w:type="pct"/>
                  <w:noWrap w:val="0"/>
                  <w:vAlign w:val="center"/>
                </w:tcPr>
                <w:p>
                  <w:pPr>
                    <w:jc w:val="center"/>
                    <w:rPr>
                      <w:color w:val="auto"/>
                      <w:szCs w:val="21"/>
                    </w:rPr>
                  </w:pPr>
                  <w:r>
                    <w:rPr>
                      <w:color w:val="auto"/>
                      <w:szCs w:val="21"/>
                    </w:rPr>
                    <w:t>CO</w:t>
                  </w:r>
                </w:p>
              </w:tc>
              <w:tc>
                <w:tcPr>
                  <w:tcW w:w="474" w:type="pct"/>
                  <w:noWrap w:val="0"/>
                  <w:vAlign w:val="center"/>
                </w:tcPr>
                <w:p>
                  <w:pPr>
                    <w:jc w:val="center"/>
                    <w:rPr>
                      <w:color w:val="auto"/>
                      <w:szCs w:val="21"/>
                    </w:rPr>
                  </w:pPr>
                  <w:r>
                    <w:rPr>
                      <w:color w:val="auto"/>
                      <w:szCs w:val="21"/>
                    </w:rPr>
                    <w:t>6.02</w:t>
                  </w:r>
                </w:p>
              </w:tc>
              <w:tc>
                <w:tcPr>
                  <w:tcW w:w="582" w:type="pct"/>
                  <w:noWrap w:val="0"/>
                  <w:vAlign w:val="center"/>
                </w:tcPr>
                <w:p>
                  <w:pPr>
                    <w:jc w:val="center"/>
                    <w:rPr>
                      <w:color w:val="auto"/>
                      <w:szCs w:val="21"/>
                    </w:rPr>
                  </w:pPr>
                  <w:r>
                    <w:rPr>
                      <w:color w:val="auto"/>
                      <w:szCs w:val="21"/>
                    </w:rPr>
                    <w:t>5.25</w:t>
                  </w:r>
                </w:p>
              </w:tc>
              <w:tc>
                <w:tcPr>
                  <w:tcW w:w="572" w:type="pct"/>
                  <w:noWrap w:val="0"/>
                  <w:vAlign w:val="center"/>
                </w:tcPr>
                <w:p>
                  <w:pPr>
                    <w:jc w:val="center"/>
                    <w:rPr>
                      <w:color w:val="auto"/>
                      <w:szCs w:val="21"/>
                    </w:rPr>
                  </w:pPr>
                  <w:r>
                    <w:rPr>
                      <w:color w:val="auto"/>
                      <w:szCs w:val="21"/>
                    </w:rPr>
                    <w:t>4.48</w:t>
                  </w:r>
                </w:p>
              </w:tc>
              <w:tc>
                <w:tcPr>
                  <w:tcW w:w="581" w:type="pct"/>
                  <w:noWrap w:val="0"/>
                  <w:vAlign w:val="center"/>
                </w:tcPr>
                <w:p>
                  <w:pPr>
                    <w:jc w:val="center"/>
                    <w:rPr>
                      <w:color w:val="auto"/>
                      <w:szCs w:val="21"/>
                    </w:rPr>
                  </w:pPr>
                  <w:r>
                    <w:rPr>
                      <w:color w:val="auto"/>
                      <w:szCs w:val="21"/>
                    </w:rPr>
                    <w:t>4.1</w:t>
                  </w:r>
                </w:p>
              </w:tc>
              <w:tc>
                <w:tcPr>
                  <w:tcW w:w="581" w:type="pct"/>
                  <w:noWrap w:val="0"/>
                  <w:vAlign w:val="center"/>
                </w:tcPr>
                <w:p>
                  <w:pPr>
                    <w:jc w:val="center"/>
                    <w:rPr>
                      <w:color w:val="auto"/>
                      <w:szCs w:val="21"/>
                    </w:rPr>
                  </w:pPr>
                  <w:r>
                    <w:rPr>
                      <w:color w:val="auto"/>
                      <w:szCs w:val="21"/>
                    </w:rPr>
                    <w:t>4.01</w:t>
                  </w:r>
                </w:p>
              </w:tc>
              <w:tc>
                <w:tcPr>
                  <w:tcW w:w="582" w:type="pct"/>
                  <w:noWrap w:val="0"/>
                  <w:vAlign w:val="center"/>
                </w:tcPr>
                <w:p>
                  <w:pPr>
                    <w:jc w:val="center"/>
                    <w:rPr>
                      <w:color w:val="auto"/>
                      <w:szCs w:val="21"/>
                    </w:rPr>
                  </w:pPr>
                  <w:r>
                    <w:rPr>
                      <w:color w:val="auto"/>
                      <w:szCs w:val="21"/>
                    </w:rPr>
                    <w:t>4.23</w:t>
                  </w:r>
                </w:p>
              </w:tc>
              <w:tc>
                <w:tcPr>
                  <w:tcW w:w="572" w:type="pct"/>
                  <w:noWrap w:val="0"/>
                  <w:vAlign w:val="center"/>
                </w:tcPr>
                <w:p>
                  <w:pPr>
                    <w:jc w:val="center"/>
                    <w:rPr>
                      <w:color w:val="auto"/>
                      <w:szCs w:val="21"/>
                    </w:rPr>
                  </w:pPr>
                  <w:r>
                    <w:rPr>
                      <w:color w:val="auto"/>
                      <w:szCs w:val="21"/>
                    </w:rPr>
                    <w:t>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67" w:type="pct"/>
                  <w:vMerge w:val="continue"/>
                  <w:noWrap w:val="0"/>
                  <w:vAlign w:val="center"/>
                </w:tcPr>
                <w:p>
                  <w:pPr>
                    <w:jc w:val="center"/>
                    <w:rPr>
                      <w:color w:val="auto"/>
                      <w:szCs w:val="21"/>
                    </w:rPr>
                  </w:pPr>
                </w:p>
              </w:tc>
              <w:tc>
                <w:tcPr>
                  <w:tcW w:w="586" w:type="pct"/>
                  <w:noWrap w:val="0"/>
                  <w:vAlign w:val="center"/>
                </w:tcPr>
                <w:p>
                  <w:pPr>
                    <w:jc w:val="center"/>
                    <w:rPr>
                      <w:color w:val="auto"/>
                      <w:szCs w:val="21"/>
                    </w:rPr>
                  </w:pPr>
                  <w:r>
                    <w:rPr>
                      <w:color w:val="auto"/>
                      <w:szCs w:val="21"/>
                    </w:rPr>
                    <w:t>THC</w:t>
                  </w:r>
                </w:p>
              </w:tc>
              <w:tc>
                <w:tcPr>
                  <w:tcW w:w="474" w:type="pct"/>
                  <w:noWrap w:val="0"/>
                  <w:vAlign w:val="center"/>
                </w:tcPr>
                <w:p>
                  <w:pPr>
                    <w:jc w:val="center"/>
                    <w:rPr>
                      <w:color w:val="auto"/>
                      <w:szCs w:val="21"/>
                    </w:rPr>
                  </w:pPr>
                  <w:r>
                    <w:rPr>
                      <w:color w:val="auto"/>
                      <w:szCs w:val="21"/>
                    </w:rPr>
                    <w:t>2.37</w:t>
                  </w:r>
                </w:p>
              </w:tc>
              <w:tc>
                <w:tcPr>
                  <w:tcW w:w="582" w:type="pct"/>
                  <w:noWrap w:val="0"/>
                  <w:vAlign w:val="center"/>
                </w:tcPr>
                <w:p>
                  <w:pPr>
                    <w:jc w:val="center"/>
                    <w:rPr>
                      <w:color w:val="auto"/>
                      <w:szCs w:val="21"/>
                    </w:rPr>
                  </w:pPr>
                  <w:r>
                    <w:rPr>
                      <w:color w:val="auto"/>
                      <w:szCs w:val="21"/>
                    </w:rPr>
                    <w:t>2.08</w:t>
                  </w:r>
                </w:p>
              </w:tc>
              <w:tc>
                <w:tcPr>
                  <w:tcW w:w="572" w:type="pct"/>
                  <w:noWrap w:val="0"/>
                  <w:vAlign w:val="center"/>
                </w:tcPr>
                <w:p>
                  <w:pPr>
                    <w:jc w:val="center"/>
                    <w:rPr>
                      <w:color w:val="auto"/>
                      <w:szCs w:val="21"/>
                    </w:rPr>
                  </w:pPr>
                  <w:r>
                    <w:rPr>
                      <w:color w:val="auto"/>
                      <w:szCs w:val="21"/>
                    </w:rPr>
                    <w:t>1.79</w:t>
                  </w:r>
                </w:p>
              </w:tc>
              <w:tc>
                <w:tcPr>
                  <w:tcW w:w="581" w:type="pct"/>
                  <w:noWrap w:val="0"/>
                  <w:vAlign w:val="center"/>
                </w:tcPr>
                <w:p>
                  <w:pPr>
                    <w:jc w:val="center"/>
                    <w:rPr>
                      <w:color w:val="auto"/>
                      <w:szCs w:val="21"/>
                    </w:rPr>
                  </w:pPr>
                  <w:r>
                    <w:rPr>
                      <w:color w:val="auto"/>
                      <w:szCs w:val="21"/>
                    </w:rPr>
                    <w:t>1.58</w:t>
                  </w:r>
                </w:p>
              </w:tc>
              <w:tc>
                <w:tcPr>
                  <w:tcW w:w="581" w:type="pct"/>
                  <w:noWrap w:val="0"/>
                  <w:vAlign w:val="center"/>
                </w:tcPr>
                <w:p>
                  <w:pPr>
                    <w:jc w:val="center"/>
                    <w:rPr>
                      <w:color w:val="auto"/>
                      <w:szCs w:val="21"/>
                    </w:rPr>
                  </w:pPr>
                  <w:r>
                    <w:rPr>
                      <w:color w:val="auto"/>
                      <w:szCs w:val="21"/>
                    </w:rPr>
                    <w:t>1.45</w:t>
                  </w:r>
                </w:p>
              </w:tc>
              <w:tc>
                <w:tcPr>
                  <w:tcW w:w="582" w:type="pct"/>
                  <w:noWrap w:val="0"/>
                  <w:vAlign w:val="center"/>
                </w:tcPr>
                <w:p>
                  <w:pPr>
                    <w:jc w:val="center"/>
                    <w:rPr>
                      <w:color w:val="auto"/>
                      <w:szCs w:val="21"/>
                    </w:rPr>
                  </w:pPr>
                  <w:r>
                    <w:rPr>
                      <w:color w:val="auto"/>
                      <w:szCs w:val="21"/>
                    </w:rPr>
                    <w:t>1.38</w:t>
                  </w:r>
                </w:p>
              </w:tc>
              <w:tc>
                <w:tcPr>
                  <w:tcW w:w="572" w:type="pct"/>
                  <w:noWrap w:val="0"/>
                  <w:vAlign w:val="center"/>
                </w:tcPr>
                <w:p>
                  <w:pPr>
                    <w:jc w:val="center"/>
                    <w:rPr>
                      <w:color w:val="auto"/>
                      <w:szCs w:val="21"/>
                    </w:rPr>
                  </w:pPr>
                  <w:r>
                    <w:rPr>
                      <w:color w:val="auto"/>
                      <w:szCs w:val="21"/>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67" w:type="pct"/>
                  <w:vMerge w:val="continue"/>
                  <w:noWrap w:val="0"/>
                  <w:vAlign w:val="center"/>
                </w:tcPr>
                <w:p>
                  <w:pPr>
                    <w:jc w:val="center"/>
                    <w:rPr>
                      <w:color w:val="auto"/>
                      <w:szCs w:val="21"/>
                    </w:rPr>
                  </w:pPr>
                </w:p>
              </w:tc>
              <w:tc>
                <w:tcPr>
                  <w:tcW w:w="586" w:type="pct"/>
                  <w:noWrap w:val="0"/>
                  <w:vAlign w:val="center"/>
                </w:tcPr>
                <w:p>
                  <w:pPr>
                    <w:jc w:val="center"/>
                    <w:rPr>
                      <w:color w:val="auto"/>
                      <w:szCs w:val="21"/>
                    </w:rPr>
                  </w:pPr>
                  <w:r>
                    <w:rPr>
                      <w:color w:val="auto"/>
                      <w:szCs w:val="21"/>
                    </w:rPr>
                    <w:t>NOx</w:t>
                  </w:r>
                </w:p>
              </w:tc>
              <w:tc>
                <w:tcPr>
                  <w:tcW w:w="474" w:type="pct"/>
                  <w:noWrap w:val="0"/>
                  <w:vAlign w:val="center"/>
                </w:tcPr>
                <w:p>
                  <w:pPr>
                    <w:jc w:val="center"/>
                    <w:rPr>
                      <w:color w:val="auto"/>
                      <w:szCs w:val="21"/>
                    </w:rPr>
                  </w:pPr>
                  <w:r>
                    <w:rPr>
                      <w:color w:val="auto"/>
                      <w:szCs w:val="21"/>
                    </w:rPr>
                    <w:t>10.40</w:t>
                  </w:r>
                </w:p>
              </w:tc>
              <w:tc>
                <w:tcPr>
                  <w:tcW w:w="582" w:type="pct"/>
                  <w:noWrap w:val="0"/>
                  <w:vAlign w:val="center"/>
                </w:tcPr>
                <w:p>
                  <w:pPr>
                    <w:jc w:val="center"/>
                    <w:rPr>
                      <w:color w:val="auto"/>
                      <w:szCs w:val="21"/>
                    </w:rPr>
                  </w:pPr>
                  <w:r>
                    <w:rPr>
                      <w:color w:val="auto"/>
                      <w:szCs w:val="21"/>
                    </w:rPr>
                    <w:t>10.44</w:t>
                  </w:r>
                </w:p>
              </w:tc>
              <w:tc>
                <w:tcPr>
                  <w:tcW w:w="572" w:type="pct"/>
                  <w:noWrap w:val="0"/>
                  <w:vAlign w:val="center"/>
                </w:tcPr>
                <w:p>
                  <w:pPr>
                    <w:jc w:val="center"/>
                    <w:rPr>
                      <w:color w:val="auto"/>
                      <w:szCs w:val="21"/>
                    </w:rPr>
                  </w:pPr>
                  <w:r>
                    <w:rPr>
                      <w:color w:val="auto"/>
                      <w:szCs w:val="21"/>
                    </w:rPr>
                    <w:t>10.48</w:t>
                  </w:r>
                </w:p>
              </w:tc>
              <w:tc>
                <w:tcPr>
                  <w:tcW w:w="581" w:type="pct"/>
                  <w:noWrap w:val="0"/>
                  <w:vAlign w:val="center"/>
                </w:tcPr>
                <w:p>
                  <w:pPr>
                    <w:jc w:val="center"/>
                    <w:rPr>
                      <w:color w:val="auto"/>
                      <w:szCs w:val="21"/>
                    </w:rPr>
                  </w:pPr>
                  <w:r>
                    <w:rPr>
                      <w:color w:val="auto"/>
                      <w:szCs w:val="21"/>
                    </w:rPr>
                    <w:t>11.10</w:t>
                  </w:r>
                </w:p>
              </w:tc>
              <w:tc>
                <w:tcPr>
                  <w:tcW w:w="581" w:type="pct"/>
                  <w:noWrap w:val="0"/>
                  <w:vAlign w:val="center"/>
                </w:tcPr>
                <w:p>
                  <w:pPr>
                    <w:jc w:val="center"/>
                    <w:rPr>
                      <w:color w:val="auto"/>
                      <w:szCs w:val="21"/>
                    </w:rPr>
                  </w:pPr>
                  <w:r>
                    <w:rPr>
                      <w:color w:val="auto"/>
                      <w:szCs w:val="21"/>
                    </w:rPr>
                    <w:t>14.71</w:t>
                  </w:r>
                </w:p>
              </w:tc>
              <w:tc>
                <w:tcPr>
                  <w:tcW w:w="582" w:type="pct"/>
                  <w:noWrap w:val="0"/>
                  <w:vAlign w:val="center"/>
                </w:tcPr>
                <w:p>
                  <w:pPr>
                    <w:jc w:val="center"/>
                    <w:rPr>
                      <w:color w:val="auto"/>
                      <w:szCs w:val="21"/>
                    </w:rPr>
                  </w:pPr>
                  <w:r>
                    <w:rPr>
                      <w:color w:val="auto"/>
                      <w:szCs w:val="21"/>
                    </w:rPr>
                    <w:t>15.64</w:t>
                  </w:r>
                </w:p>
              </w:tc>
              <w:tc>
                <w:tcPr>
                  <w:tcW w:w="572" w:type="pct"/>
                  <w:noWrap w:val="0"/>
                  <w:vAlign w:val="center"/>
                </w:tcPr>
                <w:p>
                  <w:pPr>
                    <w:jc w:val="center"/>
                    <w:rPr>
                      <w:color w:val="auto"/>
                      <w:szCs w:val="21"/>
                    </w:rPr>
                  </w:pPr>
                  <w:r>
                    <w:rPr>
                      <w:color w:val="auto"/>
                      <w:szCs w:val="21"/>
                    </w:rPr>
                    <w:t>18.38</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jc w:val="left"/>
              <w:textAlignment w:val="auto"/>
              <w:rPr>
                <w:color w:val="FF0000"/>
                <w:kern w:val="0"/>
                <w:sz w:val="24"/>
                <w:szCs w:val="20"/>
                <w:highlight w:val="none"/>
              </w:rPr>
            </w:pPr>
            <w:r>
              <w:rPr>
                <w:color w:val="FF0000"/>
                <w:kern w:val="0"/>
                <w:sz w:val="24"/>
                <w:szCs w:val="20"/>
                <w:highlight w:val="none"/>
              </w:rPr>
              <w:t>（2）大气污染物排放源强</w:t>
            </w:r>
          </w:p>
          <w:p>
            <w:pPr>
              <w:spacing w:line="360" w:lineRule="auto"/>
              <w:ind w:firstLine="480" w:firstLineChars="200"/>
              <w:jc w:val="left"/>
              <w:rPr>
                <w:color w:val="FF0000"/>
                <w:sz w:val="24"/>
                <w:szCs w:val="20"/>
                <w:u w:val="single"/>
              </w:rPr>
            </w:pPr>
            <w:r>
              <w:rPr>
                <w:color w:val="FF0000"/>
                <w:sz w:val="24"/>
                <w:szCs w:val="20"/>
              </w:rPr>
              <w:t>本项目设计车速为</w:t>
            </w:r>
            <w:r>
              <w:rPr>
                <w:rFonts w:hint="eastAsia"/>
                <w:color w:val="FF0000"/>
                <w:sz w:val="24"/>
                <w:szCs w:val="20"/>
                <w:lang w:val="en-US" w:eastAsia="zh-CN"/>
              </w:rPr>
              <w:t>4</w:t>
            </w:r>
            <w:r>
              <w:rPr>
                <w:color w:val="FF0000"/>
                <w:sz w:val="24"/>
                <w:szCs w:val="20"/>
              </w:rPr>
              <w:t>0km/h，特征年各车型大气污染物排放量见表</w:t>
            </w:r>
            <w:r>
              <w:rPr>
                <w:rFonts w:hint="eastAsia"/>
                <w:color w:val="FF0000"/>
                <w:sz w:val="24"/>
                <w:szCs w:val="20"/>
              </w:rPr>
              <w:t>4-5</w:t>
            </w:r>
            <w:r>
              <w:rPr>
                <w:color w:val="FF0000"/>
                <w:sz w:val="24"/>
                <w:szCs w:val="20"/>
              </w:rPr>
              <w:t>。</w:t>
            </w:r>
          </w:p>
          <w:p>
            <w:pPr>
              <w:keepNext/>
              <w:keepLines/>
              <w:pageBreakBefore w:val="0"/>
              <w:widowControl w:val="0"/>
              <w:kinsoku/>
              <w:wordWrap/>
              <w:overflowPunct/>
              <w:topLinePunct w:val="0"/>
              <w:autoSpaceDE/>
              <w:autoSpaceDN/>
              <w:bidi w:val="0"/>
              <w:adjustRightInd w:val="0"/>
              <w:snapToGrid w:val="0"/>
              <w:spacing w:line="360" w:lineRule="auto"/>
              <w:jc w:val="center"/>
              <w:textAlignment w:val="auto"/>
              <w:rPr>
                <w:rFonts w:eastAsia="黑体"/>
                <w:bCs/>
                <w:color w:val="FF0000"/>
                <w:sz w:val="24"/>
              </w:rPr>
            </w:pPr>
            <w:r>
              <w:rPr>
                <w:b/>
                <w:color w:val="FF0000"/>
                <w:sz w:val="21"/>
                <w:szCs w:val="21"/>
              </w:rPr>
              <w:t xml:space="preserve">  表</w:t>
            </w:r>
            <w:r>
              <w:rPr>
                <w:rFonts w:hint="eastAsia"/>
                <w:b/>
                <w:color w:val="FF0000"/>
                <w:sz w:val="21"/>
                <w:szCs w:val="21"/>
              </w:rPr>
              <w:t>4-5</w:t>
            </w:r>
            <w:r>
              <w:rPr>
                <w:b/>
                <w:color w:val="FF0000"/>
                <w:sz w:val="21"/>
                <w:szCs w:val="21"/>
              </w:rPr>
              <w:t xml:space="preserve">     各特征年各车型大气污染物排放量       单位：mg/s·m</w:t>
            </w:r>
          </w:p>
          <w:tbl>
            <w:tblPr>
              <w:tblStyle w:val="26"/>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667"/>
              <w:gridCol w:w="1068"/>
              <w:gridCol w:w="1070"/>
              <w:gridCol w:w="1068"/>
              <w:gridCol w:w="1070"/>
              <w:gridCol w:w="1068"/>
              <w:gridCol w:w="1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1" w:type="pct"/>
                  <w:vMerge w:val="restart"/>
                  <w:noWrap w:val="0"/>
                  <w:vAlign w:val="center"/>
                </w:tcPr>
                <w:p>
                  <w:pPr>
                    <w:jc w:val="center"/>
                    <w:rPr>
                      <w:color w:val="FF0000"/>
                      <w:szCs w:val="21"/>
                    </w:rPr>
                  </w:pPr>
                  <w:r>
                    <w:rPr>
                      <w:color w:val="FF0000"/>
                      <w:szCs w:val="21"/>
                    </w:rPr>
                    <w:t>项目</w:t>
                  </w:r>
                </w:p>
              </w:tc>
              <w:tc>
                <w:tcPr>
                  <w:tcW w:w="429" w:type="pct"/>
                  <w:vMerge w:val="restart"/>
                  <w:noWrap w:val="0"/>
                  <w:vAlign w:val="center"/>
                </w:tcPr>
                <w:p>
                  <w:pPr>
                    <w:jc w:val="center"/>
                    <w:rPr>
                      <w:color w:val="FF0000"/>
                      <w:szCs w:val="21"/>
                    </w:rPr>
                  </w:pPr>
                  <w:r>
                    <w:rPr>
                      <w:color w:val="FF0000"/>
                      <w:szCs w:val="21"/>
                    </w:rPr>
                    <w:t>污染物</w:t>
                  </w:r>
                </w:p>
              </w:tc>
              <w:tc>
                <w:tcPr>
                  <w:tcW w:w="1375" w:type="pct"/>
                  <w:gridSpan w:val="2"/>
                  <w:noWrap w:val="0"/>
                  <w:vAlign w:val="center"/>
                </w:tcPr>
                <w:p>
                  <w:pPr>
                    <w:jc w:val="center"/>
                    <w:rPr>
                      <w:color w:val="FF0000"/>
                      <w:szCs w:val="21"/>
                    </w:rPr>
                  </w:pPr>
                  <w:r>
                    <w:rPr>
                      <w:color w:val="FF0000"/>
                      <w:szCs w:val="21"/>
                    </w:rPr>
                    <w:t>202</w:t>
                  </w:r>
                  <w:r>
                    <w:rPr>
                      <w:rFonts w:hint="eastAsia"/>
                      <w:color w:val="FF0000"/>
                      <w:szCs w:val="21"/>
                      <w:lang w:val="en-US" w:eastAsia="zh-CN"/>
                    </w:rPr>
                    <w:t>4</w:t>
                  </w:r>
                  <w:r>
                    <w:rPr>
                      <w:color w:val="FF0000"/>
                      <w:szCs w:val="21"/>
                    </w:rPr>
                    <w:t>年</w:t>
                  </w:r>
                </w:p>
              </w:tc>
              <w:tc>
                <w:tcPr>
                  <w:tcW w:w="1375" w:type="pct"/>
                  <w:gridSpan w:val="2"/>
                  <w:noWrap w:val="0"/>
                  <w:vAlign w:val="center"/>
                </w:tcPr>
                <w:p>
                  <w:pPr>
                    <w:jc w:val="center"/>
                    <w:rPr>
                      <w:color w:val="FF0000"/>
                      <w:szCs w:val="21"/>
                    </w:rPr>
                  </w:pPr>
                  <w:r>
                    <w:rPr>
                      <w:color w:val="FF0000"/>
                      <w:szCs w:val="21"/>
                    </w:rPr>
                    <w:t>20</w:t>
                  </w:r>
                  <w:r>
                    <w:rPr>
                      <w:rFonts w:hint="eastAsia"/>
                      <w:color w:val="FF0000"/>
                      <w:szCs w:val="21"/>
                      <w:lang w:val="en-US" w:eastAsia="zh-CN"/>
                    </w:rPr>
                    <w:t>30</w:t>
                  </w:r>
                  <w:r>
                    <w:rPr>
                      <w:color w:val="FF0000"/>
                      <w:szCs w:val="21"/>
                    </w:rPr>
                    <w:t>年</w:t>
                  </w:r>
                </w:p>
              </w:tc>
              <w:tc>
                <w:tcPr>
                  <w:tcW w:w="1408" w:type="pct"/>
                  <w:gridSpan w:val="2"/>
                  <w:noWrap w:val="0"/>
                  <w:vAlign w:val="center"/>
                </w:tcPr>
                <w:p>
                  <w:pPr>
                    <w:jc w:val="center"/>
                    <w:rPr>
                      <w:color w:val="FF0000"/>
                      <w:szCs w:val="21"/>
                    </w:rPr>
                  </w:pPr>
                  <w:r>
                    <w:rPr>
                      <w:color w:val="FF0000"/>
                      <w:szCs w:val="21"/>
                    </w:rPr>
                    <w:t>20</w:t>
                  </w:r>
                  <w:r>
                    <w:rPr>
                      <w:rFonts w:hint="eastAsia"/>
                      <w:color w:val="FF0000"/>
                      <w:szCs w:val="21"/>
                      <w:lang w:val="en-US" w:eastAsia="zh-CN"/>
                    </w:rPr>
                    <w:t>38</w:t>
                  </w:r>
                  <w:r>
                    <w:rPr>
                      <w:color w:val="FF0000"/>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1" w:type="pct"/>
                  <w:vMerge w:val="continue"/>
                  <w:noWrap w:val="0"/>
                  <w:vAlign w:val="center"/>
                </w:tcPr>
                <w:p>
                  <w:pPr>
                    <w:jc w:val="center"/>
                    <w:rPr>
                      <w:color w:val="FF0000"/>
                      <w:szCs w:val="21"/>
                    </w:rPr>
                  </w:pPr>
                </w:p>
              </w:tc>
              <w:tc>
                <w:tcPr>
                  <w:tcW w:w="429" w:type="pct"/>
                  <w:vMerge w:val="continue"/>
                  <w:noWrap w:val="0"/>
                  <w:vAlign w:val="center"/>
                </w:tcPr>
                <w:p>
                  <w:pPr>
                    <w:jc w:val="center"/>
                    <w:rPr>
                      <w:color w:val="FF0000"/>
                      <w:szCs w:val="21"/>
                    </w:rPr>
                  </w:pPr>
                </w:p>
              </w:tc>
              <w:tc>
                <w:tcPr>
                  <w:tcW w:w="687" w:type="pct"/>
                  <w:noWrap w:val="0"/>
                  <w:vAlign w:val="center"/>
                </w:tcPr>
                <w:p>
                  <w:pPr>
                    <w:jc w:val="center"/>
                    <w:rPr>
                      <w:color w:val="FF0000"/>
                      <w:szCs w:val="21"/>
                    </w:rPr>
                  </w:pPr>
                  <w:r>
                    <w:rPr>
                      <w:color w:val="FF0000"/>
                      <w:szCs w:val="21"/>
                    </w:rPr>
                    <w:t>昼间平均</w:t>
                  </w:r>
                </w:p>
              </w:tc>
              <w:tc>
                <w:tcPr>
                  <w:tcW w:w="688" w:type="pct"/>
                  <w:noWrap w:val="0"/>
                  <w:vAlign w:val="center"/>
                </w:tcPr>
                <w:p>
                  <w:pPr>
                    <w:jc w:val="center"/>
                    <w:rPr>
                      <w:color w:val="FF0000"/>
                      <w:szCs w:val="21"/>
                    </w:rPr>
                  </w:pPr>
                  <w:r>
                    <w:rPr>
                      <w:color w:val="FF0000"/>
                      <w:szCs w:val="21"/>
                    </w:rPr>
                    <w:t>夜间平均</w:t>
                  </w:r>
                </w:p>
              </w:tc>
              <w:tc>
                <w:tcPr>
                  <w:tcW w:w="687" w:type="pct"/>
                  <w:noWrap w:val="0"/>
                  <w:vAlign w:val="center"/>
                </w:tcPr>
                <w:p>
                  <w:pPr>
                    <w:jc w:val="center"/>
                    <w:rPr>
                      <w:color w:val="FF0000"/>
                      <w:szCs w:val="21"/>
                    </w:rPr>
                  </w:pPr>
                  <w:r>
                    <w:rPr>
                      <w:color w:val="FF0000"/>
                      <w:szCs w:val="21"/>
                    </w:rPr>
                    <w:t>昼间平均</w:t>
                  </w:r>
                </w:p>
              </w:tc>
              <w:tc>
                <w:tcPr>
                  <w:tcW w:w="688" w:type="pct"/>
                  <w:noWrap w:val="0"/>
                  <w:vAlign w:val="center"/>
                </w:tcPr>
                <w:p>
                  <w:pPr>
                    <w:jc w:val="center"/>
                    <w:rPr>
                      <w:color w:val="FF0000"/>
                      <w:szCs w:val="21"/>
                    </w:rPr>
                  </w:pPr>
                  <w:r>
                    <w:rPr>
                      <w:color w:val="FF0000"/>
                      <w:szCs w:val="21"/>
                    </w:rPr>
                    <w:t>夜间平均</w:t>
                  </w:r>
                </w:p>
              </w:tc>
              <w:tc>
                <w:tcPr>
                  <w:tcW w:w="687" w:type="pct"/>
                  <w:noWrap w:val="0"/>
                  <w:vAlign w:val="center"/>
                </w:tcPr>
                <w:p>
                  <w:pPr>
                    <w:jc w:val="center"/>
                    <w:rPr>
                      <w:color w:val="FF0000"/>
                      <w:szCs w:val="21"/>
                    </w:rPr>
                  </w:pPr>
                  <w:r>
                    <w:rPr>
                      <w:color w:val="FF0000"/>
                      <w:szCs w:val="21"/>
                    </w:rPr>
                    <w:t>昼间平均</w:t>
                  </w:r>
                </w:p>
              </w:tc>
              <w:tc>
                <w:tcPr>
                  <w:tcW w:w="721" w:type="pct"/>
                  <w:noWrap w:val="0"/>
                  <w:vAlign w:val="center"/>
                </w:tcPr>
                <w:p>
                  <w:pPr>
                    <w:jc w:val="center"/>
                    <w:rPr>
                      <w:color w:val="FF0000"/>
                      <w:szCs w:val="21"/>
                    </w:rPr>
                  </w:pPr>
                  <w:r>
                    <w:rPr>
                      <w:color w:val="FF0000"/>
                      <w:szCs w:val="21"/>
                    </w:rPr>
                    <w:t>夜间平均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1" w:type="pct"/>
                  <w:vMerge w:val="restart"/>
                  <w:noWrap w:val="0"/>
                  <w:vAlign w:val="center"/>
                </w:tcPr>
                <w:p>
                  <w:pPr>
                    <w:jc w:val="center"/>
                    <w:rPr>
                      <w:rFonts w:hint="default" w:eastAsia="宋体"/>
                      <w:color w:val="FF0000"/>
                      <w:szCs w:val="21"/>
                      <w:lang w:val="en-US" w:eastAsia="zh-CN"/>
                    </w:rPr>
                  </w:pPr>
                  <w:r>
                    <w:rPr>
                      <w:rFonts w:hint="eastAsia"/>
                      <w:color w:val="FF0000"/>
                      <w:szCs w:val="21"/>
                      <w:lang w:val="en-US" w:eastAsia="zh-CN"/>
                    </w:rPr>
                    <w:t>宁县滨河大桥</w:t>
                  </w:r>
                </w:p>
              </w:tc>
              <w:tc>
                <w:tcPr>
                  <w:tcW w:w="429" w:type="pct"/>
                  <w:noWrap w:val="0"/>
                  <w:vAlign w:val="center"/>
                </w:tcPr>
                <w:p>
                  <w:pPr>
                    <w:jc w:val="center"/>
                    <w:rPr>
                      <w:color w:val="FF0000"/>
                      <w:szCs w:val="21"/>
                    </w:rPr>
                  </w:pPr>
                  <w:r>
                    <w:rPr>
                      <w:color w:val="FF0000"/>
                      <w:szCs w:val="21"/>
                    </w:rPr>
                    <w:t>CO</w:t>
                  </w:r>
                </w:p>
              </w:tc>
              <w:tc>
                <w:tcPr>
                  <w:tcW w:w="1070" w:type="dxa"/>
                  <w:noWrap w:val="0"/>
                  <w:vAlign w:val="center"/>
                </w:tcPr>
                <w:p>
                  <w:pPr>
                    <w:jc w:val="center"/>
                    <w:rPr>
                      <w:rFonts w:hint="default" w:eastAsia="宋体"/>
                      <w:color w:val="FF0000"/>
                      <w:szCs w:val="21"/>
                      <w:lang w:val="en-US" w:eastAsia="zh-CN"/>
                    </w:rPr>
                  </w:pPr>
                  <w:r>
                    <w:rPr>
                      <w:color w:val="FF0000"/>
                      <w:szCs w:val="21"/>
                    </w:rPr>
                    <w:t>1.</w:t>
                  </w:r>
                  <w:r>
                    <w:rPr>
                      <w:rFonts w:hint="eastAsia"/>
                      <w:color w:val="FF0000"/>
                      <w:szCs w:val="21"/>
                      <w:lang w:val="en-US" w:eastAsia="zh-CN"/>
                    </w:rPr>
                    <w:t>15</w:t>
                  </w:r>
                </w:p>
              </w:tc>
              <w:tc>
                <w:tcPr>
                  <w:tcW w:w="1071" w:type="dxa"/>
                  <w:noWrap w:val="0"/>
                  <w:vAlign w:val="center"/>
                </w:tcPr>
                <w:p>
                  <w:pPr>
                    <w:jc w:val="center"/>
                    <w:rPr>
                      <w:rFonts w:hint="default"/>
                      <w:color w:val="FF0000"/>
                      <w:szCs w:val="21"/>
                      <w:lang w:val="en-US" w:eastAsia="zh-CN"/>
                    </w:rPr>
                  </w:pPr>
                  <w:r>
                    <w:rPr>
                      <w:rFonts w:hint="eastAsia"/>
                      <w:color w:val="FF0000"/>
                      <w:szCs w:val="21"/>
                      <w:lang w:val="en-US" w:eastAsia="zh-CN"/>
                    </w:rPr>
                    <w:t>0.29</w:t>
                  </w:r>
                </w:p>
              </w:tc>
              <w:tc>
                <w:tcPr>
                  <w:tcW w:w="1070" w:type="dxa"/>
                  <w:noWrap w:val="0"/>
                  <w:vAlign w:val="center"/>
                </w:tcPr>
                <w:p>
                  <w:pPr>
                    <w:jc w:val="center"/>
                    <w:rPr>
                      <w:rFonts w:hint="default"/>
                      <w:color w:val="FF0000"/>
                      <w:szCs w:val="21"/>
                      <w:lang w:val="en-US" w:eastAsia="zh-CN"/>
                    </w:rPr>
                  </w:pPr>
                  <w:r>
                    <w:rPr>
                      <w:rFonts w:hint="eastAsia"/>
                      <w:color w:val="FF0000"/>
                      <w:szCs w:val="21"/>
                      <w:lang w:val="en-US" w:eastAsia="zh-CN"/>
                    </w:rPr>
                    <w:t>1.62</w:t>
                  </w:r>
                </w:p>
              </w:tc>
              <w:tc>
                <w:tcPr>
                  <w:tcW w:w="1071" w:type="dxa"/>
                  <w:noWrap w:val="0"/>
                  <w:vAlign w:val="center"/>
                </w:tcPr>
                <w:p>
                  <w:pPr>
                    <w:jc w:val="center"/>
                    <w:rPr>
                      <w:rFonts w:hint="default"/>
                      <w:color w:val="FF0000"/>
                      <w:szCs w:val="21"/>
                      <w:lang w:val="en-US" w:eastAsia="zh-CN"/>
                    </w:rPr>
                  </w:pPr>
                  <w:r>
                    <w:rPr>
                      <w:rFonts w:hint="eastAsia"/>
                      <w:color w:val="FF0000"/>
                      <w:szCs w:val="21"/>
                      <w:lang w:val="en-US" w:eastAsia="zh-CN"/>
                    </w:rPr>
                    <w:t>0.41</w:t>
                  </w:r>
                </w:p>
              </w:tc>
              <w:tc>
                <w:tcPr>
                  <w:tcW w:w="1070" w:type="dxa"/>
                  <w:noWrap w:val="0"/>
                  <w:vAlign w:val="center"/>
                </w:tcPr>
                <w:p>
                  <w:pPr>
                    <w:jc w:val="center"/>
                    <w:rPr>
                      <w:rFonts w:hint="default"/>
                      <w:color w:val="FF0000"/>
                      <w:szCs w:val="21"/>
                      <w:lang w:val="en-US" w:eastAsia="zh-CN"/>
                    </w:rPr>
                  </w:pPr>
                  <w:r>
                    <w:rPr>
                      <w:rFonts w:hint="eastAsia"/>
                      <w:color w:val="FF0000"/>
                      <w:szCs w:val="21"/>
                      <w:lang w:val="en-US" w:eastAsia="zh-CN"/>
                    </w:rPr>
                    <w:t>2.31</w:t>
                  </w:r>
                </w:p>
              </w:tc>
              <w:tc>
                <w:tcPr>
                  <w:tcW w:w="1123" w:type="dxa"/>
                  <w:noWrap w:val="0"/>
                  <w:vAlign w:val="center"/>
                </w:tcPr>
                <w:p>
                  <w:pPr>
                    <w:jc w:val="center"/>
                    <w:rPr>
                      <w:rFonts w:hint="default"/>
                      <w:color w:val="FF0000"/>
                      <w:szCs w:val="21"/>
                      <w:lang w:val="en-US" w:eastAsia="zh-CN"/>
                    </w:rPr>
                  </w:pPr>
                  <w:r>
                    <w:rPr>
                      <w:rFonts w:hint="eastAsia"/>
                      <w:color w:val="FF0000"/>
                      <w:szCs w:val="21"/>
                      <w:lang w:val="en-US" w:eastAsia="zh-CN"/>
                    </w:rPr>
                    <w:t>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1" w:type="pct"/>
                  <w:vMerge w:val="continue"/>
                  <w:noWrap w:val="0"/>
                  <w:vAlign w:val="center"/>
                </w:tcPr>
                <w:p>
                  <w:pPr>
                    <w:jc w:val="center"/>
                    <w:rPr>
                      <w:color w:val="FF0000"/>
                      <w:szCs w:val="21"/>
                    </w:rPr>
                  </w:pPr>
                </w:p>
              </w:tc>
              <w:tc>
                <w:tcPr>
                  <w:tcW w:w="429" w:type="pct"/>
                  <w:noWrap w:val="0"/>
                  <w:vAlign w:val="center"/>
                </w:tcPr>
                <w:p>
                  <w:pPr>
                    <w:jc w:val="center"/>
                    <w:rPr>
                      <w:color w:val="FF0000"/>
                      <w:szCs w:val="21"/>
                    </w:rPr>
                  </w:pPr>
                  <w:r>
                    <w:rPr>
                      <w:color w:val="FF0000"/>
                      <w:szCs w:val="21"/>
                    </w:rPr>
                    <w:t>NO</w:t>
                  </w:r>
                  <w:r>
                    <w:rPr>
                      <w:color w:val="FF0000"/>
                      <w:szCs w:val="21"/>
                      <w:vertAlign w:val="subscript"/>
                    </w:rPr>
                    <w:t>X</w:t>
                  </w:r>
                  <w:r>
                    <w:rPr>
                      <w:color w:val="FF0000"/>
                      <w:szCs w:val="21"/>
                    </w:rPr>
                    <w:softHyphen/>
                  </w:r>
                </w:p>
              </w:tc>
              <w:tc>
                <w:tcPr>
                  <w:tcW w:w="1070" w:type="dxa"/>
                  <w:noWrap w:val="0"/>
                  <w:vAlign w:val="center"/>
                </w:tcPr>
                <w:p>
                  <w:pPr>
                    <w:jc w:val="center"/>
                    <w:rPr>
                      <w:rFonts w:hint="default"/>
                      <w:color w:val="FF0000"/>
                      <w:szCs w:val="21"/>
                      <w:lang w:val="en-US" w:eastAsia="zh-CN"/>
                    </w:rPr>
                  </w:pPr>
                  <w:r>
                    <w:rPr>
                      <w:rFonts w:hint="eastAsia"/>
                      <w:color w:val="FF0000"/>
                      <w:szCs w:val="21"/>
                      <w:lang w:val="en-US" w:eastAsia="zh-CN"/>
                    </w:rPr>
                    <w:t>0.17</w:t>
                  </w:r>
                </w:p>
              </w:tc>
              <w:tc>
                <w:tcPr>
                  <w:tcW w:w="1071" w:type="dxa"/>
                  <w:noWrap w:val="0"/>
                  <w:vAlign w:val="center"/>
                </w:tcPr>
                <w:p>
                  <w:pPr>
                    <w:jc w:val="center"/>
                    <w:rPr>
                      <w:rFonts w:hint="default"/>
                      <w:color w:val="FF0000"/>
                      <w:szCs w:val="21"/>
                      <w:lang w:val="en-US" w:eastAsia="zh-CN"/>
                    </w:rPr>
                  </w:pPr>
                  <w:r>
                    <w:rPr>
                      <w:rFonts w:hint="eastAsia"/>
                      <w:color w:val="FF0000"/>
                      <w:szCs w:val="21"/>
                      <w:lang w:val="en-US" w:eastAsia="zh-CN"/>
                    </w:rPr>
                    <w:t>0.04</w:t>
                  </w:r>
                </w:p>
              </w:tc>
              <w:tc>
                <w:tcPr>
                  <w:tcW w:w="1070" w:type="dxa"/>
                  <w:noWrap w:val="0"/>
                  <w:vAlign w:val="center"/>
                </w:tcPr>
                <w:p>
                  <w:pPr>
                    <w:jc w:val="center"/>
                    <w:rPr>
                      <w:rFonts w:hint="default"/>
                      <w:color w:val="FF0000"/>
                      <w:szCs w:val="21"/>
                      <w:lang w:val="en-US" w:eastAsia="zh-CN"/>
                    </w:rPr>
                  </w:pPr>
                  <w:r>
                    <w:rPr>
                      <w:rFonts w:hint="eastAsia"/>
                      <w:color w:val="FF0000"/>
                      <w:szCs w:val="21"/>
                      <w:lang w:val="en-US" w:eastAsia="zh-CN"/>
                    </w:rPr>
                    <w:t>0.25</w:t>
                  </w:r>
                </w:p>
              </w:tc>
              <w:tc>
                <w:tcPr>
                  <w:tcW w:w="1071" w:type="dxa"/>
                  <w:noWrap w:val="0"/>
                  <w:vAlign w:val="center"/>
                </w:tcPr>
                <w:p>
                  <w:pPr>
                    <w:jc w:val="center"/>
                    <w:rPr>
                      <w:rFonts w:hint="default"/>
                      <w:color w:val="FF0000"/>
                      <w:szCs w:val="21"/>
                      <w:lang w:val="en-US" w:eastAsia="zh-CN"/>
                    </w:rPr>
                  </w:pPr>
                  <w:r>
                    <w:rPr>
                      <w:rFonts w:hint="eastAsia"/>
                      <w:color w:val="FF0000"/>
                      <w:szCs w:val="21"/>
                      <w:lang w:val="en-US" w:eastAsia="zh-CN"/>
                    </w:rPr>
                    <w:t>0.07</w:t>
                  </w:r>
                </w:p>
              </w:tc>
              <w:tc>
                <w:tcPr>
                  <w:tcW w:w="1070" w:type="dxa"/>
                  <w:noWrap w:val="0"/>
                  <w:vAlign w:val="center"/>
                </w:tcPr>
                <w:p>
                  <w:pPr>
                    <w:jc w:val="center"/>
                    <w:rPr>
                      <w:rFonts w:hint="default"/>
                      <w:color w:val="FF0000"/>
                      <w:szCs w:val="21"/>
                      <w:lang w:val="en-US" w:eastAsia="zh-CN"/>
                    </w:rPr>
                  </w:pPr>
                  <w:r>
                    <w:rPr>
                      <w:rFonts w:hint="eastAsia"/>
                      <w:color w:val="FF0000"/>
                      <w:szCs w:val="21"/>
                      <w:lang w:val="en-US" w:eastAsia="zh-CN"/>
                    </w:rPr>
                    <w:t>0.37</w:t>
                  </w:r>
                </w:p>
              </w:tc>
              <w:tc>
                <w:tcPr>
                  <w:tcW w:w="1123" w:type="dxa"/>
                  <w:noWrap w:val="0"/>
                  <w:vAlign w:val="center"/>
                </w:tcPr>
                <w:p>
                  <w:pPr>
                    <w:jc w:val="center"/>
                    <w:rPr>
                      <w:rFonts w:hint="default"/>
                      <w:color w:val="FF0000"/>
                      <w:szCs w:val="21"/>
                      <w:lang w:val="en-US" w:eastAsia="zh-CN"/>
                    </w:rPr>
                  </w:pPr>
                  <w:r>
                    <w:rPr>
                      <w:rFonts w:hint="eastAsia"/>
                      <w:color w:val="FF0000"/>
                      <w:szCs w:val="21"/>
                      <w:lang w:val="en-US" w:eastAsia="zh-CN"/>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1" w:type="pct"/>
                  <w:vMerge w:val="continue"/>
                  <w:noWrap w:val="0"/>
                  <w:vAlign w:val="center"/>
                </w:tcPr>
                <w:p>
                  <w:pPr>
                    <w:jc w:val="center"/>
                    <w:rPr>
                      <w:color w:val="FF0000"/>
                      <w:szCs w:val="21"/>
                    </w:rPr>
                  </w:pPr>
                </w:p>
              </w:tc>
              <w:tc>
                <w:tcPr>
                  <w:tcW w:w="429" w:type="pct"/>
                  <w:noWrap w:val="0"/>
                  <w:vAlign w:val="center"/>
                </w:tcPr>
                <w:p>
                  <w:pPr>
                    <w:jc w:val="center"/>
                    <w:rPr>
                      <w:color w:val="FF0000"/>
                      <w:szCs w:val="21"/>
                    </w:rPr>
                  </w:pPr>
                  <w:r>
                    <w:rPr>
                      <w:color w:val="FF0000"/>
                      <w:szCs w:val="21"/>
                    </w:rPr>
                    <w:t>THC</w:t>
                  </w:r>
                </w:p>
              </w:tc>
              <w:tc>
                <w:tcPr>
                  <w:tcW w:w="1070" w:type="dxa"/>
                  <w:noWrap w:val="0"/>
                  <w:vAlign w:val="center"/>
                </w:tcPr>
                <w:p>
                  <w:pPr>
                    <w:jc w:val="center"/>
                    <w:rPr>
                      <w:rFonts w:hint="default"/>
                      <w:color w:val="FF0000"/>
                      <w:szCs w:val="21"/>
                      <w:lang w:val="en-US" w:eastAsia="zh-CN"/>
                    </w:rPr>
                  </w:pPr>
                  <w:r>
                    <w:rPr>
                      <w:rFonts w:hint="eastAsia"/>
                      <w:color w:val="FF0000"/>
                      <w:szCs w:val="21"/>
                      <w:lang w:val="en-US" w:eastAsia="zh-CN"/>
                    </w:rPr>
                    <w:t>0.35</w:t>
                  </w:r>
                </w:p>
              </w:tc>
              <w:tc>
                <w:tcPr>
                  <w:tcW w:w="1071" w:type="dxa"/>
                  <w:noWrap w:val="0"/>
                  <w:vAlign w:val="center"/>
                </w:tcPr>
                <w:p>
                  <w:pPr>
                    <w:jc w:val="center"/>
                    <w:rPr>
                      <w:rFonts w:hint="default"/>
                      <w:color w:val="FF0000"/>
                      <w:szCs w:val="21"/>
                      <w:lang w:val="en-US" w:eastAsia="zh-CN"/>
                    </w:rPr>
                  </w:pPr>
                  <w:r>
                    <w:rPr>
                      <w:rFonts w:hint="eastAsia"/>
                      <w:color w:val="FF0000"/>
                      <w:szCs w:val="21"/>
                      <w:lang w:val="en-US" w:eastAsia="zh-CN"/>
                    </w:rPr>
                    <w:t>0.09</w:t>
                  </w:r>
                </w:p>
              </w:tc>
              <w:tc>
                <w:tcPr>
                  <w:tcW w:w="1070" w:type="dxa"/>
                  <w:noWrap w:val="0"/>
                  <w:vAlign w:val="center"/>
                </w:tcPr>
                <w:p>
                  <w:pPr>
                    <w:jc w:val="center"/>
                    <w:rPr>
                      <w:rFonts w:hint="default"/>
                      <w:color w:val="FF0000"/>
                      <w:szCs w:val="21"/>
                      <w:lang w:val="en-US" w:eastAsia="zh-CN"/>
                    </w:rPr>
                  </w:pPr>
                  <w:r>
                    <w:rPr>
                      <w:rFonts w:hint="eastAsia"/>
                      <w:color w:val="FF0000"/>
                      <w:szCs w:val="21"/>
                      <w:lang w:val="en-US" w:eastAsia="zh-CN"/>
                    </w:rPr>
                    <w:t>0.49</w:t>
                  </w:r>
                </w:p>
              </w:tc>
              <w:tc>
                <w:tcPr>
                  <w:tcW w:w="1071" w:type="dxa"/>
                  <w:noWrap w:val="0"/>
                  <w:vAlign w:val="center"/>
                </w:tcPr>
                <w:p>
                  <w:pPr>
                    <w:jc w:val="center"/>
                    <w:rPr>
                      <w:rFonts w:hint="default"/>
                      <w:color w:val="FF0000"/>
                      <w:szCs w:val="21"/>
                      <w:lang w:val="en-US" w:eastAsia="zh-CN"/>
                    </w:rPr>
                  </w:pPr>
                  <w:r>
                    <w:rPr>
                      <w:rFonts w:hint="eastAsia"/>
                      <w:color w:val="FF0000"/>
                      <w:szCs w:val="21"/>
                      <w:lang w:val="en-US" w:eastAsia="zh-CN"/>
                    </w:rPr>
                    <w:t>0.12</w:t>
                  </w:r>
                </w:p>
              </w:tc>
              <w:tc>
                <w:tcPr>
                  <w:tcW w:w="1070" w:type="dxa"/>
                  <w:noWrap w:val="0"/>
                  <w:vAlign w:val="center"/>
                </w:tcPr>
                <w:p>
                  <w:pPr>
                    <w:jc w:val="center"/>
                    <w:rPr>
                      <w:rFonts w:hint="default"/>
                      <w:color w:val="FF0000"/>
                      <w:szCs w:val="21"/>
                      <w:lang w:val="en-US" w:eastAsia="zh-CN"/>
                    </w:rPr>
                  </w:pPr>
                  <w:r>
                    <w:rPr>
                      <w:rFonts w:hint="eastAsia"/>
                      <w:color w:val="FF0000"/>
                      <w:szCs w:val="21"/>
                      <w:lang w:val="en-US" w:eastAsia="zh-CN"/>
                    </w:rPr>
                    <w:t>0.71</w:t>
                  </w:r>
                </w:p>
              </w:tc>
              <w:tc>
                <w:tcPr>
                  <w:tcW w:w="1123" w:type="dxa"/>
                  <w:noWrap w:val="0"/>
                  <w:vAlign w:val="center"/>
                </w:tcPr>
                <w:p>
                  <w:pPr>
                    <w:jc w:val="center"/>
                    <w:rPr>
                      <w:rFonts w:hint="default"/>
                      <w:color w:val="FF0000"/>
                      <w:szCs w:val="21"/>
                      <w:lang w:val="en-US" w:eastAsia="zh-CN"/>
                    </w:rPr>
                  </w:pPr>
                  <w:r>
                    <w:rPr>
                      <w:rFonts w:hint="eastAsia"/>
                      <w:color w:val="FF0000"/>
                      <w:szCs w:val="21"/>
                      <w:lang w:val="en-US" w:eastAsia="zh-CN"/>
                    </w:rPr>
                    <w:t>0.17</w:t>
                  </w:r>
                </w:p>
              </w:tc>
            </w:tr>
          </w:tbl>
          <w:p>
            <w:pPr>
              <w:adjustRightInd w:val="0"/>
              <w:snapToGrid w:val="0"/>
              <w:spacing w:before="120" w:beforeLines="50" w:line="360" w:lineRule="auto"/>
              <w:ind w:firstLine="482" w:firstLineChars="200"/>
              <w:rPr>
                <w:color w:val="auto"/>
              </w:rPr>
            </w:pPr>
            <w:r>
              <w:rPr>
                <w:b/>
                <w:bCs/>
                <w:color w:val="auto"/>
                <w:sz w:val="24"/>
              </w:rPr>
              <w:t>2.2</w:t>
            </w:r>
            <w:bookmarkStart w:id="33" w:name="_Toc318966930"/>
            <w:bookmarkStart w:id="34" w:name="_Toc336193697"/>
            <w:bookmarkStart w:id="35" w:name="_Toc318845861"/>
            <w:r>
              <w:rPr>
                <w:b/>
                <w:bCs/>
                <w:color w:val="auto"/>
                <w:sz w:val="24"/>
              </w:rPr>
              <w:t>环境影响分析</w:t>
            </w:r>
          </w:p>
          <w:p>
            <w:pPr>
              <w:spacing w:line="360" w:lineRule="auto"/>
              <w:ind w:firstLine="480" w:firstLineChars="200"/>
              <w:rPr>
                <w:color w:val="auto"/>
                <w:sz w:val="24"/>
              </w:rPr>
            </w:pPr>
            <w:r>
              <w:rPr>
                <w:color w:val="auto"/>
                <w:sz w:val="24"/>
              </w:rPr>
              <w:t>运营期环境空气污染源主要是运营车辆排放的污染物。</w:t>
            </w:r>
            <w:bookmarkEnd w:id="33"/>
            <w:bookmarkEnd w:id="34"/>
            <w:bookmarkEnd w:id="35"/>
            <w:r>
              <w:rPr>
                <w:color w:val="auto"/>
                <w:sz w:val="24"/>
              </w:rPr>
              <w:t>汽车尾气中主要污染物是CO、NO</w:t>
            </w:r>
            <w:r>
              <w:rPr>
                <w:color w:val="auto"/>
                <w:sz w:val="24"/>
                <w:vertAlign w:val="subscript"/>
              </w:rPr>
              <w:t>2</w:t>
            </w:r>
            <w:r>
              <w:rPr>
                <w:color w:val="auto"/>
                <w:sz w:val="24"/>
              </w:rPr>
              <w:t>、THC等，其污染源类型属分散、流动的线源，排放源高度低，污染物扩散范围小。因昼夜车流量的变化，一般白天的污染重于夜间，下风向一侧污染重于上风向一侧，静风天气重于有风天气。污染物排放量随燃油类型、车型、耗油量而变化，一般重型车大于中、轻型车，汽油车CO、THC排放量大，柴油车SO</w:t>
            </w:r>
            <w:r>
              <w:rPr>
                <w:color w:val="auto"/>
                <w:sz w:val="24"/>
                <w:vertAlign w:val="subscript"/>
              </w:rPr>
              <w:t>2</w:t>
            </w:r>
            <w:r>
              <w:rPr>
                <w:color w:val="auto"/>
                <w:sz w:val="24"/>
              </w:rPr>
              <w:t>、颗粒物、甲醛污染重于汽油车。</w:t>
            </w:r>
          </w:p>
          <w:p>
            <w:pPr>
              <w:spacing w:line="360" w:lineRule="auto"/>
              <w:ind w:firstLine="480" w:firstLineChars="200"/>
              <w:rPr>
                <w:color w:val="auto"/>
              </w:rPr>
            </w:pPr>
            <w:bookmarkStart w:id="36" w:name="_Toc336193699"/>
            <w:bookmarkStart w:id="37" w:name="_Toc318966932"/>
            <w:bookmarkStart w:id="38" w:name="_Toc318845863"/>
            <w:r>
              <w:rPr>
                <w:color w:val="auto"/>
                <w:sz w:val="24"/>
              </w:rPr>
              <w:t>随着我国执行单车排放标准的不断提高，单车尾气的排放量将会不断降低，运输车种构成比例将更为优化，逐步减少高能耗、高排污的车种比例，汽车尾气排放将大大降低，因此道路汽车尾气对沿线两侧环境空气的影响范围将会减小，汽车尾气对沿线空气质量带来的影响轻微。</w:t>
            </w:r>
            <w:bookmarkEnd w:id="36"/>
            <w:bookmarkEnd w:id="37"/>
            <w:bookmarkEnd w:id="38"/>
          </w:p>
          <w:p>
            <w:pPr>
              <w:adjustRightInd w:val="0"/>
              <w:snapToGrid w:val="0"/>
              <w:spacing w:line="360" w:lineRule="auto"/>
              <w:ind w:firstLine="482" w:firstLineChars="200"/>
              <w:rPr>
                <w:b/>
                <w:color w:val="auto"/>
                <w:sz w:val="24"/>
              </w:rPr>
            </w:pPr>
            <w:r>
              <w:rPr>
                <w:rFonts w:hint="eastAsia"/>
                <w:b/>
                <w:color w:val="auto"/>
                <w:sz w:val="24"/>
              </w:rPr>
              <w:t>3、</w:t>
            </w:r>
            <w:r>
              <w:rPr>
                <w:rFonts w:ascii="宋体" w:hAnsi="宋体"/>
                <w:b/>
                <w:color w:val="auto"/>
                <w:sz w:val="24"/>
              </w:rPr>
              <w:t>水环境影响分析</w:t>
            </w:r>
          </w:p>
          <w:p>
            <w:pPr>
              <w:spacing w:line="360" w:lineRule="auto"/>
              <w:ind w:firstLine="482" w:firstLineChars="200"/>
              <w:rPr>
                <w:b/>
                <w:bCs/>
                <w:color w:val="auto"/>
                <w:kern w:val="24"/>
                <w:sz w:val="24"/>
              </w:rPr>
            </w:pPr>
            <w:r>
              <w:rPr>
                <w:rFonts w:hint="eastAsia"/>
                <w:b/>
                <w:bCs/>
                <w:color w:val="auto"/>
                <w:kern w:val="24"/>
                <w:sz w:val="24"/>
              </w:rPr>
              <w:t>3.1废水污染源强核算</w:t>
            </w:r>
          </w:p>
          <w:p>
            <w:pPr>
              <w:spacing w:line="360" w:lineRule="auto"/>
              <w:ind w:firstLine="480" w:firstLineChars="200"/>
              <w:rPr>
                <w:color w:val="auto"/>
                <w:kern w:val="24"/>
                <w:sz w:val="24"/>
              </w:rPr>
            </w:pPr>
            <w:r>
              <w:rPr>
                <w:color w:val="auto"/>
                <w:kern w:val="24"/>
                <w:sz w:val="24"/>
              </w:rPr>
              <w:t>运营期产生的废水主要来源于受雨水冲刷路面形成的地面径流污水。据调查，车辆排放尾气中所携带的污染物会在路面沉积、汽车轮胎磨损的微粒、车架上粘带的泥土及人类活动残留物、车辆制动时散落的污染物及车辆运行工况不佳时泄漏的油料等都会在路面沉积，均会随着雨水径流进入水体，地面径流污水主要污染物为石油类、有机物和悬浮物。</w:t>
            </w:r>
          </w:p>
          <w:p>
            <w:pPr>
              <w:spacing w:line="360" w:lineRule="auto"/>
              <w:ind w:firstLine="480" w:firstLineChars="200"/>
              <w:rPr>
                <w:color w:val="auto"/>
                <w:kern w:val="24"/>
                <w:sz w:val="24"/>
              </w:rPr>
            </w:pPr>
            <w:r>
              <w:rPr>
                <w:color w:val="auto"/>
                <w:kern w:val="24"/>
                <w:sz w:val="24"/>
              </w:rPr>
              <w:t>根据目前国内对路面径流浓度测试的结果，污染物主要集中在产生径流的初期，降水15min内污染物随时间增加浓度增大，随后逐渐减少，降雨历时60min之后路面基本被冲洗干净，径流污染物的浓度相对稳定在较低水平。径流污染物浓度值随降水时间变化情况类比调查结果见表</w:t>
            </w:r>
            <w:r>
              <w:rPr>
                <w:rFonts w:hint="eastAsia"/>
                <w:color w:val="auto"/>
                <w:kern w:val="24"/>
                <w:sz w:val="24"/>
              </w:rPr>
              <w:t>4-6</w:t>
            </w:r>
            <w:r>
              <w:rPr>
                <w:color w:val="auto"/>
                <w:kern w:val="24"/>
                <w:sz w:val="24"/>
              </w:rPr>
              <w:t>，径流2小时平均浓度见表</w:t>
            </w:r>
            <w:r>
              <w:rPr>
                <w:rFonts w:hint="eastAsia"/>
                <w:color w:val="auto"/>
                <w:kern w:val="24"/>
                <w:sz w:val="24"/>
              </w:rPr>
              <w:t>4-7</w:t>
            </w:r>
            <w:r>
              <w:rPr>
                <w:color w:val="auto"/>
                <w:kern w:val="24"/>
                <w:sz w:val="24"/>
              </w:rPr>
              <w:t>。</w:t>
            </w:r>
          </w:p>
          <w:p>
            <w:pPr>
              <w:spacing w:line="240" w:lineRule="auto"/>
              <w:ind w:firstLine="422" w:firstLineChars="200"/>
              <w:rPr>
                <w:color w:val="auto"/>
                <w:kern w:val="24"/>
                <w:sz w:val="21"/>
                <w:szCs w:val="21"/>
              </w:rPr>
            </w:pPr>
            <w:r>
              <w:rPr>
                <w:b/>
                <w:bCs/>
                <w:color w:val="auto"/>
                <w:sz w:val="21"/>
                <w:szCs w:val="21"/>
              </w:rPr>
              <w:t>表</w:t>
            </w:r>
            <w:r>
              <w:rPr>
                <w:rFonts w:hint="eastAsia"/>
                <w:b/>
                <w:bCs/>
                <w:color w:val="auto"/>
                <w:sz w:val="21"/>
                <w:szCs w:val="21"/>
              </w:rPr>
              <w:t>4-6</w:t>
            </w:r>
            <w:r>
              <w:rPr>
                <w:b/>
                <w:bCs/>
                <w:color w:val="auto"/>
                <w:sz w:val="21"/>
                <w:szCs w:val="21"/>
              </w:rPr>
              <w:t xml:space="preserve">   降雨径流随时间变化的类比监测结果   </w:t>
            </w:r>
            <w:r>
              <w:rPr>
                <w:b/>
                <w:color w:val="auto"/>
                <w:sz w:val="21"/>
                <w:szCs w:val="21"/>
              </w:rPr>
              <w:t>单位：mg/L（除pH外）</w:t>
            </w:r>
          </w:p>
          <w:tbl>
            <w:tblPr>
              <w:tblStyle w:val="26"/>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7"/>
              <w:gridCol w:w="1214"/>
              <w:gridCol w:w="1058"/>
              <w:gridCol w:w="1114"/>
              <w:gridCol w:w="977"/>
              <w:gridCol w:w="1089"/>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exact"/>
              </w:trPr>
              <w:tc>
                <w:tcPr>
                  <w:tcW w:w="1500" w:type="pct"/>
                  <w:gridSpan w:val="2"/>
                  <w:noWrap w:val="0"/>
                  <w:vAlign w:val="center"/>
                </w:tcPr>
                <w:p>
                  <w:pPr>
                    <w:adjustRightInd w:val="0"/>
                    <w:snapToGrid w:val="0"/>
                    <w:jc w:val="center"/>
                    <w:rPr>
                      <w:color w:val="auto"/>
                      <w:szCs w:val="21"/>
                    </w:rPr>
                  </w:pPr>
                  <w:r>
                    <w:rPr>
                      <w:color w:val="auto"/>
                      <w:szCs w:val="21"/>
                    </w:rPr>
                    <w:t>采样时间</w:t>
                  </w:r>
                </w:p>
              </w:tc>
              <w:tc>
                <w:tcPr>
                  <w:tcW w:w="680" w:type="pct"/>
                  <w:noWrap w:val="0"/>
                  <w:vAlign w:val="center"/>
                </w:tcPr>
                <w:p>
                  <w:pPr>
                    <w:adjustRightInd w:val="0"/>
                    <w:snapToGrid w:val="0"/>
                    <w:jc w:val="center"/>
                    <w:rPr>
                      <w:color w:val="auto"/>
                      <w:szCs w:val="21"/>
                    </w:rPr>
                  </w:pPr>
                  <w:r>
                    <w:rPr>
                      <w:color w:val="auto"/>
                      <w:szCs w:val="21"/>
                    </w:rPr>
                    <w:t>pH</w:t>
                  </w:r>
                </w:p>
              </w:tc>
              <w:tc>
                <w:tcPr>
                  <w:tcW w:w="716" w:type="pct"/>
                  <w:noWrap w:val="0"/>
                  <w:vAlign w:val="center"/>
                </w:tcPr>
                <w:p>
                  <w:pPr>
                    <w:adjustRightInd w:val="0"/>
                    <w:snapToGrid w:val="0"/>
                    <w:jc w:val="center"/>
                    <w:rPr>
                      <w:color w:val="auto"/>
                      <w:szCs w:val="21"/>
                    </w:rPr>
                  </w:pPr>
                  <w:r>
                    <w:rPr>
                      <w:color w:val="auto"/>
                      <w:szCs w:val="21"/>
                    </w:rPr>
                    <w:t>COD</w:t>
                  </w:r>
                  <w:r>
                    <w:rPr>
                      <w:color w:val="auto"/>
                      <w:szCs w:val="21"/>
                      <w:vertAlign w:val="subscript"/>
                    </w:rPr>
                    <w:t>Cr</w:t>
                  </w:r>
                </w:p>
                <w:p>
                  <w:pPr>
                    <w:adjustRightInd w:val="0"/>
                    <w:snapToGrid w:val="0"/>
                    <w:jc w:val="center"/>
                    <w:rPr>
                      <w:color w:val="auto"/>
                      <w:szCs w:val="21"/>
                    </w:rPr>
                  </w:pPr>
                  <w:r>
                    <w:rPr>
                      <w:color w:val="auto"/>
                      <w:szCs w:val="21"/>
                    </w:rPr>
                    <w:t>r</w:t>
                  </w:r>
                </w:p>
              </w:tc>
              <w:tc>
                <w:tcPr>
                  <w:tcW w:w="628" w:type="pct"/>
                  <w:noWrap w:val="0"/>
                  <w:vAlign w:val="center"/>
                </w:tcPr>
                <w:p>
                  <w:pPr>
                    <w:adjustRightInd w:val="0"/>
                    <w:snapToGrid w:val="0"/>
                    <w:jc w:val="center"/>
                    <w:rPr>
                      <w:color w:val="auto"/>
                      <w:szCs w:val="21"/>
                    </w:rPr>
                  </w:pPr>
                  <w:r>
                    <w:rPr>
                      <w:color w:val="auto"/>
                      <w:szCs w:val="21"/>
                    </w:rPr>
                    <w:t>NH</w:t>
                  </w:r>
                  <w:r>
                    <w:rPr>
                      <w:color w:val="auto"/>
                      <w:szCs w:val="21"/>
                      <w:vertAlign w:val="subscript"/>
                    </w:rPr>
                    <w:t>3</w:t>
                  </w:r>
                  <w:r>
                    <w:rPr>
                      <w:color w:val="auto"/>
                      <w:szCs w:val="21"/>
                    </w:rPr>
                    <w:t>-N</w:t>
                  </w:r>
                </w:p>
              </w:tc>
              <w:tc>
                <w:tcPr>
                  <w:tcW w:w="700" w:type="pct"/>
                  <w:noWrap w:val="0"/>
                  <w:vAlign w:val="center"/>
                </w:tcPr>
                <w:p>
                  <w:pPr>
                    <w:adjustRightInd w:val="0"/>
                    <w:snapToGrid w:val="0"/>
                    <w:jc w:val="center"/>
                    <w:rPr>
                      <w:color w:val="auto"/>
                      <w:szCs w:val="21"/>
                    </w:rPr>
                  </w:pPr>
                  <w:r>
                    <w:rPr>
                      <w:color w:val="auto"/>
                      <w:szCs w:val="21"/>
                    </w:rPr>
                    <w:t>SS</w:t>
                  </w:r>
                </w:p>
              </w:tc>
              <w:tc>
                <w:tcPr>
                  <w:tcW w:w="773" w:type="pct"/>
                  <w:noWrap w:val="0"/>
                  <w:vAlign w:val="center"/>
                </w:tcPr>
                <w:p>
                  <w:pPr>
                    <w:adjustRightInd w:val="0"/>
                    <w:snapToGrid w:val="0"/>
                    <w:jc w:val="center"/>
                    <w:rPr>
                      <w:color w:val="auto"/>
                      <w:szCs w:val="21"/>
                    </w:rPr>
                  </w:pPr>
                  <w:r>
                    <w:rPr>
                      <w:color w:val="auto"/>
                      <w:szCs w:val="21"/>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exact"/>
              </w:trPr>
              <w:tc>
                <w:tcPr>
                  <w:tcW w:w="719" w:type="pct"/>
                  <w:vMerge w:val="restart"/>
                  <w:noWrap w:val="0"/>
                  <w:vAlign w:val="center"/>
                </w:tcPr>
                <w:p>
                  <w:pPr>
                    <w:adjustRightInd w:val="0"/>
                    <w:snapToGrid w:val="0"/>
                    <w:jc w:val="center"/>
                    <w:rPr>
                      <w:color w:val="auto"/>
                      <w:szCs w:val="21"/>
                    </w:rPr>
                  </w:pPr>
                  <w:r>
                    <w:rPr>
                      <w:color w:val="auto"/>
                      <w:szCs w:val="21"/>
                    </w:rPr>
                    <w:t>雨后</w:t>
                  </w:r>
                </w:p>
              </w:tc>
              <w:tc>
                <w:tcPr>
                  <w:tcW w:w="780" w:type="pct"/>
                  <w:noWrap w:val="0"/>
                  <w:vAlign w:val="center"/>
                </w:tcPr>
                <w:p>
                  <w:pPr>
                    <w:adjustRightInd w:val="0"/>
                    <w:snapToGrid w:val="0"/>
                    <w:jc w:val="center"/>
                    <w:rPr>
                      <w:color w:val="auto"/>
                      <w:szCs w:val="21"/>
                    </w:rPr>
                  </w:pPr>
                  <w:r>
                    <w:rPr>
                      <w:color w:val="auto"/>
                      <w:szCs w:val="21"/>
                    </w:rPr>
                    <w:t>15min</w:t>
                  </w:r>
                </w:p>
              </w:tc>
              <w:tc>
                <w:tcPr>
                  <w:tcW w:w="680" w:type="pct"/>
                  <w:noWrap w:val="0"/>
                  <w:vAlign w:val="center"/>
                </w:tcPr>
                <w:p>
                  <w:pPr>
                    <w:adjustRightInd w:val="0"/>
                    <w:snapToGrid w:val="0"/>
                    <w:jc w:val="center"/>
                    <w:rPr>
                      <w:color w:val="auto"/>
                      <w:szCs w:val="21"/>
                    </w:rPr>
                  </w:pPr>
                  <w:r>
                    <w:rPr>
                      <w:color w:val="auto"/>
                      <w:szCs w:val="21"/>
                    </w:rPr>
                    <w:t>8.0</w:t>
                  </w:r>
                </w:p>
              </w:tc>
              <w:tc>
                <w:tcPr>
                  <w:tcW w:w="716" w:type="pct"/>
                  <w:noWrap w:val="0"/>
                  <w:vAlign w:val="center"/>
                </w:tcPr>
                <w:p>
                  <w:pPr>
                    <w:adjustRightInd w:val="0"/>
                    <w:snapToGrid w:val="0"/>
                    <w:jc w:val="center"/>
                    <w:rPr>
                      <w:color w:val="auto"/>
                      <w:szCs w:val="21"/>
                    </w:rPr>
                  </w:pPr>
                  <w:r>
                    <w:rPr>
                      <w:color w:val="auto"/>
                      <w:szCs w:val="21"/>
                    </w:rPr>
                    <w:t>481.2</w:t>
                  </w:r>
                </w:p>
              </w:tc>
              <w:tc>
                <w:tcPr>
                  <w:tcW w:w="628" w:type="pct"/>
                  <w:noWrap w:val="0"/>
                  <w:vAlign w:val="center"/>
                </w:tcPr>
                <w:p>
                  <w:pPr>
                    <w:adjustRightInd w:val="0"/>
                    <w:snapToGrid w:val="0"/>
                    <w:jc w:val="center"/>
                    <w:rPr>
                      <w:color w:val="auto"/>
                      <w:szCs w:val="21"/>
                    </w:rPr>
                  </w:pPr>
                  <w:r>
                    <w:rPr>
                      <w:color w:val="auto"/>
                      <w:szCs w:val="21"/>
                    </w:rPr>
                    <w:t>2.52</w:t>
                  </w:r>
                </w:p>
              </w:tc>
              <w:tc>
                <w:tcPr>
                  <w:tcW w:w="700" w:type="pct"/>
                  <w:noWrap w:val="0"/>
                  <w:vAlign w:val="center"/>
                </w:tcPr>
                <w:p>
                  <w:pPr>
                    <w:adjustRightInd w:val="0"/>
                    <w:snapToGrid w:val="0"/>
                    <w:jc w:val="center"/>
                    <w:rPr>
                      <w:color w:val="auto"/>
                      <w:szCs w:val="21"/>
                    </w:rPr>
                  </w:pPr>
                  <w:r>
                    <w:rPr>
                      <w:color w:val="auto"/>
                      <w:szCs w:val="21"/>
                    </w:rPr>
                    <w:t>3635</w:t>
                  </w:r>
                </w:p>
              </w:tc>
              <w:tc>
                <w:tcPr>
                  <w:tcW w:w="773" w:type="pct"/>
                  <w:noWrap w:val="0"/>
                  <w:vAlign w:val="center"/>
                </w:tcPr>
                <w:p>
                  <w:pPr>
                    <w:adjustRightInd w:val="0"/>
                    <w:snapToGrid w:val="0"/>
                    <w:jc w:val="center"/>
                    <w:rPr>
                      <w:color w:val="auto"/>
                      <w:szCs w:val="21"/>
                    </w:rPr>
                  </w:pPr>
                  <w:r>
                    <w:rPr>
                      <w:color w:val="auto"/>
                      <w:szCs w:val="21"/>
                    </w:rPr>
                    <w:t>25.51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exact"/>
              </w:trPr>
              <w:tc>
                <w:tcPr>
                  <w:tcW w:w="719" w:type="pct"/>
                  <w:vMerge w:val="continue"/>
                  <w:noWrap w:val="0"/>
                  <w:vAlign w:val="center"/>
                </w:tcPr>
                <w:p>
                  <w:pPr>
                    <w:widowControl/>
                    <w:adjustRightInd w:val="0"/>
                    <w:snapToGrid w:val="0"/>
                    <w:jc w:val="left"/>
                    <w:rPr>
                      <w:color w:val="auto"/>
                      <w:szCs w:val="21"/>
                    </w:rPr>
                  </w:pPr>
                </w:p>
              </w:tc>
              <w:tc>
                <w:tcPr>
                  <w:tcW w:w="780" w:type="pct"/>
                  <w:noWrap w:val="0"/>
                  <w:vAlign w:val="center"/>
                </w:tcPr>
                <w:p>
                  <w:pPr>
                    <w:adjustRightInd w:val="0"/>
                    <w:snapToGrid w:val="0"/>
                    <w:jc w:val="center"/>
                    <w:rPr>
                      <w:color w:val="auto"/>
                      <w:szCs w:val="21"/>
                    </w:rPr>
                  </w:pPr>
                  <w:r>
                    <w:rPr>
                      <w:color w:val="auto"/>
                      <w:szCs w:val="21"/>
                    </w:rPr>
                    <w:t>30min</w:t>
                  </w:r>
                </w:p>
              </w:tc>
              <w:tc>
                <w:tcPr>
                  <w:tcW w:w="680" w:type="pct"/>
                  <w:noWrap w:val="0"/>
                  <w:vAlign w:val="center"/>
                </w:tcPr>
                <w:p>
                  <w:pPr>
                    <w:adjustRightInd w:val="0"/>
                    <w:snapToGrid w:val="0"/>
                    <w:jc w:val="center"/>
                    <w:rPr>
                      <w:color w:val="auto"/>
                      <w:szCs w:val="21"/>
                    </w:rPr>
                  </w:pPr>
                  <w:r>
                    <w:rPr>
                      <w:color w:val="auto"/>
                      <w:szCs w:val="21"/>
                    </w:rPr>
                    <w:t>8.10</w:t>
                  </w:r>
                </w:p>
              </w:tc>
              <w:tc>
                <w:tcPr>
                  <w:tcW w:w="716" w:type="pct"/>
                  <w:noWrap w:val="0"/>
                  <w:vAlign w:val="center"/>
                </w:tcPr>
                <w:p>
                  <w:pPr>
                    <w:adjustRightInd w:val="0"/>
                    <w:snapToGrid w:val="0"/>
                    <w:jc w:val="center"/>
                    <w:rPr>
                      <w:color w:val="auto"/>
                      <w:szCs w:val="21"/>
                    </w:rPr>
                  </w:pPr>
                  <w:r>
                    <w:rPr>
                      <w:color w:val="auto"/>
                      <w:szCs w:val="21"/>
                    </w:rPr>
                    <w:t>270.68</w:t>
                  </w:r>
                </w:p>
              </w:tc>
              <w:tc>
                <w:tcPr>
                  <w:tcW w:w="628" w:type="pct"/>
                  <w:noWrap w:val="0"/>
                  <w:vAlign w:val="center"/>
                </w:tcPr>
                <w:p>
                  <w:pPr>
                    <w:adjustRightInd w:val="0"/>
                    <w:snapToGrid w:val="0"/>
                    <w:jc w:val="center"/>
                    <w:rPr>
                      <w:color w:val="auto"/>
                      <w:szCs w:val="21"/>
                    </w:rPr>
                  </w:pPr>
                  <w:r>
                    <w:rPr>
                      <w:color w:val="auto"/>
                      <w:szCs w:val="21"/>
                    </w:rPr>
                    <w:t>0.80</w:t>
                  </w:r>
                </w:p>
              </w:tc>
              <w:tc>
                <w:tcPr>
                  <w:tcW w:w="700" w:type="pct"/>
                  <w:noWrap w:val="0"/>
                  <w:vAlign w:val="center"/>
                </w:tcPr>
                <w:p>
                  <w:pPr>
                    <w:adjustRightInd w:val="0"/>
                    <w:snapToGrid w:val="0"/>
                    <w:jc w:val="center"/>
                    <w:rPr>
                      <w:color w:val="auto"/>
                      <w:szCs w:val="21"/>
                    </w:rPr>
                  </w:pPr>
                  <w:r>
                    <w:rPr>
                      <w:color w:val="auto"/>
                      <w:szCs w:val="21"/>
                    </w:rPr>
                    <w:t>1510</w:t>
                  </w:r>
                </w:p>
              </w:tc>
              <w:tc>
                <w:tcPr>
                  <w:tcW w:w="773" w:type="pct"/>
                  <w:noWrap w:val="0"/>
                  <w:vAlign w:val="center"/>
                </w:tcPr>
                <w:p>
                  <w:pPr>
                    <w:adjustRightInd w:val="0"/>
                    <w:snapToGrid w:val="0"/>
                    <w:jc w:val="center"/>
                    <w:rPr>
                      <w:color w:val="auto"/>
                      <w:szCs w:val="21"/>
                    </w:rPr>
                  </w:pPr>
                  <w:r>
                    <w:rPr>
                      <w:color w:val="auto"/>
                      <w:szCs w:val="21"/>
                    </w:rPr>
                    <w:t>18.43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exact"/>
              </w:trPr>
              <w:tc>
                <w:tcPr>
                  <w:tcW w:w="719" w:type="pct"/>
                  <w:vMerge w:val="continue"/>
                  <w:noWrap w:val="0"/>
                  <w:vAlign w:val="center"/>
                </w:tcPr>
                <w:p>
                  <w:pPr>
                    <w:widowControl/>
                    <w:adjustRightInd w:val="0"/>
                    <w:snapToGrid w:val="0"/>
                    <w:jc w:val="left"/>
                    <w:rPr>
                      <w:color w:val="auto"/>
                      <w:szCs w:val="21"/>
                    </w:rPr>
                  </w:pPr>
                </w:p>
              </w:tc>
              <w:tc>
                <w:tcPr>
                  <w:tcW w:w="780" w:type="pct"/>
                  <w:noWrap w:val="0"/>
                  <w:vAlign w:val="center"/>
                </w:tcPr>
                <w:p>
                  <w:pPr>
                    <w:adjustRightInd w:val="0"/>
                    <w:snapToGrid w:val="0"/>
                    <w:jc w:val="center"/>
                    <w:rPr>
                      <w:color w:val="auto"/>
                      <w:szCs w:val="21"/>
                    </w:rPr>
                  </w:pPr>
                  <w:r>
                    <w:rPr>
                      <w:color w:val="auto"/>
                      <w:szCs w:val="21"/>
                    </w:rPr>
                    <w:t>60min</w:t>
                  </w:r>
                </w:p>
              </w:tc>
              <w:tc>
                <w:tcPr>
                  <w:tcW w:w="680" w:type="pct"/>
                  <w:noWrap w:val="0"/>
                  <w:vAlign w:val="center"/>
                </w:tcPr>
                <w:p>
                  <w:pPr>
                    <w:adjustRightInd w:val="0"/>
                    <w:snapToGrid w:val="0"/>
                    <w:jc w:val="center"/>
                    <w:rPr>
                      <w:color w:val="auto"/>
                      <w:szCs w:val="21"/>
                    </w:rPr>
                  </w:pPr>
                  <w:r>
                    <w:rPr>
                      <w:color w:val="auto"/>
                      <w:szCs w:val="21"/>
                    </w:rPr>
                    <w:t>8.10</w:t>
                  </w:r>
                </w:p>
              </w:tc>
              <w:tc>
                <w:tcPr>
                  <w:tcW w:w="716" w:type="pct"/>
                  <w:noWrap w:val="0"/>
                  <w:vAlign w:val="center"/>
                </w:tcPr>
                <w:p>
                  <w:pPr>
                    <w:adjustRightInd w:val="0"/>
                    <w:snapToGrid w:val="0"/>
                    <w:jc w:val="center"/>
                    <w:rPr>
                      <w:color w:val="auto"/>
                      <w:szCs w:val="21"/>
                    </w:rPr>
                  </w:pPr>
                  <w:r>
                    <w:rPr>
                      <w:color w:val="auto"/>
                      <w:szCs w:val="21"/>
                    </w:rPr>
                    <w:t>278.2</w:t>
                  </w:r>
                </w:p>
              </w:tc>
              <w:tc>
                <w:tcPr>
                  <w:tcW w:w="628" w:type="pct"/>
                  <w:noWrap w:val="0"/>
                  <w:vAlign w:val="center"/>
                </w:tcPr>
                <w:p>
                  <w:pPr>
                    <w:adjustRightInd w:val="0"/>
                    <w:snapToGrid w:val="0"/>
                    <w:jc w:val="center"/>
                    <w:rPr>
                      <w:color w:val="auto"/>
                      <w:szCs w:val="21"/>
                    </w:rPr>
                  </w:pPr>
                  <w:r>
                    <w:rPr>
                      <w:color w:val="auto"/>
                      <w:szCs w:val="21"/>
                    </w:rPr>
                    <w:t>0.95</w:t>
                  </w:r>
                </w:p>
              </w:tc>
              <w:tc>
                <w:tcPr>
                  <w:tcW w:w="700" w:type="pct"/>
                  <w:noWrap w:val="0"/>
                  <w:vAlign w:val="center"/>
                </w:tcPr>
                <w:p>
                  <w:pPr>
                    <w:adjustRightInd w:val="0"/>
                    <w:snapToGrid w:val="0"/>
                    <w:jc w:val="center"/>
                    <w:rPr>
                      <w:color w:val="auto"/>
                      <w:szCs w:val="21"/>
                    </w:rPr>
                  </w:pPr>
                  <w:r>
                    <w:rPr>
                      <w:color w:val="auto"/>
                      <w:szCs w:val="21"/>
                    </w:rPr>
                    <w:t>1628</w:t>
                  </w:r>
                </w:p>
              </w:tc>
              <w:tc>
                <w:tcPr>
                  <w:tcW w:w="773" w:type="pct"/>
                  <w:noWrap w:val="0"/>
                  <w:vAlign w:val="center"/>
                </w:tcPr>
                <w:p>
                  <w:pPr>
                    <w:adjustRightInd w:val="0"/>
                    <w:snapToGrid w:val="0"/>
                    <w:jc w:val="center"/>
                    <w:rPr>
                      <w:color w:val="auto"/>
                      <w:szCs w:val="21"/>
                    </w:rPr>
                  </w:pPr>
                  <w:r>
                    <w:rPr>
                      <w:color w:val="auto"/>
                      <w:szCs w:val="21"/>
                    </w:rPr>
                    <w:t>29.20</w:t>
                  </w:r>
                </w:p>
              </w:tc>
            </w:tr>
          </w:tbl>
          <w:p>
            <w:pPr>
              <w:adjustRightInd w:val="0"/>
              <w:snapToGrid w:val="0"/>
              <w:spacing w:before="120" w:beforeLines="50" w:line="240" w:lineRule="auto"/>
              <w:jc w:val="center"/>
              <w:rPr>
                <w:b/>
                <w:bCs/>
                <w:color w:val="auto"/>
                <w:sz w:val="21"/>
                <w:szCs w:val="21"/>
              </w:rPr>
            </w:pPr>
            <w:r>
              <w:rPr>
                <w:b/>
                <w:bCs/>
                <w:color w:val="auto"/>
                <w:sz w:val="21"/>
                <w:szCs w:val="21"/>
              </w:rPr>
              <w:t>表</w:t>
            </w:r>
            <w:r>
              <w:rPr>
                <w:rFonts w:hint="eastAsia"/>
                <w:b/>
                <w:bCs/>
                <w:color w:val="auto"/>
                <w:sz w:val="21"/>
                <w:szCs w:val="21"/>
              </w:rPr>
              <w:t>4-7</w:t>
            </w:r>
            <w:r>
              <w:rPr>
                <w:b/>
                <w:bCs/>
                <w:color w:val="auto"/>
                <w:sz w:val="21"/>
                <w:szCs w:val="21"/>
              </w:rPr>
              <w:t xml:space="preserve">           降水2小时径流污染物平均浓度</w:t>
            </w:r>
          </w:p>
          <w:tbl>
            <w:tblPr>
              <w:tblStyle w:val="26"/>
              <w:tblW w:w="8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5"/>
              <w:gridCol w:w="1803"/>
              <w:gridCol w:w="2059"/>
              <w:gridCol w:w="1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445" w:type="dxa"/>
                  <w:noWrap w:val="0"/>
                  <w:vAlign w:val="center"/>
                </w:tcPr>
                <w:p>
                  <w:pPr>
                    <w:adjustRightInd w:val="0"/>
                    <w:snapToGrid w:val="0"/>
                    <w:spacing w:line="240" w:lineRule="auto"/>
                    <w:jc w:val="center"/>
                    <w:rPr>
                      <w:color w:val="auto"/>
                      <w:kern w:val="24"/>
                      <w:sz w:val="21"/>
                      <w:szCs w:val="21"/>
                    </w:rPr>
                  </w:pPr>
                  <w:r>
                    <w:rPr>
                      <w:color w:val="auto"/>
                      <w:sz w:val="21"/>
                      <w:szCs w:val="21"/>
                    </w:rPr>
                    <w:t>项目</w:t>
                  </w:r>
                </w:p>
              </w:tc>
              <w:tc>
                <w:tcPr>
                  <w:tcW w:w="1803" w:type="dxa"/>
                  <w:noWrap w:val="0"/>
                  <w:vAlign w:val="center"/>
                </w:tcPr>
                <w:p>
                  <w:pPr>
                    <w:adjustRightInd w:val="0"/>
                    <w:snapToGrid w:val="0"/>
                    <w:spacing w:line="240" w:lineRule="auto"/>
                    <w:jc w:val="center"/>
                    <w:rPr>
                      <w:color w:val="auto"/>
                      <w:kern w:val="24"/>
                      <w:sz w:val="21"/>
                      <w:szCs w:val="21"/>
                    </w:rPr>
                  </w:pPr>
                  <w:r>
                    <w:rPr>
                      <w:color w:val="auto"/>
                      <w:sz w:val="21"/>
                      <w:szCs w:val="21"/>
                    </w:rPr>
                    <w:t>pH</w:t>
                  </w:r>
                </w:p>
              </w:tc>
              <w:tc>
                <w:tcPr>
                  <w:tcW w:w="2059" w:type="dxa"/>
                  <w:noWrap w:val="0"/>
                  <w:vAlign w:val="center"/>
                </w:tcPr>
                <w:p>
                  <w:pPr>
                    <w:adjustRightInd w:val="0"/>
                    <w:snapToGrid w:val="0"/>
                    <w:spacing w:line="240" w:lineRule="auto"/>
                    <w:jc w:val="center"/>
                    <w:rPr>
                      <w:color w:val="auto"/>
                      <w:kern w:val="24"/>
                      <w:sz w:val="21"/>
                      <w:szCs w:val="21"/>
                    </w:rPr>
                  </w:pPr>
                  <w:r>
                    <w:rPr>
                      <w:color w:val="auto"/>
                      <w:sz w:val="21"/>
                      <w:szCs w:val="21"/>
                    </w:rPr>
                    <w:t>COD</w:t>
                  </w:r>
                  <w:r>
                    <w:rPr>
                      <w:color w:val="auto"/>
                      <w:sz w:val="21"/>
                      <w:szCs w:val="21"/>
                      <w:vertAlign w:val="subscript"/>
                    </w:rPr>
                    <w:t>Cr</w:t>
                  </w:r>
                  <w:r>
                    <w:rPr>
                      <w:color w:val="auto"/>
                      <w:sz w:val="21"/>
                      <w:szCs w:val="21"/>
                    </w:rPr>
                    <w:t>（mg/L）</w:t>
                  </w:r>
                </w:p>
              </w:tc>
              <w:tc>
                <w:tcPr>
                  <w:tcW w:w="1931" w:type="dxa"/>
                  <w:noWrap w:val="0"/>
                  <w:vAlign w:val="center"/>
                </w:tcPr>
                <w:p>
                  <w:pPr>
                    <w:adjustRightInd w:val="0"/>
                    <w:snapToGrid w:val="0"/>
                    <w:spacing w:line="240" w:lineRule="auto"/>
                    <w:jc w:val="center"/>
                    <w:rPr>
                      <w:color w:val="auto"/>
                      <w:kern w:val="24"/>
                      <w:sz w:val="21"/>
                      <w:szCs w:val="21"/>
                    </w:rPr>
                  </w:pPr>
                  <w:r>
                    <w:rPr>
                      <w:color w:val="auto"/>
                      <w:sz w:val="21"/>
                      <w:szCs w:val="21"/>
                    </w:rPr>
                    <w:t>石油类（mg/L）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445" w:type="dxa"/>
                  <w:noWrap w:val="0"/>
                  <w:vAlign w:val="center"/>
                </w:tcPr>
                <w:p>
                  <w:pPr>
                    <w:adjustRightInd w:val="0"/>
                    <w:snapToGrid w:val="0"/>
                    <w:spacing w:line="240" w:lineRule="auto"/>
                    <w:jc w:val="center"/>
                    <w:rPr>
                      <w:color w:val="auto"/>
                      <w:kern w:val="24"/>
                      <w:sz w:val="21"/>
                      <w:szCs w:val="21"/>
                    </w:rPr>
                  </w:pPr>
                  <w:r>
                    <w:rPr>
                      <w:color w:val="auto"/>
                      <w:sz w:val="21"/>
                      <w:szCs w:val="21"/>
                    </w:rPr>
                    <w:t>前2小时浓度值</w:t>
                  </w:r>
                </w:p>
              </w:tc>
              <w:tc>
                <w:tcPr>
                  <w:tcW w:w="1803" w:type="dxa"/>
                  <w:noWrap w:val="0"/>
                  <w:vAlign w:val="center"/>
                </w:tcPr>
                <w:p>
                  <w:pPr>
                    <w:adjustRightInd w:val="0"/>
                    <w:snapToGrid w:val="0"/>
                    <w:spacing w:line="240" w:lineRule="auto"/>
                    <w:jc w:val="center"/>
                    <w:rPr>
                      <w:color w:val="auto"/>
                      <w:kern w:val="24"/>
                      <w:sz w:val="21"/>
                      <w:szCs w:val="21"/>
                    </w:rPr>
                  </w:pPr>
                  <w:r>
                    <w:rPr>
                      <w:color w:val="auto"/>
                      <w:kern w:val="24"/>
                      <w:sz w:val="21"/>
                      <w:szCs w:val="21"/>
                    </w:rPr>
                    <w:t>7.4</w:t>
                  </w:r>
                </w:p>
              </w:tc>
              <w:tc>
                <w:tcPr>
                  <w:tcW w:w="2059" w:type="dxa"/>
                  <w:noWrap w:val="0"/>
                  <w:vAlign w:val="center"/>
                </w:tcPr>
                <w:p>
                  <w:pPr>
                    <w:adjustRightInd w:val="0"/>
                    <w:snapToGrid w:val="0"/>
                    <w:spacing w:line="240" w:lineRule="auto"/>
                    <w:jc w:val="center"/>
                    <w:rPr>
                      <w:color w:val="auto"/>
                      <w:kern w:val="24"/>
                      <w:sz w:val="21"/>
                      <w:szCs w:val="21"/>
                    </w:rPr>
                  </w:pPr>
                  <w:r>
                    <w:rPr>
                      <w:color w:val="auto"/>
                      <w:kern w:val="24"/>
                      <w:sz w:val="21"/>
                      <w:szCs w:val="21"/>
                    </w:rPr>
                    <w:t>107</w:t>
                  </w:r>
                </w:p>
              </w:tc>
              <w:tc>
                <w:tcPr>
                  <w:tcW w:w="1931" w:type="dxa"/>
                  <w:noWrap w:val="0"/>
                  <w:vAlign w:val="center"/>
                </w:tcPr>
                <w:p>
                  <w:pPr>
                    <w:adjustRightInd w:val="0"/>
                    <w:snapToGrid w:val="0"/>
                    <w:spacing w:line="240" w:lineRule="auto"/>
                    <w:jc w:val="center"/>
                    <w:rPr>
                      <w:color w:val="auto"/>
                      <w:kern w:val="24"/>
                      <w:sz w:val="21"/>
                      <w:szCs w:val="21"/>
                    </w:rPr>
                  </w:pPr>
                  <w:r>
                    <w:rPr>
                      <w:color w:val="auto"/>
                      <w:kern w:val="24"/>
                      <w:sz w:val="21"/>
                      <w:szCs w:val="21"/>
                    </w:rPr>
                    <w:t>7.0</w:t>
                  </w:r>
                </w:p>
              </w:tc>
            </w:tr>
          </w:tbl>
          <w:p>
            <w:pPr>
              <w:adjustRightInd w:val="0"/>
              <w:snapToGrid w:val="0"/>
              <w:spacing w:before="120" w:beforeLines="50" w:line="360" w:lineRule="auto"/>
              <w:ind w:firstLine="480" w:firstLineChars="200"/>
              <w:rPr>
                <w:color w:val="auto"/>
                <w:sz w:val="24"/>
              </w:rPr>
            </w:pPr>
            <w:r>
              <w:rPr>
                <w:color w:val="auto"/>
                <w:sz w:val="24"/>
              </w:rPr>
              <w:t>从上表可以看出，在前1小时暴雨径流对水体会产生一定影响，但2小时后，暴雨径流对水体的影响会逐渐减弱。</w:t>
            </w:r>
          </w:p>
          <w:p>
            <w:pPr>
              <w:adjustRightInd w:val="0"/>
              <w:snapToGrid w:val="0"/>
              <w:spacing w:line="360" w:lineRule="auto"/>
              <w:ind w:firstLine="482" w:firstLineChars="200"/>
              <w:rPr>
                <w:b/>
                <w:color w:val="auto"/>
                <w:sz w:val="24"/>
              </w:rPr>
            </w:pPr>
            <w:r>
              <w:rPr>
                <w:b/>
                <w:color w:val="auto"/>
                <w:sz w:val="24"/>
              </w:rPr>
              <w:t>3.2环境影响分析</w:t>
            </w:r>
          </w:p>
          <w:p>
            <w:pPr>
              <w:adjustRightInd w:val="0"/>
              <w:snapToGrid w:val="0"/>
              <w:spacing w:line="360" w:lineRule="auto"/>
              <w:ind w:firstLine="480" w:firstLineChars="200"/>
              <w:rPr>
                <w:color w:val="auto"/>
                <w:sz w:val="24"/>
              </w:rPr>
            </w:pPr>
            <w:r>
              <w:rPr>
                <w:color w:val="auto"/>
                <w:sz w:val="24"/>
              </w:rPr>
              <w:t>本项目建成投入运营后，对地表水环境的污染物主要来自汽车尾气污染物及运行车辆所泄漏的石油类物质等路面残留物随降雨产生的路（桥）面径流进入地表水体。影响路（桥）面径流污染的因素很多，主要为降雨量、降雨时间、与车流量有关的路面及大气污染程度、两场降雨之间的间隔时间、路面宽度、纳污路段长度等。由于各种因素随机性强，偶然性大，所以路(桥)面径流雨水污染物浓度较难确定。</w:t>
            </w:r>
          </w:p>
          <w:p>
            <w:pPr>
              <w:adjustRightInd w:val="0"/>
              <w:snapToGrid w:val="0"/>
              <w:spacing w:line="360" w:lineRule="auto"/>
              <w:ind w:firstLine="480" w:firstLineChars="200"/>
              <w:rPr>
                <w:color w:val="auto"/>
                <w:sz w:val="24"/>
              </w:rPr>
            </w:pPr>
            <w:r>
              <w:rPr>
                <w:color w:val="auto"/>
                <w:sz w:val="24"/>
              </w:rPr>
              <w:t>对于石油类只限于滴漏在公路上的油类物质，经过运行车辆轮胎的挤压，随轮胎带走一部分，其余部分只有在大雨季节，随着路面径流经过边沟进入到水体中。在实际中，路面径流在通过路面横坡自然散排，漫流到排水沟或边沟中，或通过边坡急流槽集中排入边沟的过程中伴随着降水稀释、泥沙对污染物的吸附、径流水自净等才进入天然沟道，从而使污染物浓度变得很低，基本可达到污水综合排放一级标准，并且这种影响随着降雨历时的延长而降低或随着降雨的消失而消失。桥面径流以较为集中的方式排入地表水中，在径流落水点附近范围内造成污染物瞬时浓度的增加，在向下游游动的过程中，随着水体的搅浑迅速混合，据有关资料表明，混合段长度预计在200m以内。随着降水时间延长，桥面污染物逐渐被冲刷干净，路面径流携带污染物对常家河水质影响甚微，不会改变其水体功能。</w:t>
            </w:r>
          </w:p>
          <w:p>
            <w:pPr>
              <w:adjustRightInd w:val="0"/>
              <w:snapToGrid w:val="0"/>
              <w:spacing w:line="360" w:lineRule="auto"/>
              <w:ind w:firstLine="480" w:firstLineChars="200"/>
              <w:rPr>
                <w:color w:val="auto"/>
                <w:sz w:val="24"/>
              </w:rPr>
            </w:pPr>
            <w:r>
              <w:rPr>
                <w:rFonts w:hint="eastAsia"/>
                <w:color w:val="auto"/>
                <w:sz w:val="24"/>
              </w:rPr>
              <w:t>针对项目区地表水</w:t>
            </w:r>
            <w:r>
              <w:rPr>
                <w:color w:val="auto"/>
                <w:sz w:val="24"/>
              </w:rPr>
              <w:t>采取的措施如下：</w:t>
            </w:r>
          </w:p>
          <w:p>
            <w:pPr>
              <w:adjustRightInd w:val="0"/>
              <w:snapToGrid w:val="0"/>
              <w:spacing w:line="360" w:lineRule="auto"/>
              <w:ind w:firstLine="480" w:firstLineChars="200"/>
              <w:rPr>
                <w:color w:val="auto"/>
                <w:sz w:val="24"/>
              </w:rPr>
            </w:pPr>
            <w:r>
              <w:rPr>
                <w:rFonts w:hint="eastAsia" w:ascii="宋体" w:hAnsi="宋体"/>
                <w:color w:val="auto"/>
                <w:sz w:val="24"/>
                <w:lang w:eastAsia="zh-CN"/>
              </w:rPr>
              <w:t>（</w:t>
            </w:r>
            <w:r>
              <w:rPr>
                <w:rFonts w:hint="eastAsia" w:ascii="宋体" w:hAnsi="宋体"/>
                <w:color w:val="auto"/>
                <w:sz w:val="24"/>
                <w:lang w:val="en-US" w:eastAsia="zh-CN"/>
              </w:rPr>
              <w:t>1</w:t>
            </w:r>
            <w:r>
              <w:rPr>
                <w:rFonts w:hint="eastAsia" w:ascii="宋体" w:hAnsi="宋体"/>
                <w:color w:val="auto"/>
                <w:sz w:val="24"/>
                <w:lang w:eastAsia="zh-CN"/>
              </w:rPr>
              <w:t>）</w:t>
            </w:r>
            <w:r>
              <w:rPr>
                <w:color w:val="auto"/>
                <w:sz w:val="24"/>
              </w:rPr>
              <w:t>警示标志牌工程</w:t>
            </w:r>
          </w:p>
          <w:p>
            <w:pPr>
              <w:adjustRightInd w:val="0"/>
              <w:snapToGrid w:val="0"/>
              <w:spacing w:line="360" w:lineRule="auto"/>
              <w:ind w:firstLine="480" w:firstLineChars="200"/>
              <w:rPr>
                <w:color w:val="auto"/>
                <w:sz w:val="24"/>
              </w:rPr>
            </w:pPr>
            <w:r>
              <w:rPr>
                <w:color w:val="auto"/>
                <w:sz w:val="24"/>
              </w:rPr>
              <w:t xml:space="preserve">为了保护地表水，项目在道路靠近桥梁处设置警示牌标志，警示车辆或行人，在此段道路两侧醒目位置设置限速、禁止超车等警示标志，提醒过路驾驶员和乘客加强保护水源的意识。 </w:t>
            </w:r>
          </w:p>
          <w:p>
            <w:pPr>
              <w:adjustRightInd w:val="0"/>
              <w:snapToGrid w:val="0"/>
              <w:spacing w:line="360" w:lineRule="auto"/>
              <w:ind w:firstLine="480" w:firstLineChars="200"/>
              <w:rPr>
                <w:color w:val="auto"/>
                <w:sz w:val="24"/>
              </w:rPr>
            </w:pPr>
            <w:r>
              <w:rPr>
                <w:rFonts w:hint="eastAsia" w:ascii="宋体" w:hAnsi="宋体"/>
                <w:color w:val="auto"/>
                <w:sz w:val="24"/>
                <w:lang w:eastAsia="zh-CN"/>
              </w:rPr>
              <w:t>（</w:t>
            </w:r>
            <w:r>
              <w:rPr>
                <w:rFonts w:hint="eastAsia" w:ascii="宋体" w:hAnsi="宋体"/>
                <w:color w:val="auto"/>
                <w:sz w:val="24"/>
                <w:lang w:val="en-US" w:eastAsia="zh-CN"/>
              </w:rPr>
              <w:t>2</w:t>
            </w:r>
            <w:r>
              <w:rPr>
                <w:rFonts w:hint="eastAsia" w:ascii="宋体" w:hAnsi="宋体"/>
                <w:color w:val="auto"/>
                <w:sz w:val="24"/>
                <w:lang w:eastAsia="zh-CN"/>
              </w:rPr>
              <w:t>）</w:t>
            </w:r>
            <w:r>
              <w:rPr>
                <w:color w:val="auto"/>
                <w:sz w:val="24"/>
              </w:rPr>
              <w:t>防撞护栏</w:t>
            </w:r>
          </w:p>
          <w:p>
            <w:pPr>
              <w:spacing w:line="360" w:lineRule="auto"/>
              <w:ind w:firstLine="480" w:firstLineChars="200"/>
              <w:outlineLvl w:val="2"/>
              <w:rPr>
                <w:color w:val="auto"/>
                <w:sz w:val="24"/>
              </w:rPr>
            </w:pPr>
            <w:r>
              <w:rPr>
                <w:color w:val="auto"/>
                <w:sz w:val="24"/>
              </w:rPr>
              <w:t>项目在桥的两端设置减速带，桥梁两侧安装防撞护栏，防止车辆侧翻导致事故废水排入</w:t>
            </w:r>
            <w:r>
              <w:rPr>
                <w:rFonts w:hint="eastAsia"/>
                <w:color w:val="auto"/>
                <w:sz w:val="24"/>
                <w:lang w:eastAsia="zh-CN"/>
              </w:rPr>
              <w:t>马莲</w:t>
            </w:r>
            <w:r>
              <w:rPr>
                <w:color w:val="auto"/>
                <w:sz w:val="24"/>
              </w:rPr>
              <w:t>河。</w:t>
            </w:r>
          </w:p>
          <w:p>
            <w:pPr>
              <w:adjustRightInd w:val="0"/>
              <w:snapToGrid w:val="0"/>
              <w:spacing w:line="360" w:lineRule="auto"/>
              <w:ind w:firstLine="482" w:firstLineChars="200"/>
              <w:rPr>
                <w:rFonts w:hint="eastAsia"/>
                <w:b/>
                <w:bCs/>
                <w:color w:val="auto"/>
                <w:sz w:val="24"/>
              </w:rPr>
            </w:pPr>
            <w:bookmarkStart w:id="39" w:name="_Toc217552429"/>
            <w:bookmarkStart w:id="40" w:name="_Toc216616616"/>
            <w:bookmarkStart w:id="41" w:name="_Toc261353557"/>
            <w:bookmarkStart w:id="42" w:name="_Toc262155789"/>
            <w:r>
              <w:rPr>
                <w:rFonts w:hint="eastAsia"/>
                <w:b/>
                <w:bCs/>
                <w:color w:val="auto"/>
                <w:sz w:val="24"/>
              </w:rPr>
              <w:t>4、声环境影响分析</w:t>
            </w:r>
          </w:p>
          <w:bookmarkEnd w:id="39"/>
          <w:bookmarkEnd w:id="40"/>
          <w:bookmarkEnd w:id="41"/>
          <w:bookmarkEnd w:id="42"/>
          <w:p>
            <w:pPr>
              <w:adjustRightInd w:val="0"/>
              <w:snapToGrid w:val="0"/>
              <w:spacing w:line="360" w:lineRule="auto"/>
              <w:ind w:firstLine="480" w:firstLineChars="200"/>
              <w:rPr>
                <w:color w:val="auto"/>
                <w:sz w:val="24"/>
              </w:rPr>
            </w:pPr>
            <w:r>
              <w:rPr>
                <w:color w:val="auto"/>
                <w:sz w:val="24"/>
              </w:rPr>
              <w:t>本项目进入运营期后，对声环境的影响主要来自于</w:t>
            </w:r>
            <w:r>
              <w:rPr>
                <w:rFonts w:hint="eastAsia"/>
                <w:color w:val="auto"/>
                <w:sz w:val="24"/>
              </w:rPr>
              <w:t>道路</w:t>
            </w:r>
            <w:r>
              <w:rPr>
                <w:color w:val="auto"/>
                <w:sz w:val="24"/>
              </w:rPr>
              <w:t>上运行车辆的交通噪声。影响交通噪声的因素很多，主要包括道路交通参数(如车流量、车速、车型比等)，道路地形地貌条件、路面设施等。公路交通噪声预测按《环境影响评价技术导则-声环境》(HJ2</w:t>
            </w:r>
            <w:r>
              <w:rPr>
                <w:rFonts w:hint="eastAsia"/>
                <w:color w:val="auto"/>
                <w:sz w:val="24"/>
                <w:lang w:val="en-US" w:eastAsia="zh-CN"/>
              </w:rPr>
              <w:t>.</w:t>
            </w:r>
            <w:r>
              <w:rPr>
                <w:color w:val="auto"/>
                <w:sz w:val="24"/>
              </w:rPr>
              <w:t>4-2021)中有关噪声模型和算法进行预测。具体见“</w:t>
            </w:r>
            <w:r>
              <w:rPr>
                <w:rFonts w:hint="eastAsia"/>
                <w:color w:val="auto"/>
                <w:sz w:val="24"/>
              </w:rPr>
              <w:t>八</w:t>
            </w:r>
            <w:r>
              <w:rPr>
                <w:color w:val="auto"/>
                <w:sz w:val="24"/>
              </w:rPr>
              <w:t>、噪声环境影响</w:t>
            </w:r>
            <w:r>
              <w:rPr>
                <w:rFonts w:hint="eastAsia"/>
                <w:color w:val="auto"/>
                <w:sz w:val="24"/>
              </w:rPr>
              <w:t>项评价</w:t>
            </w:r>
            <w:r>
              <w:rPr>
                <w:color w:val="auto"/>
                <w:sz w:val="24"/>
              </w:rPr>
              <w:t>”。</w:t>
            </w:r>
          </w:p>
          <w:p>
            <w:pPr>
              <w:adjustRightInd w:val="0"/>
              <w:snapToGrid w:val="0"/>
              <w:spacing w:line="360" w:lineRule="auto"/>
              <w:ind w:firstLine="482" w:firstLineChars="200"/>
              <w:rPr>
                <w:rFonts w:hint="eastAsia"/>
                <w:color w:val="auto"/>
                <w:sz w:val="24"/>
              </w:rPr>
            </w:pPr>
            <w:r>
              <w:rPr>
                <w:rFonts w:hint="eastAsia"/>
                <w:b/>
                <w:bCs/>
                <w:color w:val="auto"/>
                <w:sz w:val="24"/>
              </w:rPr>
              <w:t>5、固体废物环境影响分析</w:t>
            </w:r>
          </w:p>
          <w:p>
            <w:pPr>
              <w:adjustRightInd w:val="0"/>
              <w:snapToGrid w:val="0"/>
              <w:spacing w:line="360" w:lineRule="auto"/>
              <w:ind w:firstLine="480" w:firstLineChars="200"/>
              <w:rPr>
                <w:color w:val="auto"/>
                <w:sz w:val="24"/>
              </w:rPr>
            </w:pPr>
            <w:r>
              <w:rPr>
                <w:color w:val="auto"/>
                <w:sz w:val="24"/>
              </w:rPr>
              <w:t>由于项目本身不产生固体废物，运营后固体废物主要来源是载重汽车散落的固体废物以及车窗飘洒、行人随意丢弃的果皮纸屑等，在道路沿线设置分类垃圾桶。由市政环卫部门进行统一收集</w:t>
            </w:r>
            <w:r>
              <w:rPr>
                <w:rFonts w:hint="eastAsia"/>
                <w:color w:val="auto"/>
                <w:sz w:val="24"/>
              </w:rPr>
              <w:t>后</w:t>
            </w:r>
            <w:r>
              <w:rPr>
                <w:color w:val="auto"/>
                <w:sz w:val="24"/>
              </w:rPr>
              <w:t>清运</w:t>
            </w:r>
            <w:r>
              <w:rPr>
                <w:rFonts w:hint="eastAsia"/>
                <w:color w:val="auto"/>
                <w:sz w:val="24"/>
              </w:rPr>
              <w:t>至</w:t>
            </w:r>
            <w:r>
              <w:rPr>
                <w:color w:val="auto"/>
                <w:sz w:val="24"/>
              </w:rPr>
              <w:t>附近生活垃圾收集点。因此，项目在运营期间固体废物对环境的影响较小。</w:t>
            </w:r>
          </w:p>
          <w:p>
            <w:pPr>
              <w:adjustRightInd w:val="0"/>
              <w:snapToGrid w:val="0"/>
              <w:spacing w:line="360" w:lineRule="auto"/>
              <w:ind w:firstLine="482" w:firstLineChars="200"/>
              <w:rPr>
                <w:b/>
                <w:color w:val="auto"/>
                <w:sz w:val="24"/>
                <w:szCs w:val="20"/>
              </w:rPr>
            </w:pPr>
            <w:r>
              <w:rPr>
                <w:b/>
                <w:snapToGrid w:val="0"/>
                <w:color w:val="auto"/>
                <w:sz w:val="24"/>
              </w:rPr>
              <w:t>6</w:t>
            </w:r>
            <w:r>
              <w:rPr>
                <w:rFonts w:hint="eastAsia"/>
                <w:b/>
                <w:snapToGrid w:val="0"/>
                <w:color w:val="auto"/>
                <w:sz w:val="24"/>
              </w:rPr>
              <w:t>、</w:t>
            </w:r>
            <w:r>
              <w:rPr>
                <w:b/>
                <w:color w:val="auto"/>
                <w:sz w:val="24"/>
                <w:szCs w:val="20"/>
              </w:rPr>
              <w:t>项目运营期对敏感点的环境影响分析</w:t>
            </w:r>
          </w:p>
          <w:p>
            <w:pPr>
              <w:adjustRightInd w:val="0"/>
              <w:snapToGrid w:val="0"/>
              <w:spacing w:line="360" w:lineRule="auto"/>
              <w:ind w:firstLine="482" w:firstLineChars="200"/>
              <w:rPr>
                <w:b/>
                <w:color w:val="auto"/>
                <w:sz w:val="24"/>
              </w:rPr>
            </w:pPr>
            <w:r>
              <w:rPr>
                <w:b/>
                <w:color w:val="auto"/>
                <w:sz w:val="24"/>
              </w:rPr>
              <w:t>6.1运营期大气污染物对敏感点的环境影响</w:t>
            </w:r>
          </w:p>
          <w:p>
            <w:pPr>
              <w:adjustRightInd w:val="0"/>
              <w:snapToGrid w:val="0"/>
              <w:spacing w:line="360" w:lineRule="auto"/>
              <w:ind w:firstLine="482"/>
              <w:rPr>
                <w:color w:val="auto"/>
                <w:sz w:val="24"/>
              </w:rPr>
            </w:pPr>
            <w:r>
              <w:rPr>
                <w:color w:val="auto"/>
                <w:sz w:val="24"/>
              </w:rPr>
              <w:t>本项目道路建成运营后，经预测拟建道路无论近期还是中、远期，公路两侧环境空气中CO和NO</w:t>
            </w:r>
            <w:r>
              <w:rPr>
                <w:color w:val="auto"/>
                <w:sz w:val="24"/>
                <w:vertAlign w:val="subscript"/>
              </w:rPr>
              <w:t>X</w:t>
            </w:r>
            <w:r>
              <w:rPr>
                <w:color w:val="auto"/>
                <w:sz w:val="24"/>
              </w:rPr>
              <w:t>等污染物浓度均不会超标，加之项目沿线风速较大，有利于污染物的快速扩散稀释，拟建道路汽车尾气不会对沿线敏感点环境空气质量造成明显影响。</w:t>
            </w:r>
          </w:p>
          <w:p>
            <w:pPr>
              <w:adjustRightInd w:val="0"/>
              <w:snapToGrid w:val="0"/>
              <w:spacing w:line="360" w:lineRule="auto"/>
              <w:ind w:firstLine="482"/>
              <w:rPr>
                <w:color w:val="auto"/>
                <w:sz w:val="24"/>
              </w:rPr>
            </w:pPr>
            <w:r>
              <w:rPr>
                <w:b/>
                <w:color w:val="auto"/>
                <w:sz w:val="24"/>
              </w:rPr>
              <w:t>6.2运营期水污染物对敏感点的环境影响</w:t>
            </w:r>
          </w:p>
          <w:p>
            <w:pPr>
              <w:tabs>
                <w:tab w:val="left" w:pos="3525"/>
              </w:tabs>
              <w:adjustRightInd w:val="0"/>
              <w:snapToGrid w:val="0"/>
              <w:spacing w:line="360" w:lineRule="auto"/>
              <w:ind w:firstLine="480" w:firstLineChars="200"/>
              <w:rPr>
                <w:color w:val="auto"/>
                <w:sz w:val="24"/>
              </w:rPr>
            </w:pPr>
            <w:r>
              <w:rPr>
                <w:color w:val="auto"/>
                <w:sz w:val="24"/>
              </w:rPr>
              <w:t>项目</w:t>
            </w:r>
            <w:r>
              <w:rPr>
                <w:rFonts w:hint="eastAsia"/>
                <w:color w:val="auto"/>
                <w:sz w:val="24"/>
              </w:rPr>
              <w:t>引线道路</w:t>
            </w:r>
            <w:r>
              <w:rPr>
                <w:color w:val="auto"/>
                <w:sz w:val="24"/>
              </w:rPr>
              <w:t>路面初期雨水排入雨水管网</w:t>
            </w:r>
            <w:r>
              <w:rPr>
                <w:rFonts w:hint="eastAsia"/>
                <w:color w:val="auto"/>
                <w:sz w:val="24"/>
              </w:rPr>
              <w:t>，项目桥面径流</w:t>
            </w:r>
            <w:r>
              <w:rPr>
                <w:rFonts w:hint="eastAsia"/>
                <w:color w:val="auto"/>
                <w:sz w:val="24"/>
                <w:lang w:eastAsia="zh-CN"/>
              </w:rPr>
              <w:t>排入马莲河</w:t>
            </w:r>
            <w:r>
              <w:rPr>
                <w:rFonts w:hint="eastAsia"/>
                <w:color w:val="auto"/>
                <w:sz w:val="24"/>
              </w:rPr>
              <w:t>，</w:t>
            </w:r>
            <w:r>
              <w:rPr>
                <w:color w:val="auto"/>
                <w:sz w:val="24"/>
              </w:rPr>
              <w:t>不会对周围敏感点产生影响。</w:t>
            </w:r>
          </w:p>
          <w:p>
            <w:pPr>
              <w:adjustRightInd w:val="0"/>
              <w:snapToGrid w:val="0"/>
              <w:spacing w:line="360" w:lineRule="auto"/>
              <w:ind w:firstLine="482" w:firstLineChars="200"/>
              <w:rPr>
                <w:b/>
                <w:color w:val="auto"/>
                <w:sz w:val="24"/>
              </w:rPr>
            </w:pPr>
            <w:r>
              <w:rPr>
                <w:b/>
                <w:color w:val="auto"/>
                <w:sz w:val="24"/>
              </w:rPr>
              <w:t>6.3运营期噪声对敏感点的环境影响</w:t>
            </w:r>
          </w:p>
          <w:p>
            <w:pPr>
              <w:pStyle w:val="109"/>
              <w:adjustRightInd w:val="0"/>
              <w:snapToGrid w:val="0"/>
              <w:spacing w:line="360" w:lineRule="auto"/>
              <w:rPr>
                <w:rFonts w:hint="eastAsia"/>
                <w:color w:val="auto"/>
              </w:rPr>
            </w:pPr>
            <w:r>
              <w:rPr>
                <w:rFonts w:hint="eastAsia"/>
                <w:color w:val="auto"/>
              </w:rPr>
              <w:t>结合项目预测结果可知，本项目建成后运营期道路交通噪声将不会对周边居民带来严重的交通噪声干扰。通过采取夜间严格执行限速、禁鸣等措施后，交通噪声对周边环境影响将很小。</w:t>
            </w:r>
          </w:p>
          <w:p>
            <w:pPr>
              <w:adjustRightInd w:val="0"/>
              <w:snapToGrid w:val="0"/>
              <w:spacing w:line="360" w:lineRule="auto"/>
              <w:ind w:firstLine="482" w:firstLineChars="200"/>
              <w:rPr>
                <w:b/>
                <w:color w:val="auto"/>
                <w:sz w:val="24"/>
              </w:rPr>
            </w:pPr>
            <w:r>
              <w:rPr>
                <w:b/>
                <w:color w:val="auto"/>
                <w:sz w:val="24"/>
              </w:rPr>
              <w:t>6.4运营期固体废物对敏感点的环境影响</w:t>
            </w:r>
          </w:p>
          <w:p>
            <w:pPr>
              <w:pStyle w:val="109"/>
              <w:adjustRightInd w:val="0"/>
              <w:snapToGrid w:val="0"/>
              <w:spacing w:line="360" w:lineRule="auto"/>
              <w:rPr>
                <w:rFonts w:hint="eastAsia"/>
                <w:color w:val="auto"/>
              </w:rPr>
            </w:pPr>
            <w:r>
              <w:rPr>
                <w:rFonts w:hint="eastAsia"/>
                <w:color w:val="auto"/>
              </w:rPr>
              <w:t>路面由市政环卫部门统一安排、及时清扫，沿线垃圾实行分类收集，由市政环卫部门定期进行统一</w:t>
            </w:r>
            <w:r>
              <w:rPr>
                <w:rFonts w:hint="eastAsia"/>
                <w:color w:val="auto"/>
                <w:lang w:eastAsia="zh-CN"/>
              </w:rPr>
              <w:t>清运</w:t>
            </w:r>
            <w:r>
              <w:rPr>
                <w:rFonts w:hint="eastAsia"/>
                <w:color w:val="auto"/>
              </w:rPr>
              <w:t>，不会对敏感点产生不良环境影响。</w:t>
            </w:r>
          </w:p>
          <w:p>
            <w:pPr>
              <w:pStyle w:val="110"/>
              <w:ind w:firstLine="482"/>
              <w:rPr>
                <w:b/>
                <w:bCs/>
                <w:color w:val="auto"/>
              </w:rPr>
            </w:pPr>
            <w:r>
              <w:rPr>
                <w:b/>
                <w:bCs/>
                <w:color w:val="auto"/>
              </w:rPr>
              <w:t>7</w:t>
            </w:r>
            <w:r>
              <w:rPr>
                <w:rFonts w:hint="eastAsia"/>
                <w:b/>
                <w:bCs/>
                <w:color w:val="auto"/>
              </w:rPr>
              <w:t>、环境风险</w:t>
            </w:r>
          </w:p>
          <w:p>
            <w:pPr>
              <w:pStyle w:val="111"/>
              <w:adjustRightInd w:val="0"/>
              <w:snapToGrid w:val="0"/>
              <w:ind w:firstLine="482"/>
              <w:rPr>
                <w:b/>
                <w:color w:val="auto"/>
                <w:kern w:val="2"/>
                <w:szCs w:val="24"/>
              </w:rPr>
            </w:pPr>
            <w:r>
              <w:rPr>
                <w:b/>
                <w:color w:val="auto"/>
                <w:kern w:val="2"/>
                <w:szCs w:val="24"/>
              </w:rPr>
              <w:t>7</w:t>
            </w:r>
            <w:r>
              <w:rPr>
                <w:rFonts w:hint="eastAsia"/>
                <w:b/>
                <w:color w:val="auto"/>
                <w:kern w:val="2"/>
                <w:szCs w:val="24"/>
              </w:rPr>
              <w:t>.1</w:t>
            </w:r>
            <w:r>
              <w:rPr>
                <w:b/>
                <w:color w:val="auto"/>
                <w:kern w:val="2"/>
                <w:szCs w:val="24"/>
              </w:rPr>
              <w:t>环境风险识别</w:t>
            </w:r>
          </w:p>
          <w:p>
            <w:pPr>
              <w:pStyle w:val="111"/>
              <w:adjustRightInd w:val="0"/>
              <w:snapToGrid w:val="0"/>
              <w:ind w:firstLine="480"/>
              <w:rPr>
                <w:color w:val="auto"/>
              </w:rPr>
            </w:pPr>
            <w:r>
              <w:rPr>
                <w:rFonts w:hint="eastAsia" w:ascii="宋体" w:hAnsi="宋体" w:cs="宋体"/>
                <w:color w:val="auto"/>
              </w:rPr>
              <w:t>①</w:t>
            </w:r>
            <w:r>
              <w:rPr>
                <w:color w:val="auto"/>
              </w:rPr>
              <w:t>环境风险源识别</w:t>
            </w:r>
          </w:p>
          <w:p>
            <w:pPr>
              <w:pStyle w:val="111"/>
              <w:adjustRightInd w:val="0"/>
              <w:snapToGrid w:val="0"/>
              <w:ind w:firstLine="480"/>
              <w:rPr>
                <w:color w:val="auto"/>
              </w:rPr>
            </w:pPr>
            <w:r>
              <w:rPr>
                <w:color w:val="auto"/>
              </w:rPr>
              <w:t>随着我国交通事业的飞速发展，机动车辆不断增多，随之而来的道路交通事故也逐年攀升，道路交通事故已成为威胁人类安全的头号杀手。据有关资料统计，道路交通事故占了安全事故的</w:t>
            </w:r>
            <w:r>
              <w:rPr>
                <w:rFonts w:eastAsia="TimesNewRomanPSMT"/>
                <w:color w:val="auto"/>
              </w:rPr>
              <w:t>80%</w:t>
            </w:r>
            <w:r>
              <w:rPr>
                <w:color w:val="auto"/>
              </w:rPr>
              <w:t>以上。在道路交通事故中，危险化学品运输交通事故是本项目建成后的主要环境风险，可能对水体产生污染，污染类型主要有：</w:t>
            </w:r>
          </w:p>
          <w:p>
            <w:pPr>
              <w:pStyle w:val="111"/>
              <w:adjustRightInd w:val="0"/>
              <w:snapToGrid w:val="0"/>
              <w:ind w:firstLine="480"/>
              <w:rPr>
                <w:color w:val="auto"/>
              </w:rPr>
            </w:pPr>
            <w:r>
              <w:rPr>
                <w:rFonts w:eastAsia="TimesNewRomanPSMT"/>
                <w:color w:val="auto"/>
              </w:rPr>
              <w:t>1</w:t>
            </w:r>
            <w:r>
              <w:rPr>
                <w:color w:val="auto"/>
              </w:rPr>
              <w:t>）车辆本身携带的汽油</w:t>
            </w:r>
            <w:r>
              <w:rPr>
                <w:rFonts w:eastAsia="TimesNewRomanPSMT"/>
                <w:color w:val="auto"/>
              </w:rPr>
              <w:t>(</w:t>
            </w:r>
            <w:r>
              <w:rPr>
                <w:color w:val="auto"/>
              </w:rPr>
              <w:t>柴油</w:t>
            </w:r>
            <w:r>
              <w:rPr>
                <w:rFonts w:eastAsia="TimesNewRomanPSMT"/>
                <w:color w:val="auto"/>
              </w:rPr>
              <w:t>)</w:t>
            </w:r>
            <w:r>
              <w:rPr>
                <w:color w:val="auto"/>
              </w:rPr>
              <w:t>和机油泄漏，并排入附近水体；</w:t>
            </w:r>
          </w:p>
          <w:p>
            <w:pPr>
              <w:pStyle w:val="111"/>
              <w:adjustRightInd w:val="0"/>
              <w:snapToGrid w:val="0"/>
              <w:ind w:firstLine="480"/>
              <w:rPr>
                <w:b/>
                <w:color w:val="auto"/>
                <w:kern w:val="2"/>
                <w:szCs w:val="24"/>
              </w:rPr>
            </w:pPr>
            <w:r>
              <w:rPr>
                <w:rFonts w:eastAsia="TimesNewRomanPSMT"/>
                <w:color w:val="auto"/>
              </w:rPr>
              <w:t>2</w:t>
            </w:r>
            <w:r>
              <w:rPr>
                <w:color w:val="auto"/>
              </w:rPr>
              <w:t>）危险化学品的运输车辆发生交通事故后，危险化学品发生泄漏，并排入附近水体；</w:t>
            </w:r>
          </w:p>
          <w:p>
            <w:pPr>
              <w:adjustRightInd w:val="0"/>
              <w:snapToGrid w:val="0"/>
              <w:spacing w:line="360" w:lineRule="auto"/>
              <w:ind w:firstLine="480" w:firstLineChars="200"/>
              <w:rPr>
                <w:snapToGrid w:val="0"/>
                <w:color w:val="auto"/>
                <w:kern w:val="0"/>
                <w:sz w:val="24"/>
              </w:rPr>
            </w:pPr>
            <w:r>
              <w:rPr>
                <w:snapToGrid w:val="0"/>
                <w:color w:val="auto"/>
                <w:kern w:val="0"/>
                <w:sz w:val="24"/>
              </w:rPr>
              <w:t>3）在桥面发生交通事故，汽车连带货物坠入河流。</w:t>
            </w:r>
          </w:p>
          <w:p>
            <w:pPr>
              <w:adjustRightInd w:val="0"/>
              <w:snapToGrid w:val="0"/>
              <w:spacing w:line="360" w:lineRule="auto"/>
              <w:ind w:firstLine="480" w:firstLineChars="200"/>
              <w:rPr>
                <w:snapToGrid w:val="0"/>
                <w:color w:val="auto"/>
                <w:kern w:val="0"/>
                <w:sz w:val="24"/>
              </w:rPr>
            </w:pPr>
            <w:r>
              <w:rPr>
                <w:snapToGrid w:val="0"/>
                <w:color w:val="auto"/>
                <w:kern w:val="0"/>
                <w:sz w:val="24"/>
              </w:rPr>
              <w:t>交通事故多发的原因，有道路交通基础设施滞后以及交通管理手段落后等因素，然而主要还是交通参与者缺乏交通安全意识和遵章守法的自觉性所致。根据有关统计资料，造成交通事故以转弯冲突、直行冲突、超车冲突为主要形式，主要因素在客观上表现为交叉口事故、窄路事故和不良天气事故，主观表现为争道抢行、酒后驾车、疲劳驾驶、无证驾驶、超速超载、不合格车辆等因素所致。本项目主要风险事故来自液体危险化学品的泄漏，危险品泄漏对陆域生态系统、地表水环境及大气环境有一定的影响。</w:t>
            </w:r>
          </w:p>
          <w:p>
            <w:pPr>
              <w:adjustRightInd w:val="0"/>
              <w:snapToGrid w:val="0"/>
              <w:spacing w:line="360" w:lineRule="auto"/>
              <w:ind w:firstLine="480" w:firstLineChars="200"/>
              <w:rPr>
                <w:snapToGrid w:val="0"/>
                <w:color w:val="auto"/>
                <w:kern w:val="0"/>
                <w:sz w:val="24"/>
              </w:rPr>
            </w:pPr>
            <w:r>
              <w:rPr>
                <w:rFonts w:hint="eastAsia"/>
                <w:snapToGrid w:val="0"/>
                <w:color w:val="auto"/>
                <w:kern w:val="0"/>
                <w:sz w:val="24"/>
              </w:rPr>
              <w:t>②</w:t>
            </w:r>
            <w:r>
              <w:rPr>
                <w:snapToGrid w:val="0"/>
                <w:color w:val="auto"/>
                <w:kern w:val="0"/>
                <w:sz w:val="24"/>
              </w:rPr>
              <w:t>环境风险保护目标识别</w:t>
            </w:r>
          </w:p>
          <w:p>
            <w:pPr>
              <w:adjustRightInd w:val="0"/>
              <w:snapToGrid w:val="0"/>
              <w:spacing w:line="360" w:lineRule="auto"/>
              <w:ind w:firstLine="480" w:firstLineChars="200"/>
              <w:rPr>
                <w:snapToGrid w:val="0"/>
                <w:color w:val="auto"/>
                <w:kern w:val="0"/>
                <w:sz w:val="24"/>
              </w:rPr>
            </w:pPr>
            <w:r>
              <w:rPr>
                <w:snapToGrid w:val="0"/>
                <w:color w:val="auto"/>
                <w:kern w:val="0"/>
                <w:sz w:val="24"/>
              </w:rPr>
              <w:t>1）沿线敏感点</w:t>
            </w:r>
          </w:p>
          <w:p>
            <w:pPr>
              <w:adjustRightInd w:val="0"/>
              <w:snapToGrid w:val="0"/>
              <w:spacing w:line="360" w:lineRule="auto"/>
              <w:ind w:firstLine="480" w:firstLineChars="200"/>
              <w:rPr>
                <w:snapToGrid w:val="0"/>
                <w:color w:val="auto"/>
                <w:kern w:val="0"/>
                <w:sz w:val="24"/>
              </w:rPr>
            </w:pPr>
            <w:r>
              <w:rPr>
                <w:snapToGrid w:val="0"/>
                <w:color w:val="auto"/>
                <w:kern w:val="0"/>
                <w:sz w:val="24"/>
              </w:rPr>
              <w:t>本项目评价范围内的现状敏感点主要为</w:t>
            </w:r>
            <w:r>
              <w:rPr>
                <w:rFonts w:hint="eastAsia"/>
                <w:snapToGrid w:val="0"/>
                <w:color w:val="auto"/>
                <w:kern w:val="0"/>
                <w:sz w:val="24"/>
                <w:lang w:eastAsia="zh-CN"/>
              </w:rPr>
              <w:t>小区</w:t>
            </w:r>
            <w:r>
              <w:rPr>
                <w:snapToGrid w:val="0"/>
                <w:color w:val="auto"/>
                <w:kern w:val="0"/>
                <w:sz w:val="24"/>
              </w:rPr>
              <w:t>及</w:t>
            </w:r>
            <w:r>
              <w:rPr>
                <w:rFonts w:hint="eastAsia"/>
                <w:snapToGrid w:val="0"/>
                <w:color w:val="auto"/>
                <w:kern w:val="0"/>
                <w:sz w:val="24"/>
                <w:lang w:eastAsia="zh-CN"/>
              </w:rPr>
              <w:t>马莲河</w:t>
            </w:r>
            <w:r>
              <w:rPr>
                <w:snapToGrid w:val="0"/>
                <w:color w:val="auto"/>
                <w:kern w:val="0"/>
                <w:sz w:val="24"/>
              </w:rPr>
              <w:t>等。</w:t>
            </w:r>
          </w:p>
          <w:p>
            <w:pPr>
              <w:adjustRightInd w:val="0"/>
              <w:snapToGrid w:val="0"/>
              <w:spacing w:line="360" w:lineRule="auto"/>
              <w:ind w:firstLine="480" w:firstLineChars="200"/>
              <w:rPr>
                <w:snapToGrid w:val="0"/>
                <w:color w:val="auto"/>
                <w:kern w:val="0"/>
                <w:sz w:val="24"/>
              </w:rPr>
            </w:pPr>
            <w:r>
              <w:rPr>
                <w:snapToGrid w:val="0"/>
                <w:color w:val="auto"/>
                <w:kern w:val="0"/>
                <w:sz w:val="24"/>
              </w:rPr>
              <w:t>2）沿线敏感水体</w:t>
            </w:r>
          </w:p>
          <w:p>
            <w:pPr>
              <w:adjustRightInd w:val="0"/>
              <w:snapToGrid w:val="0"/>
              <w:spacing w:line="360" w:lineRule="auto"/>
              <w:ind w:firstLine="480" w:firstLineChars="200"/>
              <w:rPr>
                <w:snapToGrid w:val="0"/>
                <w:color w:val="auto"/>
                <w:kern w:val="0"/>
                <w:sz w:val="24"/>
              </w:rPr>
            </w:pPr>
            <w:r>
              <w:rPr>
                <w:rFonts w:hint="eastAsia"/>
                <w:snapToGrid w:val="0"/>
                <w:color w:val="auto"/>
                <w:kern w:val="0"/>
                <w:sz w:val="24"/>
              </w:rPr>
              <w:t>本工程涉及水体为</w:t>
            </w:r>
            <w:r>
              <w:rPr>
                <w:rFonts w:hint="eastAsia"/>
                <w:snapToGrid w:val="0"/>
                <w:color w:val="auto"/>
                <w:kern w:val="0"/>
                <w:sz w:val="24"/>
                <w:lang w:eastAsia="zh-CN"/>
              </w:rPr>
              <w:t>马莲</w:t>
            </w:r>
            <w:r>
              <w:rPr>
                <w:rFonts w:hint="eastAsia"/>
                <w:snapToGrid w:val="0"/>
                <w:color w:val="auto"/>
                <w:kern w:val="0"/>
                <w:sz w:val="24"/>
              </w:rPr>
              <w:t>河。</w:t>
            </w:r>
          </w:p>
          <w:p>
            <w:pPr>
              <w:adjustRightInd w:val="0"/>
              <w:snapToGrid w:val="0"/>
              <w:spacing w:line="360" w:lineRule="auto"/>
              <w:ind w:firstLine="480" w:firstLineChars="200"/>
              <w:rPr>
                <w:snapToGrid w:val="0"/>
                <w:color w:val="auto"/>
                <w:kern w:val="0"/>
                <w:sz w:val="24"/>
              </w:rPr>
            </w:pPr>
            <w:r>
              <w:rPr>
                <w:rFonts w:hint="eastAsia"/>
                <w:snapToGrid w:val="0"/>
                <w:color w:val="auto"/>
                <w:kern w:val="0"/>
                <w:sz w:val="24"/>
              </w:rPr>
              <w:t>③风险概率分析</w:t>
            </w:r>
          </w:p>
          <w:p>
            <w:pPr>
              <w:adjustRightInd w:val="0"/>
              <w:snapToGrid w:val="0"/>
              <w:spacing w:line="360" w:lineRule="auto"/>
              <w:ind w:firstLine="480" w:firstLineChars="200"/>
              <w:rPr>
                <w:snapToGrid w:val="0"/>
                <w:color w:val="auto"/>
                <w:kern w:val="0"/>
                <w:sz w:val="24"/>
              </w:rPr>
            </w:pPr>
            <w:r>
              <w:rPr>
                <w:rFonts w:hint="eastAsia"/>
                <w:snapToGrid w:val="0"/>
                <w:color w:val="auto"/>
                <w:kern w:val="0"/>
                <w:sz w:val="24"/>
              </w:rPr>
              <w:t>道路营运期运输危险化学品车辆在跨河路段发生引起污染的事故风险概率较小，但由概率理论，这种小概率事件的发生是随机的，若不采取措施，一旦发生对环境将造成严重的影响。因此应加强对公路运输的监管工作，做到防患于未然，采取预防措施、并制定相应的事故环境风险应急预案。</w:t>
            </w:r>
          </w:p>
          <w:p>
            <w:pPr>
              <w:adjustRightInd w:val="0"/>
              <w:snapToGrid w:val="0"/>
              <w:spacing w:line="360" w:lineRule="auto"/>
              <w:ind w:firstLine="480" w:firstLineChars="200"/>
              <w:rPr>
                <w:snapToGrid w:val="0"/>
                <w:color w:val="auto"/>
                <w:kern w:val="0"/>
                <w:sz w:val="24"/>
              </w:rPr>
            </w:pPr>
            <w:r>
              <w:rPr>
                <w:rFonts w:hint="eastAsia"/>
                <w:snapToGrid w:val="0"/>
                <w:color w:val="auto"/>
                <w:kern w:val="0"/>
                <w:sz w:val="24"/>
              </w:rPr>
              <w:t>④环境风险危害分析</w:t>
            </w:r>
          </w:p>
          <w:p>
            <w:pPr>
              <w:adjustRightInd w:val="0"/>
              <w:snapToGrid w:val="0"/>
              <w:spacing w:line="360" w:lineRule="auto"/>
              <w:ind w:firstLine="480" w:firstLineChars="200"/>
              <w:rPr>
                <w:snapToGrid w:val="0"/>
                <w:color w:val="auto"/>
                <w:kern w:val="0"/>
                <w:sz w:val="24"/>
              </w:rPr>
            </w:pPr>
            <w:r>
              <w:rPr>
                <w:snapToGrid w:val="0"/>
                <w:color w:val="auto"/>
                <w:kern w:val="0"/>
                <w:sz w:val="24"/>
              </w:rPr>
              <w:t>1</w:t>
            </w:r>
            <w:r>
              <w:rPr>
                <w:rFonts w:hint="eastAsia"/>
                <w:snapToGrid w:val="0"/>
                <w:color w:val="auto"/>
                <w:kern w:val="0"/>
                <w:sz w:val="24"/>
              </w:rPr>
              <w:t>）对水体的环境风险分析</w:t>
            </w:r>
          </w:p>
          <w:p>
            <w:pPr>
              <w:adjustRightInd w:val="0"/>
              <w:snapToGrid w:val="0"/>
              <w:spacing w:line="360" w:lineRule="auto"/>
              <w:ind w:firstLine="480" w:firstLineChars="200"/>
              <w:rPr>
                <w:snapToGrid w:val="0"/>
                <w:color w:val="auto"/>
                <w:kern w:val="0"/>
                <w:sz w:val="24"/>
              </w:rPr>
            </w:pPr>
            <w:r>
              <w:rPr>
                <w:rFonts w:hint="eastAsia"/>
                <w:snapToGrid w:val="0"/>
                <w:color w:val="auto"/>
                <w:kern w:val="0"/>
                <w:sz w:val="24"/>
              </w:rPr>
              <w:t>本项目以桥梁方式跨越</w:t>
            </w:r>
            <w:r>
              <w:rPr>
                <w:rFonts w:hint="eastAsia"/>
                <w:snapToGrid w:val="0"/>
                <w:color w:val="auto"/>
                <w:kern w:val="0"/>
                <w:sz w:val="24"/>
                <w:lang w:eastAsia="zh-CN"/>
              </w:rPr>
              <w:t>马莲</w:t>
            </w:r>
            <w:r>
              <w:rPr>
                <w:rFonts w:hint="eastAsia"/>
                <w:snapToGrid w:val="0"/>
                <w:color w:val="auto"/>
                <w:kern w:val="0"/>
                <w:sz w:val="24"/>
              </w:rPr>
              <w:t>河，一旦运输化学危险品的汽车发生泄漏或翻车事故，导致有毒有害的危险品进入</w:t>
            </w:r>
            <w:r>
              <w:rPr>
                <w:rFonts w:hint="eastAsia"/>
                <w:snapToGrid w:val="0"/>
                <w:color w:val="auto"/>
                <w:kern w:val="0"/>
                <w:sz w:val="24"/>
                <w:lang w:eastAsia="zh-CN"/>
              </w:rPr>
              <w:t>马莲</w:t>
            </w:r>
            <w:r>
              <w:rPr>
                <w:rFonts w:hint="eastAsia"/>
                <w:snapToGrid w:val="0"/>
                <w:color w:val="auto"/>
                <w:kern w:val="0"/>
                <w:sz w:val="24"/>
              </w:rPr>
              <w:t>河，将对其水质造成一定污染。</w:t>
            </w:r>
          </w:p>
          <w:p>
            <w:pPr>
              <w:adjustRightInd w:val="0"/>
              <w:snapToGrid w:val="0"/>
              <w:spacing w:line="360" w:lineRule="auto"/>
              <w:ind w:firstLine="480" w:firstLineChars="200"/>
              <w:rPr>
                <w:snapToGrid w:val="0"/>
                <w:color w:val="auto"/>
                <w:kern w:val="0"/>
                <w:sz w:val="24"/>
              </w:rPr>
            </w:pPr>
            <w:r>
              <w:rPr>
                <w:snapToGrid w:val="0"/>
                <w:color w:val="auto"/>
                <w:kern w:val="0"/>
                <w:sz w:val="24"/>
              </w:rPr>
              <w:t>2</w:t>
            </w:r>
            <w:r>
              <w:rPr>
                <w:rFonts w:hint="eastAsia"/>
                <w:snapToGrid w:val="0"/>
                <w:color w:val="auto"/>
                <w:kern w:val="0"/>
                <w:sz w:val="24"/>
              </w:rPr>
              <w:t>）对沿线居民大气环境风险分析</w:t>
            </w:r>
          </w:p>
          <w:p>
            <w:pPr>
              <w:adjustRightInd w:val="0"/>
              <w:snapToGrid w:val="0"/>
              <w:spacing w:line="360" w:lineRule="auto"/>
              <w:ind w:firstLine="480" w:firstLineChars="200"/>
              <w:rPr>
                <w:snapToGrid w:val="0"/>
                <w:color w:val="auto"/>
                <w:kern w:val="0"/>
                <w:sz w:val="24"/>
              </w:rPr>
            </w:pPr>
            <w:r>
              <w:rPr>
                <w:rFonts w:hint="eastAsia"/>
                <w:snapToGrid w:val="0"/>
                <w:color w:val="auto"/>
                <w:kern w:val="0"/>
                <w:sz w:val="24"/>
              </w:rPr>
              <w:t>突发性大气环境风险主要来自运输那些在常温常压下有毒有害，且易挥发的物质，大多是液化气类：主要有液化石油气、氯乙稀、丁二烯、丙烯、液氯等。由于此类物品的最大潜在危险是呈气态状向四周蔓延，如再配合以适当的气象条件，将会急速放大事故负面效应，所以这类危险化学品运输在靠近各类敏感点时一旦发生严重的交通事故，将会危胁到沿线人民群众的生产秩序和生命安全。</w:t>
            </w:r>
          </w:p>
          <w:p>
            <w:pPr>
              <w:adjustRightInd w:val="0"/>
              <w:snapToGrid w:val="0"/>
              <w:spacing w:line="360" w:lineRule="auto"/>
              <w:ind w:firstLine="480" w:firstLineChars="200"/>
              <w:rPr>
                <w:snapToGrid w:val="0"/>
                <w:color w:val="auto"/>
                <w:kern w:val="0"/>
                <w:sz w:val="24"/>
              </w:rPr>
            </w:pPr>
            <w:r>
              <w:rPr>
                <w:rFonts w:hint="eastAsia"/>
                <w:snapToGrid w:val="0"/>
                <w:color w:val="auto"/>
                <w:kern w:val="0"/>
                <w:sz w:val="24"/>
              </w:rPr>
              <w:t>⑤风险防范措施及应急预案</w:t>
            </w:r>
          </w:p>
          <w:p>
            <w:pPr>
              <w:adjustRightInd w:val="0"/>
              <w:snapToGrid w:val="0"/>
              <w:spacing w:line="360" w:lineRule="auto"/>
              <w:ind w:firstLine="480" w:firstLineChars="200"/>
              <w:rPr>
                <w:snapToGrid w:val="0"/>
                <w:color w:val="auto"/>
                <w:kern w:val="0"/>
                <w:sz w:val="24"/>
              </w:rPr>
            </w:pPr>
            <w:r>
              <w:rPr>
                <w:snapToGrid w:val="0"/>
                <w:color w:val="auto"/>
                <w:kern w:val="0"/>
                <w:sz w:val="24"/>
              </w:rPr>
              <w:t>1</w:t>
            </w:r>
            <w:r>
              <w:rPr>
                <w:rFonts w:hint="eastAsia"/>
                <w:snapToGrid w:val="0"/>
                <w:color w:val="auto"/>
                <w:kern w:val="0"/>
                <w:sz w:val="24"/>
              </w:rPr>
              <w:t>）风险事故防范措施</w:t>
            </w:r>
          </w:p>
          <w:p>
            <w:pPr>
              <w:adjustRightInd w:val="0"/>
              <w:snapToGrid w:val="0"/>
              <w:spacing w:line="360" w:lineRule="auto"/>
              <w:ind w:firstLine="480" w:firstLineChars="200"/>
              <w:rPr>
                <w:snapToGrid w:val="0"/>
                <w:color w:val="auto"/>
                <w:kern w:val="0"/>
                <w:sz w:val="24"/>
              </w:rPr>
            </w:pPr>
            <w:r>
              <w:rPr>
                <w:snapToGrid w:val="0"/>
                <w:color w:val="auto"/>
                <w:kern w:val="0"/>
                <w:sz w:val="24"/>
              </w:rPr>
              <w:t>a.</w:t>
            </w:r>
            <w:r>
              <w:rPr>
                <w:rFonts w:hint="eastAsia"/>
                <w:snapToGrid w:val="0"/>
                <w:color w:val="auto"/>
                <w:kern w:val="0"/>
                <w:sz w:val="24"/>
              </w:rPr>
              <w:t>建议该项目营运管理部门编制有关本路段道路交通环境风险事故应急预案，配备必要的资金、人员和器材</w:t>
            </w:r>
            <w:r>
              <w:rPr>
                <w:snapToGrid w:val="0"/>
                <w:color w:val="auto"/>
                <w:kern w:val="0"/>
                <w:sz w:val="24"/>
              </w:rPr>
              <w:t>(</w:t>
            </w:r>
            <w:r>
              <w:rPr>
                <w:rFonts w:hint="eastAsia"/>
                <w:snapToGrid w:val="0"/>
                <w:color w:val="auto"/>
                <w:kern w:val="0"/>
                <w:sz w:val="24"/>
              </w:rPr>
              <w:t>包括通讯器材、防护器材和处理、处置器材</w:t>
            </w:r>
            <w:r>
              <w:rPr>
                <w:snapToGrid w:val="0"/>
                <w:color w:val="auto"/>
                <w:kern w:val="0"/>
                <w:sz w:val="24"/>
              </w:rPr>
              <w:t>)</w:t>
            </w:r>
            <w:r>
              <w:rPr>
                <w:rFonts w:hint="eastAsia"/>
                <w:snapToGrid w:val="0"/>
                <w:color w:val="auto"/>
                <w:kern w:val="0"/>
                <w:sz w:val="24"/>
              </w:rPr>
              <w:t>，并对人员进行必要的培训和演练。</w:t>
            </w:r>
          </w:p>
          <w:p>
            <w:pPr>
              <w:adjustRightInd w:val="0"/>
              <w:snapToGrid w:val="0"/>
              <w:spacing w:line="360" w:lineRule="auto"/>
              <w:ind w:firstLine="480" w:firstLineChars="200"/>
              <w:rPr>
                <w:snapToGrid w:val="0"/>
                <w:color w:val="FF0000"/>
                <w:kern w:val="0"/>
                <w:sz w:val="24"/>
              </w:rPr>
            </w:pPr>
            <w:r>
              <w:rPr>
                <w:snapToGrid w:val="0"/>
                <w:color w:val="FF0000"/>
                <w:kern w:val="0"/>
                <w:sz w:val="24"/>
              </w:rPr>
              <w:t>b.</w:t>
            </w:r>
            <w:r>
              <w:rPr>
                <w:rFonts w:hint="eastAsia"/>
                <w:snapToGrid w:val="0"/>
                <w:color w:val="FF0000"/>
                <w:kern w:val="0"/>
                <w:sz w:val="24"/>
              </w:rPr>
              <w:t>设加固护栏。加强桥梁的防护栏强度，建议沿线跨河桥梁采用加强型防撞护栏，防止车辆坠入河中。</w:t>
            </w:r>
          </w:p>
          <w:p>
            <w:pPr>
              <w:adjustRightInd w:val="0"/>
              <w:snapToGrid w:val="0"/>
              <w:spacing w:line="360" w:lineRule="auto"/>
              <w:ind w:firstLine="480" w:firstLineChars="200"/>
              <w:rPr>
                <w:snapToGrid w:val="0"/>
                <w:color w:val="FF0000"/>
                <w:kern w:val="0"/>
                <w:sz w:val="24"/>
              </w:rPr>
            </w:pPr>
            <w:r>
              <w:rPr>
                <w:snapToGrid w:val="0"/>
                <w:color w:val="FF0000"/>
                <w:kern w:val="0"/>
                <w:sz w:val="24"/>
              </w:rPr>
              <w:t>c.</w:t>
            </w:r>
            <w:r>
              <w:rPr>
                <w:rFonts w:hint="eastAsia"/>
                <w:snapToGrid w:val="0"/>
                <w:color w:val="FF0000"/>
                <w:kern w:val="0"/>
                <w:sz w:val="24"/>
              </w:rPr>
              <w:t>设警示标志，加强道路的安全设施设计，在道路拐角、靠近河流路段设置“谨慎驾驶”警示牌，提醒运输危险化学品的车辆司机注意安全和控制车速。在敏感路段设警示标志，提醒司机注意安全。对于梅雨季节等交通事故多发期，尤其要加强监控。</w:t>
            </w:r>
          </w:p>
          <w:p>
            <w:pPr>
              <w:adjustRightInd w:val="0"/>
              <w:snapToGrid w:val="0"/>
              <w:spacing w:line="360" w:lineRule="auto"/>
              <w:ind w:firstLine="480" w:firstLineChars="200"/>
              <w:rPr>
                <w:snapToGrid w:val="0"/>
                <w:color w:val="auto"/>
                <w:kern w:val="0"/>
                <w:sz w:val="24"/>
              </w:rPr>
            </w:pPr>
            <w:r>
              <w:rPr>
                <w:snapToGrid w:val="0"/>
                <w:color w:val="auto"/>
                <w:kern w:val="0"/>
                <w:sz w:val="24"/>
              </w:rPr>
              <w:t>d.</w:t>
            </w:r>
            <w:r>
              <w:rPr>
                <w:rFonts w:hint="eastAsia"/>
                <w:snapToGrid w:val="0"/>
                <w:color w:val="auto"/>
                <w:kern w:val="0"/>
                <w:sz w:val="24"/>
              </w:rPr>
              <w:t>一旦事故发生，应及时迅速报警，及时通知有关交警、消防、生态环境部门，立即启动项目应急预案，采取应急措施。</w:t>
            </w:r>
          </w:p>
          <w:p>
            <w:pPr>
              <w:adjustRightInd w:val="0"/>
              <w:snapToGrid w:val="0"/>
              <w:spacing w:line="360" w:lineRule="auto"/>
              <w:ind w:firstLine="480" w:firstLineChars="200"/>
              <w:rPr>
                <w:snapToGrid w:val="0"/>
                <w:color w:val="auto"/>
                <w:kern w:val="0"/>
                <w:sz w:val="24"/>
              </w:rPr>
            </w:pPr>
            <w:r>
              <w:rPr>
                <w:snapToGrid w:val="0"/>
                <w:color w:val="auto"/>
                <w:kern w:val="0"/>
                <w:sz w:val="24"/>
              </w:rPr>
              <w:t>2</w:t>
            </w:r>
            <w:r>
              <w:rPr>
                <w:rFonts w:hint="eastAsia"/>
                <w:snapToGrid w:val="0"/>
                <w:color w:val="auto"/>
                <w:kern w:val="0"/>
                <w:sz w:val="24"/>
              </w:rPr>
              <w:t>）道路交通事故环境应急预案</w:t>
            </w:r>
          </w:p>
          <w:p>
            <w:pPr>
              <w:adjustRightInd w:val="0"/>
              <w:snapToGrid w:val="0"/>
              <w:spacing w:line="360" w:lineRule="auto"/>
              <w:ind w:firstLine="480" w:firstLineChars="200"/>
              <w:rPr>
                <w:rFonts w:hint="eastAsia"/>
                <w:snapToGrid w:val="0"/>
                <w:color w:val="auto"/>
                <w:kern w:val="0"/>
                <w:sz w:val="24"/>
              </w:rPr>
            </w:pPr>
            <w:r>
              <w:rPr>
                <w:rFonts w:hint="eastAsia"/>
                <w:snapToGrid w:val="0"/>
                <w:color w:val="auto"/>
                <w:kern w:val="0"/>
                <w:sz w:val="24"/>
              </w:rPr>
              <w:t>在发生交通事故</w:t>
            </w:r>
            <w:r>
              <w:rPr>
                <w:snapToGrid w:val="0"/>
                <w:color w:val="auto"/>
                <w:kern w:val="0"/>
                <w:sz w:val="24"/>
              </w:rPr>
              <w:t>(</w:t>
            </w:r>
            <w:r>
              <w:rPr>
                <w:rFonts w:hint="eastAsia"/>
                <w:snapToGrid w:val="0"/>
                <w:color w:val="auto"/>
                <w:kern w:val="0"/>
                <w:sz w:val="24"/>
              </w:rPr>
              <w:t>或者由于某些环节的疏忽，导致危险化学品运输车辆进入该道路发生事故</w:t>
            </w:r>
            <w:r>
              <w:rPr>
                <w:snapToGrid w:val="0"/>
                <w:color w:val="auto"/>
                <w:kern w:val="0"/>
                <w:sz w:val="24"/>
              </w:rPr>
              <w:t>)</w:t>
            </w:r>
            <w:r>
              <w:rPr>
                <w:rFonts w:hint="eastAsia"/>
                <w:snapToGrid w:val="0"/>
                <w:color w:val="auto"/>
                <w:kern w:val="0"/>
                <w:sz w:val="24"/>
              </w:rPr>
              <w:t>后，为了防止由于管理体系不完善，而导致水污染事件的发生，建设单位应制定本项目的环境风险事故应急预案。同时，建设单位应建立起与地方政府及有关部门的事故通报机制和事故处理配合机制，并把本项目的环境应急预案纳入各级政府的应急救援体系之中。</w:t>
            </w:r>
          </w:p>
          <w:p>
            <w:pPr>
              <w:adjustRightInd w:val="0"/>
              <w:snapToGrid w:val="0"/>
              <w:spacing w:line="360" w:lineRule="auto"/>
              <w:ind w:firstLine="480" w:firstLineChars="200"/>
              <w:rPr>
                <w:rFonts w:hint="eastAsia"/>
                <w:snapToGrid w:val="0"/>
                <w:color w:val="auto"/>
                <w:kern w:val="0"/>
                <w:sz w:val="24"/>
              </w:rPr>
            </w:pPr>
            <w:r>
              <w:rPr>
                <w:rFonts w:hint="eastAsia"/>
                <w:snapToGrid w:val="0"/>
                <w:color w:val="auto"/>
                <w:kern w:val="0"/>
                <w:sz w:val="24"/>
              </w:rPr>
              <w:t>综上分析可知，从路段位置、服务对象等分析危险品运输比重小，发生风险概率很低，发生事故性污染风险对道路沿线环境影响程度轻微，所以危险品运输对环境造成严重影响可能性很小。即便如此，要针对可能发生的危险，采取相应控制措施如加强交通管理并制定应急预案。</w:t>
            </w:r>
          </w:p>
          <w:p>
            <w:pPr>
              <w:pStyle w:val="5"/>
              <w:rPr>
                <w:color w:val="auto"/>
              </w:rPr>
            </w:pPr>
          </w:p>
          <w:p>
            <w:pPr>
              <w:rPr>
                <w:color w:val="auto"/>
              </w:rPr>
            </w:pPr>
          </w:p>
          <w:p>
            <w:pPr>
              <w:pStyle w:val="5"/>
              <w:rPr>
                <w:color w:val="auto"/>
              </w:rPr>
            </w:pPr>
          </w:p>
          <w:p>
            <w:pPr>
              <w:rPr>
                <w:color w:val="auto"/>
              </w:rPr>
            </w:pPr>
          </w:p>
          <w:p>
            <w:pPr>
              <w:pStyle w:val="5"/>
              <w:rPr>
                <w:color w:val="auto"/>
              </w:rPr>
            </w:pPr>
          </w:p>
          <w:p>
            <w:pPr>
              <w:rPr>
                <w:color w:val="auto"/>
              </w:rPr>
            </w:pPr>
          </w:p>
          <w:p>
            <w:pPr>
              <w:pStyle w:val="5"/>
              <w:rPr>
                <w:color w:val="auto"/>
              </w:rPr>
            </w:pPr>
          </w:p>
          <w:p>
            <w:pPr>
              <w:rPr>
                <w:color w:val="auto"/>
              </w:rPr>
            </w:pPr>
          </w:p>
          <w:p>
            <w:pPr>
              <w:pStyle w:val="5"/>
              <w:rPr>
                <w:color w:val="auto"/>
              </w:rPr>
            </w:pPr>
          </w:p>
          <w:p>
            <w:pPr>
              <w:rPr>
                <w:color w:val="auto"/>
              </w:rPr>
            </w:pPr>
          </w:p>
          <w:p>
            <w:pPr>
              <w:pStyle w:val="5"/>
              <w:rPr>
                <w:color w:val="auto"/>
              </w:rPr>
            </w:pPr>
          </w:p>
          <w:p>
            <w:pPr>
              <w:rPr>
                <w:color w:val="auto"/>
              </w:rPr>
            </w:pPr>
          </w:p>
          <w:p>
            <w:pPr>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08" w:hRule="atLeast"/>
          <w:jc w:val="center"/>
        </w:trPr>
        <w:tc>
          <w:tcPr>
            <w:tcW w:w="780" w:type="dxa"/>
            <w:vAlign w:val="center"/>
          </w:tcPr>
          <w:p>
            <w:pPr>
              <w:pStyle w:val="21"/>
              <w:adjustRightInd w:val="0"/>
              <w:snapToGrid w:val="0"/>
              <w:spacing w:before="0" w:beforeAutospacing="0" w:after="0" w:afterAutospacing="0"/>
              <w:jc w:val="center"/>
              <w:rPr>
                <w:rFonts w:ascii="Times New Roman" w:hAnsi="Times New Roman"/>
                <w:bCs/>
                <w:color w:val="auto"/>
                <w:kern w:val="2"/>
              </w:rPr>
            </w:pPr>
            <w:r>
              <w:rPr>
                <w:rFonts w:ascii="Times New Roman" w:hAnsi="Times New Roman"/>
                <w:bCs/>
                <w:color w:val="auto"/>
                <w:kern w:val="2"/>
              </w:rPr>
              <w:t>选址选线环境合理性分析</w:t>
            </w:r>
          </w:p>
        </w:tc>
        <w:tc>
          <w:tcPr>
            <w:tcW w:w="7662" w:type="dxa"/>
          </w:tcPr>
          <w:p>
            <w:pPr>
              <w:pStyle w:val="33"/>
              <w:ind w:firstLine="542"/>
              <w:rPr>
                <w:rFonts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rPr>
              <w:t>1、线路方案的选址合理性分析</w:t>
            </w:r>
          </w:p>
          <w:p>
            <w:pPr>
              <w:widowControl/>
              <w:adjustRightInd w:val="0"/>
              <w:snapToGrid w:val="0"/>
              <w:spacing w:line="360" w:lineRule="auto"/>
              <w:ind w:firstLine="480" w:firstLineChars="200"/>
              <w:rPr>
                <w:color w:val="auto"/>
                <w:kern w:val="0"/>
                <w:sz w:val="24"/>
                <w:lang w:bidi="ar"/>
              </w:rPr>
            </w:pPr>
            <w:r>
              <w:rPr>
                <w:color w:val="auto"/>
                <w:kern w:val="0"/>
                <w:sz w:val="24"/>
                <w:lang w:bidi="ar"/>
              </w:rPr>
              <w:t>本次道路及桥梁工程位于</w:t>
            </w:r>
            <w:r>
              <w:rPr>
                <w:rFonts w:hint="eastAsia"/>
                <w:color w:val="auto"/>
                <w:kern w:val="0"/>
                <w:sz w:val="24"/>
                <w:lang w:eastAsia="zh-CN" w:bidi="ar"/>
              </w:rPr>
              <w:t>宁县县城内</w:t>
            </w:r>
            <w:r>
              <w:rPr>
                <w:color w:val="auto"/>
                <w:kern w:val="0"/>
                <w:sz w:val="24"/>
                <w:lang w:bidi="ar"/>
              </w:rPr>
              <w:t>，道路全长</w:t>
            </w:r>
            <w:r>
              <w:rPr>
                <w:rFonts w:hint="default" w:ascii="Times New Roman" w:hAnsi="Times New Roman" w:eastAsia="宋体" w:cs="Times New Roman"/>
                <w:color w:val="auto"/>
                <w:sz w:val="24"/>
                <w:lang w:val="en-US" w:eastAsia="zh-CN"/>
              </w:rPr>
              <w:t>269.</w:t>
            </w:r>
            <w:r>
              <w:rPr>
                <w:rFonts w:hint="eastAsia" w:cs="Times New Roman"/>
                <w:color w:val="auto"/>
                <w:sz w:val="24"/>
                <w:lang w:val="en-US" w:eastAsia="zh-CN"/>
              </w:rPr>
              <w:t>182</w:t>
            </w:r>
            <w:r>
              <w:rPr>
                <w:color w:val="auto"/>
                <w:kern w:val="0"/>
                <w:sz w:val="24"/>
                <w:lang w:bidi="ar"/>
              </w:rPr>
              <w:t>m，新建桥梁一座，建成后可连接</w:t>
            </w:r>
            <w:r>
              <w:rPr>
                <w:rFonts w:hint="eastAsia"/>
                <w:color w:val="auto"/>
                <w:kern w:val="0"/>
                <w:sz w:val="24"/>
                <w:lang w:eastAsia="zh-CN" w:bidi="ar"/>
              </w:rPr>
              <w:t>马莲</w:t>
            </w:r>
            <w:r>
              <w:rPr>
                <w:color w:val="auto"/>
                <w:kern w:val="0"/>
                <w:sz w:val="24"/>
                <w:lang w:bidi="ar"/>
              </w:rPr>
              <w:t>河两岸。项目建设区域不涉及生态保护红线，工程临时用地和永久占地不占用基本农田保护区、自然保护区、风景名胜区，不在国家、地方规划的重点生态功能区的敏感区域内，拟建地自然环境及社会环境条件较为优越，环境空气、地表水、地下水及声环境质量状较好，有利于项目建设。在采取相应的污染物防治措施后，项目施工期、运行期间各类污染物均能达标排放，对环境的影响可以接受。根据</w:t>
            </w:r>
            <w:r>
              <w:rPr>
                <w:rFonts w:hint="eastAsia"/>
                <w:color w:val="auto"/>
                <w:sz w:val="24"/>
                <w:szCs w:val="21"/>
                <w:lang w:val="en-US" w:eastAsia="zh-CN"/>
              </w:rPr>
              <w:t>《宁县县城道路交通专项规划（2018-2035）》（宁县城乡规划局、陕西省城乡规划设计研究院 2019年6月）</w:t>
            </w:r>
            <w:r>
              <w:rPr>
                <w:color w:val="auto"/>
                <w:kern w:val="0"/>
                <w:sz w:val="24"/>
                <w:lang w:bidi="ar"/>
              </w:rPr>
              <w:t>，结合</w:t>
            </w:r>
            <w:r>
              <w:rPr>
                <w:rFonts w:hint="eastAsia"/>
                <w:color w:val="auto"/>
                <w:kern w:val="0"/>
                <w:sz w:val="24"/>
                <w:lang w:eastAsia="zh-CN" w:bidi="ar"/>
              </w:rPr>
              <w:t>宁县县城</w:t>
            </w:r>
            <w:r>
              <w:rPr>
                <w:color w:val="auto"/>
                <w:kern w:val="0"/>
                <w:sz w:val="24"/>
                <w:lang w:bidi="ar"/>
              </w:rPr>
              <w:t>现状路网结构。本项目的实施是《</w:t>
            </w:r>
            <w:r>
              <w:rPr>
                <w:rFonts w:hint="eastAsia"/>
                <w:color w:val="auto"/>
                <w:sz w:val="24"/>
                <w:szCs w:val="21"/>
                <w:lang w:val="en-US" w:eastAsia="zh-CN"/>
              </w:rPr>
              <w:t>宁县县城道路交通专项规划（2018-2035）</w:t>
            </w:r>
            <w:r>
              <w:rPr>
                <w:color w:val="auto"/>
                <w:kern w:val="0"/>
                <w:sz w:val="24"/>
                <w:lang w:bidi="ar"/>
              </w:rPr>
              <w:t>》建设的需求。本项目不涉及生态保护红线，因此，项目选线从环境角度来说，是合理的。</w:t>
            </w:r>
          </w:p>
          <w:p>
            <w:pPr>
              <w:widowControl/>
              <w:adjustRightInd w:val="0"/>
              <w:snapToGrid w:val="0"/>
              <w:spacing w:line="360" w:lineRule="auto"/>
              <w:ind w:firstLine="482" w:firstLineChars="200"/>
              <w:rPr>
                <w:b/>
                <w:color w:val="auto"/>
                <w:kern w:val="0"/>
                <w:sz w:val="24"/>
                <w:lang w:bidi="ar"/>
              </w:rPr>
            </w:pPr>
            <w:r>
              <w:rPr>
                <w:b/>
                <w:color w:val="auto"/>
                <w:kern w:val="0"/>
                <w:sz w:val="24"/>
                <w:lang w:bidi="ar"/>
              </w:rPr>
              <w:t>2</w:t>
            </w:r>
            <w:r>
              <w:rPr>
                <w:rFonts w:hint="eastAsia"/>
                <w:b/>
                <w:color w:val="auto"/>
                <w:kern w:val="0"/>
                <w:sz w:val="24"/>
                <w:lang w:bidi="ar"/>
              </w:rPr>
              <w:t>、临时设施的选址合理性分析</w:t>
            </w:r>
          </w:p>
          <w:p>
            <w:pPr>
              <w:widowControl/>
              <w:adjustRightInd w:val="0"/>
              <w:snapToGrid w:val="0"/>
              <w:spacing w:line="360" w:lineRule="auto"/>
              <w:ind w:firstLine="480" w:firstLineChars="200"/>
              <w:rPr>
                <w:rFonts w:hint="eastAsia"/>
                <w:color w:val="auto"/>
                <w:kern w:val="0"/>
                <w:sz w:val="24"/>
                <w:lang w:bidi="ar"/>
              </w:rPr>
            </w:pPr>
            <w:r>
              <w:rPr>
                <w:color w:val="auto"/>
                <w:kern w:val="0"/>
                <w:sz w:val="24"/>
                <w:lang w:bidi="ar"/>
              </w:rPr>
              <w:t>本工程在项目</w:t>
            </w:r>
            <w:r>
              <w:rPr>
                <w:rFonts w:hint="eastAsia"/>
                <w:color w:val="auto"/>
                <w:kern w:val="0"/>
                <w:sz w:val="24"/>
                <w:lang w:bidi="ar"/>
              </w:rPr>
              <w:t>桥梁北侧荒地</w:t>
            </w:r>
            <w:r>
              <w:rPr>
                <w:color w:val="auto"/>
                <w:kern w:val="0"/>
                <w:sz w:val="24"/>
                <w:lang w:bidi="ar"/>
              </w:rPr>
              <w:t>设1</w:t>
            </w:r>
            <w:r>
              <w:rPr>
                <w:rFonts w:hint="eastAsia"/>
                <w:color w:val="auto"/>
                <w:kern w:val="0"/>
                <w:sz w:val="24"/>
                <w:lang w:bidi="ar"/>
              </w:rPr>
              <w:t>处</w:t>
            </w:r>
            <w:r>
              <w:rPr>
                <w:rFonts w:hint="eastAsia"/>
                <w:color w:val="auto"/>
                <w:kern w:val="0"/>
                <w:sz w:val="24"/>
                <w:lang w:eastAsia="zh-CN" w:bidi="ar"/>
              </w:rPr>
              <w:t>临时料场</w:t>
            </w:r>
            <w:r>
              <w:rPr>
                <w:color w:val="auto"/>
                <w:kern w:val="0"/>
                <w:sz w:val="24"/>
                <w:lang w:bidi="ar"/>
              </w:rPr>
              <w:t>，占用土地类型为</w:t>
            </w:r>
            <w:r>
              <w:rPr>
                <w:rFonts w:hint="eastAsia"/>
                <w:color w:val="auto"/>
                <w:kern w:val="0"/>
                <w:sz w:val="24"/>
                <w:lang w:eastAsia="zh-CN" w:bidi="ar"/>
              </w:rPr>
              <w:t>空</w:t>
            </w:r>
            <w:r>
              <w:rPr>
                <w:color w:val="auto"/>
                <w:kern w:val="0"/>
                <w:sz w:val="24"/>
                <w:lang w:bidi="ar"/>
              </w:rPr>
              <w:t>地</w:t>
            </w:r>
            <w:r>
              <w:rPr>
                <w:rFonts w:hint="eastAsia"/>
                <w:color w:val="auto"/>
                <w:kern w:val="0"/>
                <w:sz w:val="24"/>
                <w:lang w:bidi="ar"/>
              </w:rPr>
              <w:t>，选址远离人群，距拟建桥梁较近，运输方便，土地利用现状为荒地。临时占地均在工程结束后恢复原有生态，因此要求临时施工场地应做好水保措施及按照本项目提出的环保措施，做好土堆的防起尘措施，施工结束后及时植被恢复。基于此，该临时施工场地对周边环境影响较小，选址环境基本合理。</w:t>
            </w:r>
          </w:p>
          <w:p>
            <w:pPr>
              <w:pStyle w:val="61"/>
              <w:rPr>
                <w:rFonts w:cs="Times New Roman"/>
                <w:color w:val="auto"/>
                <w:szCs w:val="21"/>
              </w:rPr>
            </w:pPr>
          </w:p>
          <w:p>
            <w:pPr>
              <w:pStyle w:val="61"/>
              <w:rPr>
                <w:rFonts w:cs="Times New Roman"/>
                <w:color w:val="auto"/>
                <w:szCs w:val="21"/>
              </w:rPr>
            </w:pPr>
          </w:p>
          <w:p>
            <w:pPr>
              <w:pStyle w:val="61"/>
              <w:rPr>
                <w:rFonts w:cs="Times New Roman"/>
                <w:color w:val="auto"/>
                <w:szCs w:val="21"/>
              </w:rPr>
            </w:pPr>
          </w:p>
          <w:p>
            <w:pPr>
              <w:pStyle w:val="61"/>
              <w:rPr>
                <w:rFonts w:cs="Times New Roman"/>
                <w:color w:val="auto"/>
                <w:szCs w:val="21"/>
              </w:rPr>
            </w:pPr>
          </w:p>
          <w:p>
            <w:pPr>
              <w:pStyle w:val="61"/>
              <w:rPr>
                <w:rFonts w:cs="Times New Roman"/>
                <w:color w:val="auto"/>
                <w:szCs w:val="21"/>
              </w:rPr>
            </w:pPr>
          </w:p>
          <w:p>
            <w:pPr>
              <w:pStyle w:val="61"/>
              <w:rPr>
                <w:rFonts w:cs="Times New Roman"/>
                <w:color w:val="auto"/>
                <w:szCs w:val="21"/>
              </w:rPr>
            </w:pPr>
          </w:p>
          <w:p>
            <w:pPr>
              <w:pStyle w:val="61"/>
              <w:rPr>
                <w:rFonts w:cs="Times New Roman"/>
                <w:color w:val="auto"/>
                <w:szCs w:val="21"/>
              </w:rPr>
            </w:pPr>
          </w:p>
          <w:p>
            <w:pPr>
              <w:pStyle w:val="61"/>
              <w:rPr>
                <w:rFonts w:cs="Times New Roman"/>
                <w:color w:val="auto"/>
                <w:szCs w:val="21"/>
              </w:rPr>
            </w:pPr>
          </w:p>
          <w:p>
            <w:pPr>
              <w:pStyle w:val="5"/>
              <w:rPr>
                <w:rFonts w:hint="eastAsia"/>
                <w:color w:val="auto"/>
                <w:lang w:val="zh-CN"/>
              </w:rPr>
            </w:pPr>
          </w:p>
        </w:tc>
      </w:tr>
    </w:tbl>
    <w:p>
      <w:pPr>
        <w:pStyle w:val="21"/>
        <w:jc w:val="center"/>
        <w:rPr>
          <w:rFonts w:ascii="Times New Roman" w:hAnsi="Times New Roman"/>
          <w:snapToGrid w:val="0"/>
          <w:color w:val="auto"/>
          <w:sz w:val="36"/>
          <w:szCs w:val="36"/>
        </w:rPr>
        <w:sectPr>
          <w:pgSz w:w="11906" w:h="16838"/>
          <w:pgMar w:top="1440" w:right="1800" w:bottom="1440" w:left="1800" w:header="851" w:footer="1077" w:gutter="0"/>
          <w:cols w:space="425" w:num="1"/>
          <w:docGrid w:linePitch="312" w:charSpace="0"/>
        </w:sectPr>
      </w:pPr>
    </w:p>
    <w:p>
      <w:pPr>
        <w:pStyle w:val="21"/>
        <w:jc w:val="center"/>
        <w:outlineLvl w:val="0"/>
        <w:rPr>
          <w:rFonts w:ascii="Times New Roman" w:hAnsi="Times New Roman"/>
          <w:snapToGrid w:val="0"/>
          <w:color w:val="auto"/>
          <w:sz w:val="30"/>
          <w:szCs w:val="30"/>
        </w:rPr>
      </w:pPr>
      <w:r>
        <w:rPr>
          <w:rFonts w:ascii="Times New Roman" w:hAnsi="Times New Roman"/>
          <w:snapToGrid w:val="0"/>
          <w:color w:val="auto"/>
          <w:sz w:val="30"/>
          <w:szCs w:val="30"/>
        </w:rPr>
        <w:t>五、主要生态环境保护措施</w:t>
      </w:r>
    </w:p>
    <w:tbl>
      <w:tblPr>
        <w:tblStyle w:val="26"/>
        <w:tblW w:w="844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773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96" w:hRule="atLeast"/>
          <w:jc w:val="center"/>
        </w:trPr>
        <w:tc>
          <w:tcPr>
            <w:tcW w:w="718" w:type="dxa"/>
            <w:tcMar>
              <w:left w:w="28" w:type="dxa"/>
              <w:right w:w="28" w:type="dxa"/>
            </w:tcMar>
            <w:vAlign w:val="center"/>
          </w:tcPr>
          <w:p>
            <w:pPr>
              <w:adjustRightInd w:val="0"/>
              <w:snapToGrid w:val="0"/>
              <w:jc w:val="center"/>
              <w:rPr>
                <w:bCs/>
                <w:color w:val="auto"/>
                <w:sz w:val="24"/>
              </w:rPr>
            </w:pPr>
            <w:r>
              <w:rPr>
                <w:bCs/>
                <w:color w:val="auto"/>
                <w:spacing w:val="10"/>
                <w:sz w:val="24"/>
              </w:rPr>
              <w:t>施工期生态环境保护措施</w:t>
            </w:r>
          </w:p>
        </w:tc>
        <w:tc>
          <w:tcPr>
            <w:tcW w:w="7731" w:type="dxa"/>
          </w:tcPr>
          <w:p>
            <w:pPr>
              <w:pStyle w:val="53"/>
              <w:spacing w:line="360" w:lineRule="auto"/>
              <w:ind w:right="-1" w:firstLine="0" w:firstLineChars="0"/>
              <w:contextualSpacing/>
              <w:outlineLvl w:val="2"/>
              <w:rPr>
                <w:b/>
                <w:color w:val="auto"/>
              </w:rPr>
            </w:pPr>
            <w:r>
              <w:rPr>
                <w:b/>
                <w:color w:val="auto"/>
              </w:rPr>
              <w:t>1、生态保护措施</w:t>
            </w:r>
          </w:p>
          <w:p>
            <w:pPr>
              <w:spacing w:line="360" w:lineRule="auto"/>
              <w:ind w:firstLine="480" w:firstLineChars="200"/>
              <w:rPr>
                <w:color w:val="auto"/>
                <w:sz w:val="24"/>
              </w:rPr>
            </w:pPr>
            <w:r>
              <w:rPr>
                <w:color w:val="auto"/>
                <w:sz w:val="24"/>
              </w:rPr>
              <w:t>为妥善保护好沿线的生态环境，建议施工期采取以下防治措施：</w:t>
            </w:r>
          </w:p>
          <w:p>
            <w:pPr>
              <w:spacing w:line="360" w:lineRule="auto"/>
              <w:ind w:firstLine="480" w:firstLineChars="200"/>
              <w:rPr>
                <w:color w:val="auto"/>
                <w:sz w:val="24"/>
              </w:rPr>
            </w:pPr>
            <w:r>
              <w:rPr>
                <w:rFonts w:hint="eastAsia"/>
                <w:color w:val="auto"/>
                <w:sz w:val="24"/>
                <w:lang w:eastAsia="zh-CN"/>
              </w:rPr>
              <w:t>（</w:t>
            </w:r>
            <w:r>
              <w:rPr>
                <w:rFonts w:hint="eastAsia"/>
                <w:color w:val="auto"/>
                <w:sz w:val="24"/>
                <w:lang w:val="en-US" w:eastAsia="zh-CN"/>
              </w:rPr>
              <w:t>1</w:t>
            </w:r>
            <w:r>
              <w:rPr>
                <w:rFonts w:hint="eastAsia"/>
                <w:color w:val="auto"/>
                <w:sz w:val="24"/>
                <w:lang w:eastAsia="zh-CN"/>
              </w:rPr>
              <w:t>）</w:t>
            </w:r>
            <w:r>
              <w:rPr>
                <w:color w:val="auto"/>
                <w:sz w:val="24"/>
              </w:rPr>
              <w:t>水土保持措施</w:t>
            </w:r>
          </w:p>
          <w:p>
            <w:pPr>
              <w:spacing w:line="360" w:lineRule="auto"/>
              <w:ind w:firstLine="480" w:firstLineChars="200"/>
              <w:rPr>
                <w:color w:val="auto"/>
                <w:sz w:val="24"/>
              </w:rPr>
            </w:pPr>
            <w:r>
              <w:rPr>
                <w:color w:val="auto"/>
                <w:sz w:val="24"/>
              </w:rPr>
              <w:t>根据项目区自然条件和水土流失特点，因地制宜，因害设防，布设防治措施。</w:t>
            </w:r>
          </w:p>
          <w:p>
            <w:pPr>
              <w:spacing w:line="360" w:lineRule="auto"/>
              <w:ind w:firstLine="480" w:firstLineChars="200"/>
              <w:rPr>
                <w:color w:val="auto"/>
                <w:sz w:val="24"/>
              </w:rPr>
            </w:pPr>
            <w:r>
              <w:rPr>
                <w:color w:val="auto"/>
                <w:sz w:val="24"/>
              </w:rPr>
              <w:t>施工前对开挖土方集中堆放于临时堆土场，用于对施工结束的路段进行生态恢复；施工过程中在填方路基边坡设临时排水沟，对路基边坡裸露面进行苫盖，对通过村镇的路段进行彩钢板拦挡，施工过程中对路面进行洒水降尘；主体工程在路基两侧布设了完善的边沟、排水沟；施工完毕后对扰动后未硬化区域进行土地整治，对路基边坡及可绿化区域进行覆土绿化，撒草绿化。</w:t>
            </w:r>
          </w:p>
          <w:p>
            <w:pPr>
              <w:spacing w:line="360" w:lineRule="auto"/>
              <w:ind w:firstLine="480" w:firstLineChars="200"/>
              <w:rPr>
                <w:color w:val="auto"/>
                <w:sz w:val="24"/>
              </w:rPr>
            </w:pPr>
            <w:r>
              <w:rPr>
                <w:rFonts w:hint="eastAsia"/>
                <w:color w:val="auto"/>
                <w:sz w:val="24"/>
                <w:lang w:eastAsia="zh-CN"/>
              </w:rPr>
              <w:t>（</w:t>
            </w:r>
            <w:r>
              <w:rPr>
                <w:rFonts w:hint="eastAsia"/>
                <w:color w:val="auto"/>
                <w:sz w:val="24"/>
                <w:lang w:val="en-US" w:eastAsia="zh-CN"/>
              </w:rPr>
              <w:t>2</w:t>
            </w:r>
            <w:r>
              <w:rPr>
                <w:rFonts w:hint="eastAsia"/>
                <w:color w:val="auto"/>
                <w:sz w:val="24"/>
                <w:lang w:eastAsia="zh-CN"/>
              </w:rPr>
              <w:t>）</w:t>
            </w:r>
            <w:r>
              <w:rPr>
                <w:color w:val="auto"/>
                <w:sz w:val="24"/>
              </w:rPr>
              <w:t>其他生态保护措施</w:t>
            </w:r>
          </w:p>
          <w:p>
            <w:pPr>
              <w:spacing w:line="360" w:lineRule="auto"/>
              <w:ind w:firstLine="480" w:firstLineChars="200"/>
              <w:rPr>
                <w:color w:val="auto"/>
                <w:sz w:val="24"/>
              </w:rPr>
            </w:pPr>
            <w:r>
              <w:rPr>
                <w:rFonts w:hint="eastAsia"/>
                <w:color w:val="auto"/>
                <w:sz w:val="24"/>
              </w:rPr>
              <w:t>①</w:t>
            </w:r>
            <w:r>
              <w:rPr>
                <w:color w:val="auto"/>
                <w:sz w:val="24"/>
              </w:rPr>
              <w:t>施工期严格控制施工车辆、机械及施工人员的活动范围，尽可能缩小施工作业带宽度，并大力宣传生态保护知识，以减小对周围生态环境的人为破坏；</w:t>
            </w:r>
          </w:p>
          <w:p>
            <w:pPr>
              <w:spacing w:line="360" w:lineRule="auto"/>
              <w:ind w:firstLine="480" w:firstLineChars="200"/>
              <w:rPr>
                <w:color w:val="auto"/>
                <w:sz w:val="24"/>
              </w:rPr>
            </w:pPr>
            <w:r>
              <w:rPr>
                <w:color w:val="auto"/>
                <w:sz w:val="24"/>
              </w:rPr>
              <w:t>②施工过程产生的建筑垃圾需定点妥善堆放，及时清理，严禁将施工弃渣等乱堆乱弃，建立合理有效地管理机制，避免发生额外的占地和水土流失现象；</w:t>
            </w:r>
          </w:p>
          <w:p>
            <w:pPr>
              <w:spacing w:line="360" w:lineRule="auto"/>
              <w:ind w:firstLine="480" w:firstLineChars="200"/>
              <w:rPr>
                <w:color w:val="auto"/>
                <w:sz w:val="24"/>
              </w:rPr>
            </w:pPr>
            <w:r>
              <w:rPr>
                <w:color w:val="auto"/>
                <w:sz w:val="24"/>
              </w:rPr>
              <w:t>③做好挖填土方的合理调配工作，弃土堆放点应采取生态防护措施，避免在降雨期间挖填土方，以防雨水冲刷造成水土流失；</w:t>
            </w:r>
          </w:p>
          <w:p>
            <w:pPr>
              <w:spacing w:line="360" w:lineRule="auto"/>
              <w:ind w:firstLine="480" w:firstLineChars="200"/>
              <w:rPr>
                <w:color w:val="auto"/>
                <w:sz w:val="24"/>
              </w:rPr>
            </w:pPr>
            <w:r>
              <w:rPr>
                <w:color w:val="auto"/>
                <w:sz w:val="24"/>
              </w:rPr>
              <w:t>④严格显示施工区域，合理安排施工时间及工序，尽量减少同一时期裸露土地的面积，工程结束后及时清理施工现场，撤出占用场地。</w:t>
            </w:r>
          </w:p>
          <w:p>
            <w:pPr>
              <w:pStyle w:val="53"/>
              <w:spacing w:line="360" w:lineRule="auto"/>
              <w:ind w:right="-1" w:firstLine="0" w:firstLineChars="0"/>
              <w:contextualSpacing/>
              <w:outlineLvl w:val="2"/>
              <w:rPr>
                <w:b/>
                <w:color w:val="FF0000"/>
              </w:rPr>
            </w:pPr>
            <w:r>
              <w:rPr>
                <w:b/>
                <w:color w:val="FF0000"/>
              </w:rPr>
              <w:t>2、大气污染防治措施</w:t>
            </w:r>
          </w:p>
          <w:p>
            <w:pPr>
              <w:spacing w:line="360" w:lineRule="auto"/>
              <w:ind w:firstLine="480" w:firstLineChars="200"/>
              <w:rPr>
                <w:rFonts w:hint="eastAsia" w:ascii="Times New Roman" w:hAnsi="Times New Roman" w:eastAsia="宋体" w:cs="宋体"/>
                <w:color w:val="FF0000"/>
                <w:sz w:val="24"/>
                <w:szCs w:val="24"/>
                <w:lang w:eastAsia="zh-CN"/>
              </w:rPr>
            </w:pPr>
            <w:r>
              <w:rPr>
                <w:rFonts w:hint="eastAsia" w:cs="宋体"/>
                <w:color w:val="FF0000"/>
                <w:sz w:val="24"/>
                <w:szCs w:val="24"/>
                <w:lang w:eastAsia="zh-CN"/>
              </w:rPr>
              <w:t>（</w:t>
            </w:r>
            <w:r>
              <w:rPr>
                <w:rFonts w:hint="eastAsia" w:cs="宋体"/>
                <w:color w:val="FF0000"/>
                <w:sz w:val="24"/>
                <w:szCs w:val="24"/>
                <w:lang w:val="en-US" w:eastAsia="zh-CN"/>
              </w:rPr>
              <w:t>1</w:t>
            </w:r>
            <w:r>
              <w:rPr>
                <w:rFonts w:hint="eastAsia" w:cs="宋体"/>
                <w:color w:val="FF0000"/>
                <w:sz w:val="24"/>
                <w:szCs w:val="24"/>
                <w:lang w:eastAsia="zh-CN"/>
              </w:rPr>
              <w:t>）扬尘污染防治措施</w:t>
            </w:r>
          </w:p>
          <w:p>
            <w:pPr>
              <w:spacing w:line="360" w:lineRule="auto"/>
              <w:ind w:firstLine="480" w:firstLineChars="200"/>
              <w:rPr>
                <w:rFonts w:ascii="Times New Roman" w:hAnsi="Times New Roman" w:eastAsia="宋体" w:cs="宋体"/>
                <w:color w:val="FF0000"/>
                <w:sz w:val="24"/>
                <w:szCs w:val="24"/>
              </w:rPr>
            </w:pPr>
            <w:r>
              <w:rPr>
                <w:rFonts w:ascii="Times New Roman" w:hAnsi="Times New Roman" w:eastAsia="宋体" w:cs="宋体"/>
                <w:color w:val="FF0000"/>
                <w:sz w:val="24"/>
                <w:szCs w:val="24"/>
              </w:rPr>
              <w:t>1</w:t>
            </w:r>
            <w:r>
              <w:rPr>
                <w:rFonts w:hint="eastAsia" w:ascii="Times New Roman" w:hAnsi="Times New Roman" w:eastAsia="宋体" w:cs="宋体"/>
                <w:color w:val="FF0000"/>
                <w:sz w:val="24"/>
                <w:szCs w:val="24"/>
              </w:rPr>
              <w:t>）强化施工期环境管理，提高施工人员环保意识宣传和教育，制定合理的施工计划，缩短工期，采取集中力量逐项施工方法，坚决杜绝粗放式施工现象发生。</w:t>
            </w:r>
          </w:p>
          <w:p>
            <w:pPr>
              <w:spacing w:line="360" w:lineRule="auto"/>
              <w:ind w:firstLine="480" w:firstLineChars="200"/>
              <w:rPr>
                <w:rFonts w:ascii="Times New Roman" w:hAnsi="Times New Roman" w:eastAsia="宋体" w:cs="宋体"/>
                <w:color w:val="FF0000"/>
                <w:sz w:val="24"/>
                <w:szCs w:val="24"/>
              </w:rPr>
            </w:pPr>
            <w:r>
              <w:rPr>
                <w:rFonts w:ascii="Times New Roman" w:hAnsi="Times New Roman" w:eastAsia="宋体" w:cs="宋体"/>
                <w:color w:val="FF0000"/>
                <w:sz w:val="24"/>
                <w:szCs w:val="24"/>
              </w:rPr>
              <w:t>2</w:t>
            </w:r>
            <w:r>
              <w:rPr>
                <w:rFonts w:hint="eastAsia" w:ascii="Times New Roman" w:hAnsi="Times New Roman" w:eastAsia="宋体" w:cs="宋体"/>
                <w:color w:val="FF0000"/>
                <w:sz w:val="24"/>
                <w:szCs w:val="24"/>
              </w:rPr>
              <w:t>）建设单位应定时洒水、对裸露土方进行覆盖等防尘措施，定期对围挡落尘进行清洗，保证施工工地周围环境整洁。</w:t>
            </w:r>
          </w:p>
          <w:p>
            <w:pPr>
              <w:spacing w:line="360" w:lineRule="auto"/>
              <w:ind w:firstLine="480" w:firstLineChars="200"/>
              <w:rPr>
                <w:rFonts w:ascii="Times New Roman" w:hAnsi="Times New Roman" w:eastAsia="宋体" w:cs="宋体"/>
                <w:color w:val="FF0000"/>
                <w:sz w:val="24"/>
                <w:szCs w:val="21"/>
              </w:rPr>
            </w:pPr>
            <w:r>
              <w:rPr>
                <w:rFonts w:ascii="Times New Roman" w:hAnsi="Times New Roman" w:eastAsia="宋体" w:cs="宋体"/>
                <w:color w:val="FF0000"/>
                <w:sz w:val="24"/>
                <w:szCs w:val="24"/>
              </w:rPr>
              <w:t>3</w:t>
            </w:r>
            <w:r>
              <w:rPr>
                <w:rFonts w:hint="eastAsia" w:ascii="Times New Roman" w:hAnsi="Times New Roman" w:eastAsia="宋体" w:cs="宋体"/>
                <w:color w:val="FF0000"/>
                <w:sz w:val="24"/>
                <w:szCs w:val="24"/>
              </w:rPr>
              <w:t>）</w:t>
            </w:r>
            <w:r>
              <w:rPr>
                <w:rFonts w:hint="eastAsia" w:ascii="Times New Roman" w:hAnsi="Times New Roman" w:eastAsia="宋体" w:cs="宋体"/>
                <w:color w:val="FF0000"/>
                <w:sz w:val="24"/>
                <w:szCs w:val="21"/>
                <w:highlight w:val="none"/>
                <w:lang w:eastAsia="zh-CN"/>
              </w:rPr>
              <w:t>基础开挖</w:t>
            </w:r>
            <w:r>
              <w:rPr>
                <w:rFonts w:hint="eastAsia" w:ascii="Times New Roman" w:hAnsi="Times New Roman" w:eastAsia="宋体" w:cs="宋体"/>
                <w:color w:val="FF0000"/>
                <w:sz w:val="24"/>
                <w:szCs w:val="21"/>
                <w:highlight w:val="none"/>
              </w:rPr>
              <w:t>时，应辅以洒水降尘，尽量缩短起尘操作时间。对于土方开挖、回填，临时堆土产生的扬尘，有条件的尽量在施工周围连续设置硬质围挡，主要施工段围挡高度不低于2.5m，一般施工段的围挡不低于1.8m，将施工区与外环境隔离，减少施工扬尘对外环境的不利影响。遇到四级或以上大风天气应停止</w:t>
            </w:r>
            <w:r>
              <w:rPr>
                <w:rFonts w:hint="eastAsia" w:ascii="Times New Roman" w:hAnsi="Times New Roman" w:eastAsia="宋体" w:cs="宋体"/>
                <w:color w:val="FF0000"/>
                <w:sz w:val="24"/>
                <w:szCs w:val="21"/>
              </w:rPr>
              <w:t>土方作业，作业时应覆以防尘网，减轻施工扬尘对外环境造成影响。</w:t>
            </w:r>
          </w:p>
          <w:p>
            <w:pPr>
              <w:spacing w:line="360" w:lineRule="auto"/>
              <w:ind w:firstLine="480" w:firstLineChars="200"/>
              <w:rPr>
                <w:rFonts w:ascii="Times New Roman" w:hAnsi="Times New Roman" w:eastAsia="宋体" w:cs="宋体"/>
                <w:color w:val="FF0000"/>
                <w:sz w:val="24"/>
                <w:szCs w:val="24"/>
              </w:rPr>
            </w:pPr>
            <w:r>
              <w:rPr>
                <w:rFonts w:ascii="Times New Roman" w:hAnsi="Times New Roman" w:eastAsia="宋体" w:cs="宋体"/>
                <w:color w:val="FF0000"/>
                <w:sz w:val="24"/>
                <w:szCs w:val="24"/>
              </w:rPr>
              <w:t>4</w:t>
            </w:r>
            <w:r>
              <w:rPr>
                <w:rFonts w:hint="eastAsia" w:ascii="Times New Roman" w:hAnsi="Times New Roman" w:eastAsia="宋体" w:cs="宋体"/>
                <w:color w:val="FF0000"/>
                <w:sz w:val="24"/>
                <w:szCs w:val="24"/>
              </w:rPr>
              <w:t>）施工期还要注意减少土方、物料运输过程产生二次扬尘，在土方、物料运输时应加盖蓬布以防尘土扬撒。</w:t>
            </w:r>
          </w:p>
          <w:p>
            <w:pPr>
              <w:spacing w:line="360" w:lineRule="auto"/>
              <w:ind w:firstLine="480" w:firstLineChars="200"/>
              <w:rPr>
                <w:rFonts w:ascii="Times New Roman" w:hAnsi="Times New Roman" w:eastAsia="宋体" w:cs="宋体"/>
                <w:color w:val="FF0000"/>
                <w:sz w:val="24"/>
                <w:szCs w:val="24"/>
              </w:rPr>
            </w:pPr>
            <w:r>
              <w:rPr>
                <w:rFonts w:ascii="Times New Roman" w:hAnsi="Times New Roman" w:eastAsia="宋体" w:cs="宋体"/>
                <w:color w:val="FF0000"/>
                <w:sz w:val="24"/>
                <w:szCs w:val="24"/>
              </w:rPr>
              <w:t>5</w:t>
            </w:r>
            <w:r>
              <w:rPr>
                <w:rFonts w:hint="eastAsia" w:ascii="Times New Roman" w:hAnsi="Times New Roman" w:eastAsia="宋体" w:cs="宋体"/>
                <w:color w:val="FF0000"/>
                <w:sz w:val="24"/>
                <w:szCs w:val="24"/>
              </w:rPr>
              <w:t>）对施工过程中产生的弃料、建筑垃圾等及时清运，若在工地内堆放超过一周的，须采取加盖防尘网并定期喷洒水等防尘措施。</w:t>
            </w:r>
          </w:p>
          <w:p>
            <w:pPr>
              <w:spacing w:line="360" w:lineRule="auto"/>
              <w:ind w:firstLine="480" w:firstLineChars="200"/>
              <w:rPr>
                <w:rFonts w:ascii="Times New Roman" w:hAnsi="Times New Roman" w:eastAsia="宋体" w:cs="宋体"/>
                <w:color w:val="FF0000"/>
                <w:sz w:val="24"/>
                <w:szCs w:val="24"/>
              </w:rPr>
            </w:pPr>
            <w:r>
              <w:rPr>
                <w:rFonts w:ascii="Times New Roman" w:hAnsi="Times New Roman" w:eastAsia="宋体" w:cs="宋体"/>
                <w:color w:val="FF0000"/>
                <w:sz w:val="24"/>
                <w:szCs w:val="24"/>
              </w:rPr>
              <w:t>6</w:t>
            </w:r>
            <w:r>
              <w:rPr>
                <w:rFonts w:hint="eastAsia" w:ascii="Times New Roman" w:hAnsi="Times New Roman" w:eastAsia="宋体" w:cs="宋体"/>
                <w:color w:val="FF0000"/>
                <w:sz w:val="24"/>
                <w:szCs w:val="24"/>
              </w:rPr>
              <w:t>）场地车辆出入口道路应硬化及时清扫。</w:t>
            </w:r>
          </w:p>
          <w:p>
            <w:pPr>
              <w:spacing w:line="360" w:lineRule="auto"/>
              <w:ind w:firstLine="480" w:firstLineChars="200"/>
              <w:rPr>
                <w:rFonts w:ascii="Times New Roman" w:hAnsi="Times New Roman" w:eastAsia="宋体" w:cs="宋体"/>
                <w:color w:val="FF0000"/>
                <w:sz w:val="24"/>
                <w:szCs w:val="24"/>
              </w:rPr>
            </w:pPr>
            <w:r>
              <w:rPr>
                <w:rFonts w:ascii="Times New Roman" w:hAnsi="Times New Roman" w:eastAsia="宋体" w:cs="宋体"/>
                <w:color w:val="FF0000"/>
                <w:sz w:val="24"/>
                <w:szCs w:val="24"/>
              </w:rPr>
              <w:t>7</w:t>
            </w:r>
            <w:r>
              <w:rPr>
                <w:rFonts w:hint="eastAsia" w:ascii="Times New Roman" w:hAnsi="Times New Roman" w:eastAsia="宋体" w:cs="宋体"/>
                <w:color w:val="FF0000"/>
                <w:sz w:val="24"/>
                <w:szCs w:val="24"/>
              </w:rPr>
              <w:t>）施工场地的扬尘大部分来自施工车辆，在同样清洁程度的条件下，车速越慢，扬尘量越小。施工车辆在进入施工场地后，需减速行驶，以减少施工场地扬尘，建议行驶车速不大于</w:t>
            </w:r>
            <w:r>
              <w:rPr>
                <w:rFonts w:ascii="Times New Roman" w:hAnsi="Times New Roman" w:eastAsia="宋体" w:cs="宋体"/>
                <w:color w:val="FF0000"/>
                <w:sz w:val="24"/>
                <w:szCs w:val="24"/>
              </w:rPr>
              <w:t>5km/h</w:t>
            </w:r>
            <w:r>
              <w:rPr>
                <w:rFonts w:hint="eastAsia" w:ascii="Times New Roman" w:hAnsi="Times New Roman" w:eastAsia="宋体" w:cs="宋体"/>
                <w:color w:val="FF0000"/>
                <w:sz w:val="24"/>
                <w:szCs w:val="24"/>
              </w:rPr>
              <w:t>，扬尘量可减少为一般行驶速度</w:t>
            </w:r>
            <w:r>
              <w:rPr>
                <w:rFonts w:ascii="Times New Roman" w:hAnsi="Times New Roman" w:eastAsia="宋体" w:cs="宋体"/>
                <w:color w:val="FF0000"/>
                <w:sz w:val="24"/>
                <w:szCs w:val="24"/>
              </w:rPr>
              <w:t>15</w:t>
            </w:r>
            <w:r>
              <w:rPr>
                <w:rFonts w:hint="eastAsia" w:ascii="Times New Roman" w:hAnsi="Times New Roman" w:eastAsia="宋体" w:cs="宋体"/>
                <w:color w:val="FF0000"/>
                <w:sz w:val="24"/>
                <w:szCs w:val="24"/>
              </w:rPr>
              <w:t>～</w:t>
            </w:r>
            <w:r>
              <w:rPr>
                <w:rFonts w:ascii="Times New Roman" w:hAnsi="Times New Roman" w:eastAsia="宋体" w:cs="宋体"/>
                <w:color w:val="FF0000"/>
                <w:sz w:val="24"/>
                <w:szCs w:val="24"/>
              </w:rPr>
              <w:t>20km/h</w:t>
            </w:r>
            <w:r>
              <w:rPr>
                <w:rFonts w:hint="eastAsia" w:ascii="Times New Roman" w:hAnsi="Times New Roman" w:eastAsia="宋体" w:cs="宋体"/>
                <w:color w:val="FF0000"/>
                <w:sz w:val="24"/>
                <w:szCs w:val="24"/>
              </w:rPr>
              <w:t>时的三分之一。</w:t>
            </w:r>
          </w:p>
          <w:p>
            <w:pPr>
              <w:spacing w:line="360" w:lineRule="auto"/>
              <w:ind w:firstLine="480" w:firstLineChars="200"/>
              <w:rPr>
                <w:rFonts w:ascii="Times New Roman" w:hAnsi="Times New Roman" w:eastAsia="宋体" w:cs="宋体"/>
                <w:color w:val="FF0000"/>
                <w:sz w:val="24"/>
                <w:szCs w:val="24"/>
              </w:rPr>
            </w:pPr>
            <w:r>
              <w:rPr>
                <w:rFonts w:ascii="Times New Roman" w:hAnsi="Times New Roman" w:eastAsia="宋体" w:cs="宋体"/>
                <w:color w:val="FF0000"/>
                <w:sz w:val="24"/>
                <w:szCs w:val="24"/>
              </w:rPr>
              <w:t>8</w:t>
            </w:r>
            <w:r>
              <w:rPr>
                <w:rFonts w:hint="eastAsia" w:ascii="Times New Roman" w:hAnsi="Times New Roman" w:eastAsia="宋体" w:cs="宋体"/>
                <w:color w:val="FF0000"/>
                <w:sz w:val="24"/>
                <w:szCs w:val="24"/>
              </w:rPr>
              <w:t>）为了减少施工扬尘，须保持施工场地、进出道路以及施工车辆的清洁，禁止超载、防止洒落等有效措施来保持场地路面的清洁，减少施工扬尘。</w:t>
            </w:r>
          </w:p>
          <w:p>
            <w:pPr>
              <w:spacing w:line="360" w:lineRule="auto"/>
              <w:ind w:firstLine="480" w:firstLineChars="200"/>
              <w:rPr>
                <w:rFonts w:ascii="Times New Roman" w:hAnsi="Times New Roman" w:eastAsia="宋体" w:cs="宋体"/>
                <w:color w:val="FF0000"/>
                <w:sz w:val="24"/>
                <w:szCs w:val="24"/>
              </w:rPr>
            </w:pPr>
            <w:r>
              <w:rPr>
                <w:rFonts w:ascii="Times New Roman" w:hAnsi="Times New Roman" w:eastAsia="宋体" w:cs="宋体"/>
                <w:color w:val="FF0000"/>
                <w:sz w:val="24"/>
                <w:szCs w:val="24"/>
              </w:rPr>
              <w:t>9</w:t>
            </w:r>
            <w:r>
              <w:rPr>
                <w:rFonts w:hint="eastAsia" w:ascii="Times New Roman" w:hAnsi="Times New Roman" w:eastAsia="宋体" w:cs="宋体"/>
                <w:color w:val="FF0000"/>
                <w:sz w:val="24"/>
                <w:szCs w:val="24"/>
              </w:rPr>
              <w:t>）确保所有机械设备良性运作，减少尾气的排放量。</w:t>
            </w:r>
          </w:p>
          <w:p>
            <w:pPr>
              <w:spacing w:line="360" w:lineRule="auto"/>
              <w:ind w:firstLine="480" w:firstLineChars="200"/>
              <w:rPr>
                <w:rFonts w:ascii="Times New Roman" w:hAnsi="Times New Roman" w:eastAsia="宋体" w:cs="宋体"/>
                <w:color w:val="FF0000"/>
                <w:sz w:val="24"/>
                <w:szCs w:val="24"/>
              </w:rPr>
            </w:pPr>
            <w:r>
              <w:rPr>
                <w:rFonts w:ascii="Times New Roman" w:hAnsi="Times New Roman" w:eastAsia="宋体" w:cs="宋体"/>
                <w:color w:val="FF0000"/>
                <w:sz w:val="24"/>
                <w:szCs w:val="24"/>
              </w:rPr>
              <w:t>10</w:t>
            </w:r>
            <w:r>
              <w:rPr>
                <w:rFonts w:hint="eastAsia" w:ascii="Times New Roman" w:hAnsi="Times New Roman" w:eastAsia="宋体" w:cs="宋体"/>
                <w:color w:val="FF0000"/>
                <w:sz w:val="24"/>
                <w:szCs w:val="24"/>
              </w:rPr>
              <w:t>）场外运输</w:t>
            </w:r>
          </w:p>
          <w:p>
            <w:pPr>
              <w:spacing w:line="360" w:lineRule="auto"/>
              <w:ind w:firstLine="480" w:firstLineChars="200"/>
              <w:rPr>
                <w:rFonts w:ascii="Times New Roman" w:hAnsi="Times New Roman" w:eastAsia="宋体"/>
                <w:color w:val="FF0000"/>
                <w:sz w:val="24"/>
                <w:szCs w:val="24"/>
              </w:rPr>
            </w:pPr>
            <w:r>
              <w:rPr>
                <w:rFonts w:hint="eastAsia" w:ascii="Times New Roman" w:hAnsi="Times New Roman" w:eastAsia="宋体" w:cs="宋体"/>
                <w:color w:val="FF0000"/>
                <w:sz w:val="24"/>
                <w:szCs w:val="24"/>
              </w:rPr>
              <w:t>①运输方式：运沙、石、水泥等的车辆加盖篷布，防止沿途洒落。</w:t>
            </w:r>
          </w:p>
          <w:p>
            <w:pPr>
              <w:spacing w:line="360" w:lineRule="auto"/>
              <w:ind w:firstLine="480" w:firstLineChars="200"/>
              <w:rPr>
                <w:rFonts w:ascii="Times New Roman" w:hAnsi="Times New Roman" w:eastAsia="宋体"/>
                <w:color w:val="FF0000"/>
                <w:sz w:val="24"/>
                <w:szCs w:val="24"/>
              </w:rPr>
            </w:pPr>
            <w:r>
              <w:rPr>
                <w:rFonts w:hint="eastAsia" w:ascii="Times New Roman" w:hAnsi="Times New Roman" w:eastAsia="宋体" w:cs="宋体"/>
                <w:color w:val="FF0000"/>
                <w:sz w:val="24"/>
                <w:szCs w:val="24"/>
              </w:rPr>
              <w:t>②车辆限速：建议行驶车速不大于</w:t>
            </w:r>
            <w:r>
              <w:rPr>
                <w:rFonts w:ascii="Times New Roman" w:hAnsi="Times New Roman" w:eastAsia="宋体"/>
                <w:color w:val="FF0000"/>
                <w:sz w:val="24"/>
                <w:szCs w:val="24"/>
              </w:rPr>
              <w:t>50km/h</w:t>
            </w:r>
            <w:r>
              <w:rPr>
                <w:rFonts w:hint="eastAsia" w:ascii="Times New Roman" w:hAnsi="Times New Roman" w:eastAsia="宋体" w:cs="宋体"/>
                <w:color w:val="FF0000"/>
                <w:sz w:val="24"/>
                <w:szCs w:val="24"/>
              </w:rPr>
              <w:t>，据资料显示：此时的扬尘量可减少为一般行驶速度</w:t>
            </w:r>
            <w:r>
              <w:rPr>
                <w:rFonts w:ascii="Times New Roman" w:hAnsi="Times New Roman" w:eastAsia="宋体"/>
                <w:color w:val="FF0000"/>
                <w:sz w:val="24"/>
                <w:szCs w:val="24"/>
              </w:rPr>
              <w:t>(15km/h</w:t>
            </w:r>
            <w:r>
              <w:rPr>
                <w:rFonts w:hint="eastAsia" w:ascii="Times New Roman" w:hAnsi="Times New Roman" w:eastAsia="宋体" w:cs="宋体"/>
                <w:color w:val="FF0000"/>
                <w:sz w:val="24"/>
                <w:szCs w:val="24"/>
              </w:rPr>
              <w:t>计</w:t>
            </w:r>
            <w:r>
              <w:rPr>
                <w:rFonts w:ascii="Times New Roman" w:hAnsi="Times New Roman" w:eastAsia="宋体"/>
                <w:color w:val="FF0000"/>
                <w:sz w:val="24"/>
                <w:szCs w:val="24"/>
              </w:rPr>
              <w:t>)</w:t>
            </w:r>
            <w:r>
              <w:rPr>
                <w:rFonts w:hint="eastAsia" w:ascii="Times New Roman" w:hAnsi="Times New Roman" w:eastAsia="宋体" w:cs="宋体"/>
                <w:color w:val="FF0000"/>
                <w:sz w:val="24"/>
                <w:szCs w:val="24"/>
              </w:rPr>
              <w:t>情况下的</w:t>
            </w:r>
            <w:r>
              <w:rPr>
                <w:rFonts w:ascii="Times New Roman" w:hAnsi="Times New Roman" w:eastAsia="宋体"/>
                <w:color w:val="FF0000"/>
                <w:sz w:val="24"/>
                <w:szCs w:val="24"/>
              </w:rPr>
              <w:t>1/3</w:t>
            </w:r>
            <w:r>
              <w:rPr>
                <w:rFonts w:hint="eastAsia" w:ascii="Times New Roman" w:hAnsi="Times New Roman" w:eastAsia="宋体" w:cs="宋体"/>
                <w:color w:val="FF0000"/>
                <w:sz w:val="24"/>
                <w:szCs w:val="24"/>
              </w:rPr>
              <w:t>。</w:t>
            </w:r>
          </w:p>
          <w:p>
            <w:pPr>
              <w:spacing w:line="360" w:lineRule="auto"/>
              <w:ind w:firstLine="480" w:firstLineChars="200"/>
              <w:rPr>
                <w:rFonts w:hint="eastAsia" w:ascii="Times New Roman" w:hAnsi="Times New Roman" w:eastAsia="宋体" w:cs="宋体"/>
                <w:color w:val="FF0000"/>
                <w:sz w:val="24"/>
                <w:szCs w:val="24"/>
              </w:rPr>
            </w:pPr>
            <w:r>
              <w:rPr>
                <w:rFonts w:hint="eastAsia" w:ascii="Times New Roman" w:hAnsi="Times New Roman" w:eastAsia="宋体" w:cs="宋体"/>
                <w:color w:val="FF0000"/>
                <w:sz w:val="24"/>
                <w:szCs w:val="24"/>
              </w:rPr>
              <w:t>③运输时间：选择车流、人流较少的时间，运输时间：上午9：00～1：00，下午：3：30～6：00，晚上：7：30～10：30。</w:t>
            </w:r>
          </w:p>
          <w:p>
            <w:pPr>
              <w:pStyle w:val="4"/>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Times New Roman" w:hAnsi="Times New Roman" w:eastAsia="宋体" w:cs="宋体"/>
                <w:b w:val="0"/>
                <w:bCs w:val="0"/>
                <w:color w:val="FF0000"/>
                <w:kern w:val="2"/>
                <w:sz w:val="24"/>
                <w:szCs w:val="24"/>
                <w:lang w:val="en-US" w:eastAsia="zh-CN" w:bidi="ar-SA"/>
              </w:rPr>
            </w:pPr>
            <w:r>
              <w:rPr>
                <w:rFonts w:hint="eastAsia" w:ascii="Times New Roman" w:hAnsi="Times New Roman" w:eastAsia="宋体" w:cs="宋体"/>
                <w:b w:val="0"/>
                <w:bCs w:val="0"/>
                <w:color w:val="FF0000"/>
                <w:kern w:val="2"/>
                <w:sz w:val="24"/>
                <w:szCs w:val="24"/>
                <w:lang w:val="en-US" w:eastAsia="zh-CN" w:bidi="ar-SA"/>
              </w:rPr>
              <w:t>11）项目产生的弃渣及时清运，混凝土采用商品混凝土，严禁现场露天搅拌。</w:t>
            </w:r>
          </w:p>
          <w:p>
            <w:pPr>
              <w:spacing w:line="360" w:lineRule="auto"/>
              <w:ind w:firstLine="480" w:firstLineChars="200"/>
              <w:rPr>
                <w:rFonts w:hint="eastAsia" w:cs="宋体"/>
                <w:color w:val="FF0000"/>
                <w:sz w:val="24"/>
                <w:szCs w:val="24"/>
                <w:lang w:eastAsia="zh-CN"/>
              </w:rPr>
            </w:pPr>
            <w:r>
              <w:rPr>
                <w:rFonts w:hint="eastAsia" w:ascii="Times New Roman" w:hAnsi="Times New Roman" w:eastAsia="宋体" w:cs="宋体"/>
                <w:color w:val="FF0000"/>
                <w:sz w:val="24"/>
                <w:szCs w:val="24"/>
              </w:rPr>
              <w:t>在采取上述防尘措施后，可有效控制施工场地扬尘对周边环境的影响</w:t>
            </w:r>
            <w:r>
              <w:rPr>
                <w:rFonts w:hint="eastAsia" w:cs="宋体"/>
                <w:color w:val="FF0000"/>
                <w:sz w:val="24"/>
                <w:szCs w:val="24"/>
                <w:lang w:eastAsia="zh-CN"/>
              </w:rPr>
              <w:t>。</w:t>
            </w:r>
          </w:p>
          <w:p>
            <w:pPr>
              <w:spacing w:line="360" w:lineRule="auto"/>
              <w:ind w:firstLine="480" w:firstLineChars="200"/>
              <w:rPr>
                <w:color w:val="auto"/>
                <w:sz w:val="24"/>
              </w:rPr>
            </w:pPr>
            <w:r>
              <w:rPr>
                <w:rFonts w:hint="eastAsia"/>
                <w:color w:val="auto"/>
                <w:sz w:val="24"/>
                <w:lang w:eastAsia="zh-CN"/>
              </w:rPr>
              <w:t>（</w:t>
            </w:r>
            <w:r>
              <w:rPr>
                <w:rFonts w:hint="eastAsia"/>
                <w:color w:val="auto"/>
                <w:sz w:val="24"/>
                <w:lang w:val="en-US" w:eastAsia="zh-CN"/>
              </w:rPr>
              <w:t>2</w:t>
            </w:r>
            <w:r>
              <w:rPr>
                <w:rFonts w:hint="eastAsia"/>
                <w:color w:val="auto"/>
                <w:sz w:val="24"/>
                <w:lang w:eastAsia="zh-CN"/>
              </w:rPr>
              <w:t>）</w:t>
            </w:r>
            <w:r>
              <w:rPr>
                <w:color w:val="auto"/>
                <w:sz w:val="24"/>
              </w:rPr>
              <w:t>燃油废气防治措施</w:t>
            </w:r>
          </w:p>
          <w:p>
            <w:pPr>
              <w:spacing w:line="360" w:lineRule="auto"/>
              <w:ind w:firstLine="480" w:firstLineChars="200"/>
              <w:rPr>
                <w:color w:val="auto"/>
                <w:sz w:val="24"/>
              </w:rPr>
            </w:pPr>
            <w:r>
              <w:rPr>
                <w:color w:val="auto"/>
                <w:sz w:val="24"/>
              </w:rPr>
              <w:t>建议施工单位选用先进设备和轻质燃油或者选用以电能为能源的机械设备，以减少燃油废气对周围大气的影响。同时应加强设备和运输车辆的检修和维护，尽量减少施工过程因设备故障而产生的污染物对周围空气环境的影响。</w:t>
            </w:r>
          </w:p>
          <w:p>
            <w:pPr>
              <w:spacing w:line="360" w:lineRule="auto"/>
              <w:ind w:firstLine="480" w:firstLineChars="200"/>
              <w:rPr>
                <w:color w:val="auto"/>
                <w:sz w:val="24"/>
              </w:rPr>
            </w:pPr>
            <w:r>
              <w:rPr>
                <w:rFonts w:hint="eastAsia"/>
                <w:color w:val="auto"/>
                <w:sz w:val="24"/>
                <w:lang w:eastAsia="zh-CN"/>
              </w:rPr>
              <w:t>（</w:t>
            </w:r>
            <w:r>
              <w:rPr>
                <w:rFonts w:hint="eastAsia"/>
                <w:color w:val="auto"/>
                <w:sz w:val="24"/>
                <w:lang w:val="en-US" w:eastAsia="zh-CN"/>
              </w:rPr>
              <w:t>3</w:t>
            </w:r>
            <w:r>
              <w:rPr>
                <w:rFonts w:hint="eastAsia"/>
                <w:color w:val="auto"/>
                <w:sz w:val="24"/>
                <w:lang w:eastAsia="zh-CN"/>
              </w:rPr>
              <w:t>）</w:t>
            </w:r>
            <w:r>
              <w:rPr>
                <w:color w:val="auto"/>
                <w:sz w:val="24"/>
              </w:rPr>
              <w:t>沥青烟防治措施</w:t>
            </w:r>
          </w:p>
          <w:p>
            <w:pPr>
              <w:spacing w:line="360" w:lineRule="auto"/>
              <w:ind w:firstLine="480" w:firstLineChars="200"/>
              <w:rPr>
                <w:color w:val="auto"/>
                <w:sz w:val="24"/>
              </w:rPr>
            </w:pPr>
            <w:r>
              <w:rPr>
                <w:color w:val="auto"/>
                <w:sz w:val="24"/>
              </w:rPr>
              <w:t>路面铺设采取全封闭沥青摊铺车进行作业，全线不设置沥青搅拌站，购买商业沥青。要求沥青摊铺作业机械有良好的密封性和除尘装置，最高允许排放浓度和最高允许排放速率应达到《大气污染物综合排放标准》（GB16297-1996）的相应要求，生产设备不得有明显的无组织排放存在。同时要求对沥青摊铺、搅拌操作人员实行卫生防护，为其配备口罩、风镜等，加强劳动保护，使其身体伤害减至最小程度。</w:t>
            </w:r>
          </w:p>
          <w:p>
            <w:pPr>
              <w:spacing w:line="360" w:lineRule="auto"/>
              <w:ind w:firstLine="480" w:firstLineChars="200"/>
              <w:rPr>
                <w:color w:val="auto"/>
                <w:sz w:val="24"/>
              </w:rPr>
            </w:pPr>
            <w:r>
              <w:rPr>
                <w:color w:val="auto"/>
                <w:sz w:val="24"/>
              </w:rPr>
              <w:t>综上，项目针对施工大气影响采取有效的防治措施，使施工期废气污染物排放达到《大气污染物综合排放标准》（GB16297—1996）无组织排放限值要求，可以有效减轻施工过程中对周边环境产生的影响，治理措施可行、能够满足施工期大气环境预期治理要求。</w:t>
            </w:r>
          </w:p>
          <w:p>
            <w:pPr>
              <w:pStyle w:val="53"/>
              <w:spacing w:line="360" w:lineRule="auto"/>
              <w:ind w:right="-1" w:firstLine="0" w:firstLineChars="0"/>
              <w:contextualSpacing/>
              <w:outlineLvl w:val="2"/>
              <w:rPr>
                <w:b/>
                <w:color w:val="auto"/>
              </w:rPr>
            </w:pPr>
            <w:r>
              <w:rPr>
                <w:b/>
                <w:color w:val="auto"/>
              </w:rPr>
              <w:t>3、水污染防治措施</w:t>
            </w:r>
          </w:p>
          <w:p>
            <w:pPr>
              <w:spacing w:line="360" w:lineRule="auto"/>
              <w:ind w:firstLine="480" w:firstLineChars="200"/>
              <w:rPr>
                <w:rFonts w:hint="eastAsia"/>
                <w:color w:val="auto"/>
                <w:sz w:val="24"/>
              </w:rPr>
            </w:pPr>
            <w:r>
              <w:rPr>
                <w:rFonts w:hint="eastAsia"/>
                <w:color w:val="auto"/>
                <w:sz w:val="24"/>
                <w:lang w:eastAsia="zh-CN"/>
              </w:rPr>
              <w:t>（</w:t>
            </w:r>
            <w:r>
              <w:rPr>
                <w:rFonts w:hint="eastAsia"/>
                <w:color w:val="auto"/>
                <w:sz w:val="24"/>
                <w:lang w:val="en-US" w:eastAsia="zh-CN"/>
              </w:rPr>
              <w:t>1</w:t>
            </w:r>
            <w:r>
              <w:rPr>
                <w:rFonts w:hint="eastAsia"/>
                <w:color w:val="auto"/>
                <w:sz w:val="24"/>
                <w:lang w:eastAsia="zh-CN"/>
              </w:rPr>
              <w:t>）</w:t>
            </w:r>
            <w:r>
              <w:rPr>
                <w:rFonts w:hint="eastAsia"/>
                <w:color w:val="auto"/>
                <w:sz w:val="24"/>
              </w:rPr>
              <w:t>施工人员生活污水</w:t>
            </w:r>
          </w:p>
          <w:p>
            <w:pPr>
              <w:spacing w:line="360" w:lineRule="auto"/>
              <w:ind w:firstLine="480" w:firstLineChars="200"/>
              <w:rPr>
                <w:color w:val="auto"/>
                <w:sz w:val="24"/>
              </w:rPr>
            </w:pPr>
            <w:r>
              <w:rPr>
                <w:color w:val="auto"/>
                <w:sz w:val="24"/>
              </w:rPr>
              <w:t>施工期不设置施工营地，施工期将会产生施工人员生活污水（日排放量约2.0m</w:t>
            </w:r>
            <w:r>
              <w:rPr>
                <w:color w:val="auto"/>
                <w:sz w:val="24"/>
                <w:vertAlign w:val="superscript"/>
              </w:rPr>
              <w:t>3</w:t>
            </w:r>
            <w:r>
              <w:rPr>
                <w:color w:val="auto"/>
                <w:sz w:val="24"/>
              </w:rPr>
              <w:t>/d），主要是盥洗废水，生活废水可依托</w:t>
            </w:r>
            <w:r>
              <w:rPr>
                <w:rFonts w:hint="eastAsia"/>
                <w:color w:val="auto"/>
                <w:sz w:val="24"/>
                <w:lang w:eastAsia="zh-CN"/>
              </w:rPr>
              <w:t>宁县县城</w:t>
            </w:r>
            <w:r>
              <w:rPr>
                <w:color w:val="auto"/>
                <w:sz w:val="24"/>
              </w:rPr>
              <w:t>污水处理设施</w:t>
            </w:r>
            <w:r>
              <w:rPr>
                <w:rFonts w:hint="eastAsia"/>
                <w:color w:val="auto"/>
                <w:sz w:val="24"/>
              </w:rPr>
              <w:t>。</w:t>
            </w:r>
          </w:p>
          <w:p>
            <w:pPr>
              <w:spacing w:line="360" w:lineRule="auto"/>
              <w:ind w:firstLine="480" w:firstLineChars="200"/>
              <w:rPr>
                <w:color w:val="auto"/>
                <w:sz w:val="24"/>
              </w:rPr>
            </w:pPr>
            <w:r>
              <w:rPr>
                <w:rFonts w:hint="eastAsia"/>
                <w:color w:val="auto"/>
                <w:sz w:val="24"/>
                <w:lang w:eastAsia="zh-CN"/>
              </w:rPr>
              <w:t>（</w:t>
            </w:r>
            <w:r>
              <w:rPr>
                <w:rFonts w:hint="eastAsia"/>
                <w:color w:val="auto"/>
                <w:sz w:val="24"/>
                <w:lang w:val="en-US" w:eastAsia="zh-CN"/>
              </w:rPr>
              <w:t>2</w:t>
            </w:r>
            <w:r>
              <w:rPr>
                <w:rFonts w:hint="eastAsia"/>
                <w:color w:val="auto"/>
                <w:sz w:val="24"/>
                <w:lang w:eastAsia="zh-CN"/>
              </w:rPr>
              <w:t>）</w:t>
            </w:r>
            <w:r>
              <w:rPr>
                <w:rFonts w:hint="eastAsia"/>
                <w:color w:val="auto"/>
                <w:sz w:val="24"/>
              </w:rPr>
              <w:t>施工机械废水</w:t>
            </w:r>
          </w:p>
          <w:p>
            <w:pPr>
              <w:spacing w:line="360" w:lineRule="auto"/>
              <w:ind w:firstLine="480" w:firstLineChars="200"/>
              <w:rPr>
                <w:color w:val="auto"/>
                <w:sz w:val="24"/>
              </w:rPr>
            </w:pPr>
            <w:r>
              <w:rPr>
                <w:rFonts w:hint="eastAsia"/>
                <w:color w:val="auto"/>
                <w:sz w:val="24"/>
              </w:rPr>
              <w:t>①施工期间应在施工场地内设置泥浆沉淀池、基坑降水沉淀池。场地不设车辆维修，废水经沉淀池处理后，可以有效削减废水中的污染物浓度，回用于施工场地的绿化、洒水抑尘。</w:t>
            </w:r>
          </w:p>
          <w:p>
            <w:pPr>
              <w:spacing w:line="360" w:lineRule="auto"/>
              <w:ind w:firstLine="480" w:firstLineChars="200"/>
              <w:rPr>
                <w:color w:val="auto"/>
                <w:sz w:val="24"/>
              </w:rPr>
            </w:pPr>
            <w:r>
              <w:rPr>
                <w:rFonts w:hint="eastAsia"/>
                <w:color w:val="auto"/>
                <w:sz w:val="24"/>
              </w:rPr>
              <w:t>②严格施工管理，避免施工机械的跑冒滴漏。做好雨前的各项防护工作，对露天堆放的道渣等物料进行防雨遮盖，防止暴雨径流将泥砂带入附近河道中。</w:t>
            </w:r>
          </w:p>
          <w:p>
            <w:pPr>
              <w:spacing w:line="360" w:lineRule="auto"/>
              <w:ind w:firstLine="480" w:firstLineChars="200"/>
              <w:rPr>
                <w:color w:val="auto"/>
                <w:sz w:val="24"/>
              </w:rPr>
            </w:pPr>
            <w:r>
              <w:rPr>
                <w:rFonts w:hint="eastAsia"/>
                <w:color w:val="auto"/>
                <w:sz w:val="24"/>
              </w:rPr>
              <w:t>③</w:t>
            </w:r>
            <w:r>
              <w:rPr>
                <w:color w:val="auto"/>
                <w:sz w:val="24"/>
              </w:rPr>
              <w:t>施工期废水禁止排入附近河道，泥浆或其他浑浊废弃物，未经沉淀不得排放。</w:t>
            </w:r>
          </w:p>
          <w:p>
            <w:pPr>
              <w:spacing w:line="360" w:lineRule="auto"/>
              <w:ind w:firstLine="480" w:firstLineChars="200"/>
              <w:rPr>
                <w:color w:val="auto"/>
                <w:sz w:val="24"/>
              </w:rPr>
            </w:pPr>
            <w:r>
              <w:rPr>
                <w:rFonts w:hint="eastAsia"/>
                <w:color w:val="auto"/>
                <w:sz w:val="24"/>
                <w:lang w:eastAsia="zh-CN"/>
              </w:rPr>
              <w:t>（</w:t>
            </w:r>
            <w:r>
              <w:rPr>
                <w:rFonts w:hint="eastAsia"/>
                <w:color w:val="auto"/>
                <w:sz w:val="24"/>
                <w:lang w:val="en-US" w:eastAsia="zh-CN"/>
              </w:rPr>
              <w:t>3</w:t>
            </w:r>
            <w:r>
              <w:rPr>
                <w:rFonts w:hint="eastAsia"/>
                <w:color w:val="auto"/>
                <w:sz w:val="24"/>
                <w:lang w:eastAsia="zh-CN"/>
              </w:rPr>
              <w:t>）</w:t>
            </w:r>
            <w:r>
              <w:rPr>
                <w:color w:val="auto"/>
                <w:sz w:val="24"/>
              </w:rPr>
              <w:t>桥梁桩基防治措施</w:t>
            </w:r>
          </w:p>
          <w:p>
            <w:pPr>
              <w:spacing w:line="360" w:lineRule="auto"/>
              <w:ind w:firstLine="480" w:firstLineChars="200"/>
              <w:rPr>
                <w:color w:val="auto"/>
                <w:sz w:val="24"/>
              </w:rPr>
            </w:pPr>
            <w:r>
              <w:rPr>
                <w:rFonts w:hint="eastAsia"/>
                <w:color w:val="auto"/>
                <w:sz w:val="24"/>
              </w:rPr>
              <w:t>①</w:t>
            </w:r>
            <w:r>
              <w:rPr>
                <w:color w:val="auto"/>
                <w:sz w:val="24"/>
              </w:rPr>
              <w:t>桥梁桩基施工工期尽量避开雨季，选择枯水季节施工，避免由于雨季施工造成泥浆对水质的影响。同时施工单位应优化施工方案，尽可能采取先进的施工工艺、科学管理，在确保施工质量前提下提高施工进度，尽量缩短作业时间，加强对施工设备的管理和维修保养，减少对水域污染的可能性。</w:t>
            </w:r>
          </w:p>
          <w:p>
            <w:pPr>
              <w:spacing w:line="360" w:lineRule="auto"/>
              <w:ind w:firstLine="480" w:firstLineChars="200"/>
              <w:rPr>
                <w:color w:val="auto"/>
                <w:sz w:val="24"/>
              </w:rPr>
            </w:pPr>
            <w:r>
              <w:rPr>
                <w:rFonts w:hint="eastAsia"/>
                <w:color w:val="auto"/>
                <w:sz w:val="24"/>
              </w:rPr>
              <w:t>②</w:t>
            </w:r>
            <w:r>
              <w:rPr>
                <w:color w:val="auto"/>
                <w:sz w:val="24"/>
              </w:rPr>
              <w:t>施工机械须严格检查，防止油料泄漏，在河流附近不得设置机械或车辆维修点和清洗点。</w:t>
            </w:r>
          </w:p>
          <w:p>
            <w:pPr>
              <w:spacing w:line="360" w:lineRule="auto"/>
              <w:ind w:firstLine="480" w:firstLineChars="200"/>
              <w:rPr>
                <w:color w:val="auto"/>
                <w:sz w:val="24"/>
              </w:rPr>
            </w:pPr>
            <w:r>
              <w:rPr>
                <w:rFonts w:hint="eastAsia"/>
                <w:color w:val="auto"/>
                <w:sz w:val="24"/>
              </w:rPr>
              <w:t>③</w:t>
            </w:r>
            <w:r>
              <w:rPr>
                <w:color w:val="auto"/>
                <w:sz w:val="24"/>
              </w:rPr>
              <w:t>桥梁施工过程中，严禁将施工废弃物、施工人员生活垃圾向施工水域排放；桥梁桩基钻孔产生的泥浆运至泥浆沉淀池，经沉淀后用于场地降尘、绿化。</w:t>
            </w:r>
          </w:p>
          <w:p>
            <w:pPr>
              <w:spacing w:line="360" w:lineRule="auto"/>
              <w:ind w:firstLine="480" w:firstLineChars="200"/>
              <w:rPr>
                <w:color w:val="auto"/>
                <w:sz w:val="24"/>
              </w:rPr>
            </w:pPr>
            <w:r>
              <w:rPr>
                <w:rFonts w:hint="eastAsia"/>
                <w:color w:val="auto"/>
                <w:sz w:val="24"/>
              </w:rPr>
              <w:t>④</w:t>
            </w:r>
            <w:r>
              <w:rPr>
                <w:color w:val="auto"/>
                <w:sz w:val="24"/>
              </w:rPr>
              <w:t>加强施工期环境监督工作，重点抓好跨河水体段的施工期环境管理；同时应将桩基泥浆水限制在基坑范围内，全部泵入泥浆沉淀池中沉淀回用，避免进入地表水体。桥梁结构施工构件下方安装防落物篷布，防止物料落水。</w:t>
            </w:r>
          </w:p>
          <w:p>
            <w:pPr>
              <w:spacing w:line="360" w:lineRule="auto"/>
              <w:ind w:firstLine="480" w:firstLineChars="200"/>
              <w:rPr>
                <w:color w:val="auto"/>
                <w:sz w:val="24"/>
              </w:rPr>
            </w:pPr>
            <w:r>
              <w:rPr>
                <w:rFonts w:hint="eastAsia"/>
                <w:color w:val="auto"/>
                <w:sz w:val="24"/>
              </w:rPr>
              <w:t>⑤</w:t>
            </w:r>
            <w:r>
              <w:rPr>
                <w:color w:val="auto"/>
                <w:sz w:val="24"/>
              </w:rPr>
              <w:t>做好施工人员的环保教育工作，提倡文明施工、保护河道水体水质。</w:t>
            </w:r>
          </w:p>
          <w:p>
            <w:pPr>
              <w:spacing w:line="360" w:lineRule="auto"/>
              <w:ind w:firstLine="480" w:firstLineChars="200"/>
              <w:rPr>
                <w:color w:val="auto"/>
                <w:sz w:val="24"/>
              </w:rPr>
            </w:pPr>
            <w:r>
              <w:rPr>
                <w:color w:val="auto"/>
                <w:sz w:val="24"/>
              </w:rPr>
              <w:t>采取上述措施后，施工期废水均得到有效处理，不会对河流水质造成显著不利影响。采取严格的施工管理和环保措施，严格划定施工范围，禁止乱设物料堆放场等临时工程，严格约束施工人员的个人卫生行为，从而消除施工期的污染隐患。</w:t>
            </w:r>
          </w:p>
          <w:p>
            <w:pPr>
              <w:pStyle w:val="11"/>
              <w:spacing w:line="360" w:lineRule="auto"/>
              <w:rPr>
                <w:b/>
                <w:color w:val="auto"/>
                <w:sz w:val="24"/>
              </w:rPr>
            </w:pPr>
            <w:r>
              <w:rPr>
                <w:b/>
                <w:bCs/>
                <w:color w:val="auto"/>
                <w:sz w:val="24"/>
                <w:szCs w:val="36"/>
              </w:rPr>
              <w:t>4</w:t>
            </w:r>
            <w:r>
              <w:rPr>
                <w:b/>
                <w:color w:val="auto"/>
                <w:sz w:val="24"/>
              </w:rPr>
              <w:t>、固废污染防治措施</w:t>
            </w:r>
          </w:p>
          <w:p>
            <w:pPr>
              <w:spacing w:line="360" w:lineRule="auto"/>
              <w:ind w:firstLine="480" w:firstLineChars="200"/>
              <w:rPr>
                <w:color w:val="auto"/>
                <w:sz w:val="24"/>
              </w:rPr>
            </w:pPr>
            <w:r>
              <w:rPr>
                <w:color w:val="auto"/>
                <w:sz w:val="24"/>
              </w:rPr>
              <w:t>根据《城市建筑垃圾管理规定》，建筑垃圾处置实行减量化、资源化、无害化和谁产生、谁承担处置责任的原则。国家鼓励建筑垃圾综合利用，鼓励建设单位、施工单位优先采用建筑垃圾综合利用产品。该项目产生的固废主要包括施工人员生活垃圾、不可回填的弃土方。为妥善处理施工过程产生的固体废物，针对项目固体废物产生特点，应采取如下措施，确保项目建设过程产生的固体废物得到妥善处置。</w:t>
            </w:r>
          </w:p>
          <w:p>
            <w:pPr>
              <w:spacing w:line="360" w:lineRule="auto"/>
              <w:ind w:firstLine="480" w:firstLineChars="200"/>
              <w:rPr>
                <w:color w:val="auto"/>
                <w:sz w:val="24"/>
              </w:rPr>
            </w:pPr>
            <w:r>
              <w:rPr>
                <w:rFonts w:hint="eastAsia"/>
                <w:color w:val="auto"/>
                <w:sz w:val="24"/>
              </w:rPr>
              <w:t>①</w:t>
            </w:r>
            <w:r>
              <w:rPr>
                <w:color w:val="auto"/>
                <w:sz w:val="24"/>
              </w:rPr>
              <w:t>精心设计与组织土方工程施工，争取产生最小弃方量，以避免长距离运土；对于废弃的土石方送到指定地点进行处理。</w:t>
            </w:r>
          </w:p>
          <w:p>
            <w:pPr>
              <w:spacing w:line="360" w:lineRule="auto"/>
              <w:ind w:firstLine="480" w:firstLineChars="200"/>
              <w:rPr>
                <w:color w:val="auto"/>
                <w:sz w:val="24"/>
              </w:rPr>
            </w:pPr>
            <w:r>
              <w:rPr>
                <w:rFonts w:hint="eastAsia"/>
                <w:color w:val="auto"/>
                <w:sz w:val="24"/>
              </w:rPr>
              <w:t>②</w:t>
            </w:r>
            <w:r>
              <w:rPr>
                <w:color w:val="auto"/>
                <w:sz w:val="24"/>
              </w:rPr>
              <w:t>垃圾进行分类处理，路面翻修时沥青渣收集后，交由厂家回收利用。</w:t>
            </w:r>
          </w:p>
          <w:p>
            <w:pPr>
              <w:spacing w:line="360" w:lineRule="auto"/>
              <w:ind w:firstLine="480" w:firstLineChars="200"/>
              <w:rPr>
                <w:color w:val="auto"/>
                <w:sz w:val="24"/>
              </w:rPr>
            </w:pPr>
            <w:r>
              <w:rPr>
                <w:rFonts w:hint="eastAsia"/>
                <w:color w:val="auto"/>
                <w:sz w:val="24"/>
              </w:rPr>
              <w:t>③</w:t>
            </w:r>
            <w:r>
              <w:rPr>
                <w:color w:val="auto"/>
                <w:sz w:val="24"/>
              </w:rPr>
              <w:t>施工人员生活垃圾禁止乱丢乱弃，应集中收集后运往生活垃圾填埋场填埋处置。</w:t>
            </w:r>
          </w:p>
          <w:p>
            <w:pPr>
              <w:spacing w:line="360" w:lineRule="auto"/>
              <w:ind w:firstLine="480" w:firstLineChars="200"/>
              <w:rPr>
                <w:color w:val="auto"/>
                <w:sz w:val="24"/>
              </w:rPr>
            </w:pPr>
            <w:r>
              <w:rPr>
                <w:rFonts w:hint="eastAsia"/>
                <w:color w:val="auto"/>
                <w:sz w:val="24"/>
              </w:rPr>
              <w:t>④</w:t>
            </w:r>
            <w:r>
              <w:rPr>
                <w:color w:val="auto"/>
                <w:sz w:val="24"/>
              </w:rPr>
              <w:t>在运输建筑垃圾时，应确定合理的运输路线、时间（一般选择在早晨人流量、车流量较小的时段，不得丢弃遗撒建筑垃圾。不得随意倾倒、抛撒或者堆放建筑垃圾。不得在街道两侧和公共场地堆放物料。</w:t>
            </w:r>
          </w:p>
          <w:p>
            <w:pPr>
              <w:spacing w:line="360" w:lineRule="auto"/>
              <w:ind w:firstLine="480" w:firstLineChars="200"/>
              <w:rPr>
                <w:color w:val="auto"/>
                <w:sz w:val="24"/>
              </w:rPr>
            </w:pPr>
            <w:r>
              <w:rPr>
                <w:rFonts w:hint="eastAsia"/>
                <w:color w:val="auto"/>
                <w:sz w:val="24"/>
              </w:rPr>
              <w:t>⑤</w:t>
            </w:r>
            <w:r>
              <w:rPr>
                <w:color w:val="auto"/>
                <w:sz w:val="24"/>
              </w:rPr>
              <w:t>本着经济、实用、环保的方针，制定环保节约型的施工方案，从源头控制废物产生量。加强施工管理，文明施工，提高原料利用率，节约原料，降低固体废物产生量。</w:t>
            </w:r>
          </w:p>
          <w:p>
            <w:pPr>
              <w:spacing w:line="360" w:lineRule="auto"/>
              <w:ind w:firstLine="480" w:firstLineChars="200"/>
              <w:rPr>
                <w:color w:val="auto"/>
                <w:sz w:val="24"/>
              </w:rPr>
            </w:pPr>
            <w:r>
              <w:rPr>
                <w:color w:val="auto"/>
                <w:sz w:val="24"/>
              </w:rPr>
              <w:t>通过对建筑垃圾分类回收利用，对运输车辆运输时密闭覆盖，降低了施工期的固体废物对周围的住宅小区等敏感点的环境影响，且随着施工期的结束而结束。</w:t>
            </w:r>
          </w:p>
          <w:p>
            <w:pPr>
              <w:pStyle w:val="53"/>
              <w:spacing w:line="360" w:lineRule="auto"/>
              <w:ind w:right="-1" w:firstLine="0" w:firstLineChars="0"/>
              <w:contextualSpacing/>
              <w:outlineLvl w:val="2"/>
              <w:rPr>
                <w:b/>
                <w:color w:val="auto"/>
              </w:rPr>
            </w:pPr>
            <w:r>
              <w:rPr>
                <w:b/>
                <w:color w:val="auto"/>
              </w:rPr>
              <w:t>5、噪声污染防治措施</w:t>
            </w:r>
          </w:p>
          <w:p>
            <w:pPr>
              <w:spacing w:line="360" w:lineRule="auto"/>
              <w:ind w:firstLine="480" w:firstLineChars="200"/>
              <w:outlineLvl w:val="2"/>
              <w:rPr>
                <w:color w:val="auto"/>
                <w:sz w:val="24"/>
              </w:rPr>
            </w:pPr>
            <w:r>
              <w:rPr>
                <w:color w:val="auto"/>
                <w:sz w:val="24"/>
              </w:rPr>
              <w:t>施工期噪声主要来自建设过程中建筑施工和工程设施施工产生的机械噪声、施工材料和施工垃圾运输产生的车辆噪声。为减小施工噪声对周边环境的影响，建议采取如下治理措施：</w:t>
            </w:r>
          </w:p>
          <w:p>
            <w:pPr>
              <w:spacing w:line="360" w:lineRule="auto"/>
              <w:ind w:firstLine="480" w:firstLineChars="200"/>
              <w:outlineLvl w:val="2"/>
              <w:rPr>
                <w:color w:val="auto"/>
                <w:sz w:val="24"/>
              </w:rPr>
            </w:pPr>
            <w:r>
              <w:rPr>
                <w:rFonts w:hint="eastAsia"/>
                <w:color w:val="auto"/>
                <w:sz w:val="24"/>
              </w:rPr>
              <w:t>①</w:t>
            </w:r>
            <w:r>
              <w:rPr>
                <w:color w:val="auto"/>
                <w:sz w:val="24"/>
              </w:rPr>
              <w:t>合理安排施工时间，禁止在中午（12:00-14:00）和夜间（22:00-6:00）施工，确需夜间施工作业的，必须提前3日向当地环境保护行政主管部门提出申请，经审核批准后，方可施工，施工单位公告当地居民。</w:t>
            </w:r>
          </w:p>
          <w:p>
            <w:pPr>
              <w:spacing w:line="360" w:lineRule="auto"/>
              <w:ind w:firstLine="480" w:firstLineChars="200"/>
              <w:outlineLvl w:val="2"/>
              <w:rPr>
                <w:color w:val="auto"/>
                <w:sz w:val="24"/>
              </w:rPr>
            </w:pPr>
            <w:r>
              <w:rPr>
                <w:rFonts w:hint="eastAsia"/>
                <w:color w:val="auto"/>
                <w:sz w:val="24"/>
              </w:rPr>
              <w:t>②</w:t>
            </w:r>
            <w:r>
              <w:rPr>
                <w:color w:val="auto"/>
                <w:sz w:val="24"/>
              </w:rPr>
              <w:t>合理安排施工机械设备组合，避免在同一时间集中使用大量的动力机械设备。施工单位严格执行《建筑施工场界环境噪声排放标准》（GB12523-2011）的要求，在施工过程中，尽量减少运行动力机械设备的数量，尽可能使动力机械设备均匀地使用。</w:t>
            </w:r>
          </w:p>
          <w:p>
            <w:pPr>
              <w:spacing w:line="360" w:lineRule="auto"/>
              <w:ind w:firstLine="480" w:firstLineChars="200"/>
              <w:outlineLvl w:val="2"/>
              <w:rPr>
                <w:color w:val="auto"/>
                <w:sz w:val="24"/>
              </w:rPr>
            </w:pPr>
            <w:r>
              <w:rPr>
                <w:rFonts w:hint="eastAsia"/>
                <w:color w:val="auto"/>
                <w:sz w:val="24"/>
              </w:rPr>
              <w:t>③</w:t>
            </w:r>
            <w:r>
              <w:rPr>
                <w:color w:val="auto"/>
                <w:sz w:val="24"/>
              </w:rPr>
              <w:t>施工时采用降噪作业方式：施工机械选型时尽量选用可替代的低噪声的设备，对动力机械设备进行定期的维修、养护，避免设备因松动部件的振动或消声器的损坏而增加其工作时的声压级；设备用完后或不用时应立即关闭。</w:t>
            </w:r>
          </w:p>
          <w:p>
            <w:pPr>
              <w:spacing w:line="360" w:lineRule="auto"/>
              <w:ind w:firstLine="480" w:firstLineChars="200"/>
              <w:outlineLvl w:val="2"/>
              <w:rPr>
                <w:color w:val="auto"/>
                <w:sz w:val="24"/>
              </w:rPr>
            </w:pPr>
            <w:r>
              <w:rPr>
                <w:rFonts w:hint="eastAsia"/>
                <w:color w:val="auto"/>
                <w:sz w:val="24"/>
              </w:rPr>
              <w:t>④</w:t>
            </w:r>
            <w:r>
              <w:rPr>
                <w:color w:val="auto"/>
                <w:sz w:val="24"/>
              </w:rPr>
              <w:t>最大限度地降低人为噪音：在施工中搬卸物品应轻放，施工工具不要乱扔、远扔。</w:t>
            </w:r>
          </w:p>
          <w:p>
            <w:pPr>
              <w:spacing w:line="360" w:lineRule="auto"/>
              <w:ind w:firstLine="480" w:firstLineChars="200"/>
              <w:outlineLvl w:val="2"/>
              <w:rPr>
                <w:color w:val="auto"/>
                <w:sz w:val="24"/>
              </w:rPr>
            </w:pPr>
            <w:r>
              <w:rPr>
                <w:rFonts w:hint="eastAsia"/>
                <w:color w:val="auto"/>
                <w:sz w:val="24"/>
              </w:rPr>
              <w:t>⑤</w:t>
            </w:r>
            <w:r>
              <w:rPr>
                <w:color w:val="auto"/>
                <w:sz w:val="24"/>
              </w:rPr>
              <w:t>减少施工交通噪声，施工期间运输车辆多为大型载重车，应尽量减少夜间运输量，限制大型载重车的车速，施工期内对运输车辆定期维修、养护、并减少鸣笛，合理安排运输路线。</w:t>
            </w:r>
          </w:p>
          <w:p>
            <w:pPr>
              <w:spacing w:line="360" w:lineRule="auto"/>
              <w:ind w:firstLine="480" w:firstLineChars="200"/>
              <w:outlineLvl w:val="2"/>
              <w:rPr>
                <w:color w:val="auto"/>
              </w:rPr>
            </w:pPr>
            <w:r>
              <w:rPr>
                <w:color w:val="auto"/>
                <w:sz w:val="24"/>
              </w:rPr>
              <w:t>通过合理布置施工场地和施工时间尽量使高噪声机械设备远离附近的环境敏感点，使用低噪音的设备从根本上控制噪声，加强控制传播与管理等措施，大大的降低了噪声对周围敏感点的影响。通过采取以上措施，降低了噪声排放的环境影响，污染治理措施可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718" w:type="dxa"/>
            <w:tcMar>
              <w:left w:w="28" w:type="dxa"/>
              <w:right w:w="28" w:type="dxa"/>
            </w:tcMar>
            <w:vAlign w:val="center"/>
          </w:tcPr>
          <w:p>
            <w:pPr>
              <w:adjustRightInd w:val="0"/>
              <w:snapToGrid w:val="0"/>
              <w:jc w:val="center"/>
              <w:rPr>
                <w:bCs/>
                <w:color w:val="auto"/>
                <w:spacing w:val="10"/>
                <w:sz w:val="24"/>
              </w:rPr>
            </w:pPr>
            <w:r>
              <w:rPr>
                <w:bCs/>
                <w:color w:val="auto"/>
                <w:spacing w:val="10"/>
                <w:sz w:val="24"/>
              </w:rPr>
              <w:t>运营期生态环境保护措施</w:t>
            </w:r>
          </w:p>
        </w:tc>
        <w:tc>
          <w:tcPr>
            <w:tcW w:w="7731" w:type="dxa"/>
          </w:tcPr>
          <w:p>
            <w:pPr>
              <w:adjustRightInd w:val="0"/>
              <w:snapToGrid w:val="0"/>
              <w:spacing w:line="360" w:lineRule="auto"/>
              <w:ind w:firstLine="482" w:firstLineChars="200"/>
              <w:jc w:val="left"/>
              <w:rPr>
                <w:b/>
                <w:color w:val="auto"/>
                <w:sz w:val="24"/>
              </w:rPr>
            </w:pPr>
            <w:r>
              <w:rPr>
                <w:b/>
                <w:color w:val="auto"/>
                <w:sz w:val="24"/>
              </w:rPr>
              <w:t>1</w:t>
            </w:r>
            <w:r>
              <w:rPr>
                <w:rFonts w:hint="eastAsia"/>
                <w:b/>
                <w:color w:val="auto"/>
                <w:sz w:val="24"/>
              </w:rPr>
              <w:t>、</w:t>
            </w:r>
            <w:r>
              <w:rPr>
                <w:rFonts w:ascii="宋体" w:hAnsi="宋体"/>
                <w:b/>
                <w:color w:val="auto"/>
                <w:sz w:val="24"/>
              </w:rPr>
              <w:t>生态保护措施</w:t>
            </w:r>
          </w:p>
          <w:p>
            <w:pPr>
              <w:spacing w:line="360" w:lineRule="auto"/>
              <w:ind w:firstLine="480" w:firstLineChars="200"/>
              <w:outlineLvl w:val="2"/>
              <w:rPr>
                <w:color w:val="auto"/>
                <w:sz w:val="24"/>
              </w:rPr>
            </w:pPr>
            <w:r>
              <w:rPr>
                <w:rFonts w:hint="eastAsia"/>
                <w:color w:val="auto"/>
                <w:sz w:val="24"/>
                <w:lang w:eastAsia="zh-CN"/>
              </w:rPr>
              <w:t>（</w:t>
            </w:r>
            <w:r>
              <w:rPr>
                <w:rFonts w:hint="eastAsia"/>
                <w:color w:val="auto"/>
                <w:sz w:val="24"/>
                <w:lang w:val="en-US" w:eastAsia="zh-CN"/>
              </w:rPr>
              <w:t>1</w:t>
            </w:r>
            <w:r>
              <w:rPr>
                <w:rFonts w:hint="eastAsia"/>
                <w:color w:val="auto"/>
                <w:sz w:val="24"/>
                <w:lang w:eastAsia="zh-CN"/>
              </w:rPr>
              <w:t>）</w:t>
            </w:r>
            <w:r>
              <w:rPr>
                <w:color w:val="auto"/>
                <w:sz w:val="24"/>
              </w:rPr>
              <w:t>加强管理，确保正常运行</w:t>
            </w:r>
          </w:p>
          <w:p>
            <w:pPr>
              <w:spacing w:line="360" w:lineRule="auto"/>
              <w:ind w:firstLine="480" w:firstLineChars="200"/>
              <w:outlineLvl w:val="2"/>
              <w:rPr>
                <w:color w:val="auto"/>
                <w:sz w:val="24"/>
              </w:rPr>
            </w:pPr>
            <w:r>
              <w:rPr>
                <w:color w:val="auto"/>
                <w:sz w:val="24"/>
              </w:rPr>
              <w:t>加强营运期管理，保证各项工程设施完好和确保安全生产是生态保护最基本的措施。建议开展相关环保培训和认证，以提高环境管理水平，杜绝环境事故。</w:t>
            </w:r>
          </w:p>
          <w:p>
            <w:pPr>
              <w:spacing w:line="360" w:lineRule="auto"/>
              <w:ind w:firstLine="480" w:firstLineChars="200"/>
              <w:outlineLvl w:val="2"/>
              <w:rPr>
                <w:color w:val="auto"/>
                <w:sz w:val="24"/>
              </w:rPr>
            </w:pPr>
            <w:r>
              <w:rPr>
                <w:rFonts w:hint="eastAsia"/>
                <w:color w:val="auto"/>
                <w:sz w:val="24"/>
                <w:lang w:eastAsia="zh-CN"/>
              </w:rPr>
              <w:t>（</w:t>
            </w:r>
            <w:r>
              <w:rPr>
                <w:rFonts w:hint="eastAsia"/>
                <w:color w:val="auto"/>
                <w:sz w:val="24"/>
                <w:lang w:val="en-US" w:eastAsia="zh-CN"/>
              </w:rPr>
              <w:t>2</w:t>
            </w:r>
            <w:r>
              <w:rPr>
                <w:rFonts w:hint="eastAsia"/>
                <w:color w:val="auto"/>
                <w:sz w:val="24"/>
                <w:lang w:eastAsia="zh-CN"/>
              </w:rPr>
              <w:t>）</w:t>
            </w:r>
            <w:r>
              <w:rPr>
                <w:color w:val="auto"/>
                <w:sz w:val="24"/>
              </w:rPr>
              <w:t>固体废物处置</w:t>
            </w:r>
          </w:p>
          <w:p>
            <w:pPr>
              <w:spacing w:line="360" w:lineRule="auto"/>
              <w:ind w:firstLine="480" w:firstLineChars="200"/>
              <w:outlineLvl w:val="2"/>
              <w:rPr>
                <w:color w:val="auto"/>
                <w:sz w:val="24"/>
              </w:rPr>
            </w:pPr>
            <w:r>
              <w:rPr>
                <w:color w:val="auto"/>
                <w:sz w:val="24"/>
              </w:rPr>
              <w:t>强化公路沿线的固体废弃物污染治理的监督工作，除向司乘人员加强宣传教育工作外，公路沿线的固体废弃物应按路段承包，每天进行清理。</w:t>
            </w:r>
          </w:p>
          <w:p>
            <w:pPr>
              <w:spacing w:line="360" w:lineRule="auto"/>
              <w:ind w:firstLine="480" w:firstLineChars="200"/>
              <w:outlineLvl w:val="2"/>
              <w:rPr>
                <w:color w:val="auto"/>
                <w:sz w:val="24"/>
              </w:rPr>
            </w:pPr>
            <w:r>
              <w:rPr>
                <w:rFonts w:hint="eastAsia"/>
                <w:color w:val="auto"/>
                <w:sz w:val="24"/>
                <w:lang w:eastAsia="zh-CN"/>
              </w:rPr>
              <w:t>（</w:t>
            </w:r>
            <w:r>
              <w:rPr>
                <w:rFonts w:hint="eastAsia"/>
                <w:color w:val="auto"/>
                <w:sz w:val="24"/>
                <w:lang w:val="en-US" w:eastAsia="zh-CN"/>
              </w:rPr>
              <w:t>3</w:t>
            </w:r>
            <w:r>
              <w:rPr>
                <w:rFonts w:hint="eastAsia"/>
                <w:color w:val="auto"/>
                <w:sz w:val="24"/>
                <w:lang w:eastAsia="zh-CN"/>
              </w:rPr>
              <w:t>）</w:t>
            </w:r>
            <w:r>
              <w:rPr>
                <w:color w:val="auto"/>
                <w:sz w:val="24"/>
              </w:rPr>
              <w:t>公路管理及养护部门应加强管理和宣传教育，确保公路绿化林带不受破坏。</w:t>
            </w:r>
          </w:p>
          <w:p>
            <w:pPr>
              <w:spacing w:line="360" w:lineRule="auto"/>
              <w:ind w:firstLine="480" w:firstLineChars="200"/>
              <w:outlineLvl w:val="2"/>
              <w:rPr>
                <w:color w:val="auto"/>
                <w:sz w:val="24"/>
              </w:rPr>
            </w:pPr>
            <w:r>
              <w:rPr>
                <w:rFonts w:hint="eastAsia"/>
                <w:color w:val="auto"/>
                <w:sz w:val="24"/>
                <w:lang w:eastAsia="zh-CN"/>
              </w:rPr>
              <w:t>（</w:t>
            </w:r>
            <w:r>
              <w:rPr>
                <w:rFonts w:hint="eastAsia"/>
                <w:color w:val="auto"/>
                <w:sz w:val="24"/>
                <w:lang w:val="en-US" w:eastAsia="zh-CN"/>
              </w:rPr>
              <w:t>4</w:t>
            </w:r>
            <w:r>
              <w:rPr>
                <w:rFonts w:hint="eastAsia"/>
                <w:color w:val="auto"/>
                <w:sz w:val="24"/>
                <w:lang w:eastAsia="zh-CN"/>
              </w:rPr>
              <w:t>）</w:t>
            </w:r>
            <w:r>
              <w:rPr>
                <w:color w:val="auto"/>
                <w:sz w:val="24"/>
              </w:rPr>
              <w:t>及时实施道路两侧的绿化工程，并加强对绿化植物的管理与养护，保证成活。</w:t>
            </w:r>
          </w:p>
          <w:p>
            <w:pPr>
              <w:spacing w:line="360" w:lineRule="auto"/>
              <w:ind w:firstLine="480" w:firstLineChars="200"/>
              <w:outlineLvl w:val="2"/>
              <w:rPr>
                <w:rFonts w:hint="eastAsia"/>
                <w:color w:val="auto"/>
                <w:sz w:val="24"/>
              </w:rPr>
            </w:pPr>
            <w:r>
              <w:rPr>
                <w:rFonts w:hint="eastAsia"/>
                <w:color w:val="auto"/>
                <w:sz w:val="24"/>
                <w:lang w:eastAsia="zh-CN"/>
              </w:rPr>
              <w:t>（</w:t>
            </w:r>
            <w:r>
              <w:rPr>
                <w:rFonts w:hint="eastAsia"/>
                <w:color w:val="auto"/>
                <w:sz w:val="24"/>
                <w:lang w:val="en-US" w:eastAsia="zh-CN"/>
              </w:rPr>
              <w:t>5</w:t>
            </w:r>
            <w:r>
              <w:rPr>
                <w:rFonts w:hint="eastAsia"/>
                <w:color w:val="auto"/>
                <w:sz w:val="24"/>
                <w:lang w:eastAsia="zh-CN"/>
              </w:rPr>
              <w:t>）</w:t>
            </w:r>
            <w:r>
              <w:rPr>
                <w:color w:val="auto"/>
                <w:sz w:val="24"/>
              </w:rPr>
              <w:t>按设计要求完善水土保持各项工程措施、植物措施和土地复垦措施，特别是对土质边坡，在施工后期及时进行绿化，以保护路基边坡稳定，减少水土流失</w:t>
            </w:r>
            <w:r>
              <w:rPr>
                <w:rFonts w:hint="eastAsia"/>
                <w:color w:val="auto"/>
                <w:sz w:val="24"/>
              </w:rPr>
              <w:t>。</w:t>
            </w:r>
          </w:p>
          <w:p>
            <w:pPr>
              <w:adjustRightInd w:val="0"/>
              <w:snapToGrid w:val="0"/>
              <w:spacing w:line="360" w:lineRule="auto"/>
              <w:ind w:firstLine="482" w:firstLineChars="200"/>
              <w:jc w:val="left"/>
              <w:rPr>
                <w:b/>
                <w:color w:val="auto"/>
                <w:sz w:val="24"/>
              </w:rPr>
            </w:pPr>
            <w:r>
              <w:rPr>
                <w:rFonts w:hint="eastAsia"/>
                <w:b/>
                <w:color w:val="auto"/>
                <w:sz w:val="24"/>
              </w:rPr>
              <w:t>2.</w:t>
            </w:r>
            <w:r>
              <w:rPr>
                <w:rFonts w:ascii="宋体" w:hAnsi="宋体"/>
                <w:b/>
                <w:color w:val="auto"/>
                <w:sz w:val="24"/>
              </w:rPr>
              <w:t>大气污染防治措施</w:t>
            </w:r>
          </w:p>
          <w:p>
            <w:pPr>
              <w:spacing w:line="360" w:lineRule="auto"/>
              <w:ind w:firstLine="480" w:firstLineChars="200"/>
              <w:outlineLvl w:val="2"/>
              <w:rPr>
                <w:rFonts w:hint="eastAsia"/>
                <w:color w:val="auto"/>
                <w:sz w:val="24"/>
                <w:lang w:eastAsia="zh-CN"/>
              </w:rPr>
            </w:pPr>
            <w:r>
              <w:rPr>
                <w:rFonts w:hint="eastAsia"/>
                <w:color w:val="auto"/>
                <w:sz w:val="24"/>
                <w:lang w:eastAsia="zh-CN"/>
              </w:rPr>
              <w:t>（</w:t>
            </w:r>
            <w:r>
              <w:rPr>
                <w:rFonts w:hint="eastAsia"/>
                <w:color w:val="auto"/>
                <w:sz w:val="24"/>
                <w:lang w:val="en-US" w:eastAsia="zh-CN"/>
              </w:rPr>
              <w:t>1</w:t>
            </w:r>
            <w:r>
              <w:rPr>
                <w:rFonts w:hint="eastAsia"/>
                <w:color w:val="auto"/>
                <w:sz w:val="24"/>
                <w:lang w:eastAsia="zh-CN"/>
              </w:rPr>
              <w:t>）加强道路运营期的管理，限制车况差、超载车辆上路，减少车辆慢速行驶现象等措施减少运营期汽车尾气的影响；</w:t>
            </w:r>
          </w:p>
          <w:p>
            <w:pPr>
              <w:spacing w:line="360" w:lineRule="auto"/>
              <w:ind w:firstLine="480" w:firstLineChars="200"/>
              <w:outlineLvl w:val="2"/>
              <w:rPr>
                <w:rFonts w:hint="eastAsia"/>
                <w:color w:val="auto"/>
                <w:sz w:val="24"/>
                <w:lang w:eastAsia="zh-CN"/>
              </w:rPr>
            </w:pPr>
            <w:r>
              <w:rPr>
                <w:rFonts w:hint="eastAsia"/>
                <w:color w:val="auto"/>
                <w:sz w:val="24"/>
                <w:lang w:eastAsia="zh-CN"/>
              </w:rPr>
              <w:t>（</w:t>
            </w:r>
            <w:r>
              <w:rPr>
                <w:rFonts w:hint="eastAsia"/>
                <w:color w:val="auto"/>
                <w:sz w:val="24"/>
                <w:lang w:val="en-US" w:eastAsia="zh-CN"/>
              </w:rPr>
              <w:t>2</w:t>
            </w:r>
            <w:r>
              <w:rPr>
                <w:rFonts w:hint="eastAsia"/>
                <w:color w:val="auto"/>
                <w:sz w:val="24"/>
                <w:lang w:eastAsia="zh-CN"/>
              </w:rPr>
              <w:t>）加强道路管理及路面养护，避免交通阻滞，使车辆保持匀速行驶，以减少尾气污染；</w:t>
            </w:r>
          </w:p>
          <w:p>
            <w:pPr>
              <w:spacing w:line="360" w:lineRule="auto"/>
              <w:ind w:firstLine="480" w:firstLineChars="200"/>
              <w:outlineLvl w:val="2"/>
              <w:rPr>
                <w:rFonts w:hint="eastAsia"/>
                <w:color w:val="auto"/>
                <w:sz w:val="24"/>
                <w:lang w:eastAsia="zh-CN"/>
              </w:rPr>
            </w:pPr>
            <w:r>
              <w:rPr>
                <w:rFonts w:hint="eastAsia"/>
                <w:color w:val="auto"/>
                <w:sz w:val="24"/>
                <w:lang w:eastAsia="zh-CN"/>
              </w:rPr>
              <w:t>（</w:t>
            </w:r>
            <w:r>
              <w:rPr>
                <w:rFonts w:hint="eastAsia"/>
                <w:color w:val="auto"/>
                <w:sz w:val="24"/>
                <w:lang w:val="en-US" w:eastAsia="zh-CN"/>
              </w:rPr>
              <w:t>3</w:t>
            </w:r>
            <w:r>
              <w:rPr>
                <w:rFonts w:hint="eastAsia"/>
                <w:color w:val="auto"/>
                <w:sz w:val="24"/>
                <w:lang w:eastAsia="zh-CN"/>
              </w:rPr>
              <w:t>）加强机动车辆的运输管理，执行汽车尾气排放车检制度，减少车辆尾气污染，禁止尾气污染物超标排放机动车通行；</w:t>
            </w:r>
          </w:p>
          <w:p>
            <w:pPr>
              <w:spacing w:line="360" w:lineRule="auto"/>
              <w:ind w:firstLine="480" w:firstLineChars="200"/>
              <w:outlineLvl w:val="2"/>
              <w:rPr>
                <w:rFonts w:hint="eastAsia"/>
                <w:color w:val="auto"/>
                <w:sz w:val="24"/>
                <w:lang w:eastAsia="zh-CN"/>
              </w:rPr>
            </w:pPr>
            <w:r>
              <w:rPr>
                <w:rFonts w:hint="eastAsia"/>
                <w:color w:val="auto"/>
                <w:sz w:val="24"/>
                <w:lang w:eastAsia="zh-CN"/>
              </w:rPr>
              <w:t>（</w:t>
            </w:r>
            <w:r>
              <w:rPr>
                <w:rFonts w:hint="eastAsia"/>
                <w:color w:val="auto"/>
                <w:sz w:val="24"/>
                <w:lang w:val="en-US" w:eastAsia="zh-CN"/>
              </w:rPr>
              <w:t>4</w:t>
            </w:r>
            <w:r>
              <w:rPr>
                <w:rFonts w:hint="eastAsia"/>
                <w:color w:val="auto"/>
                <w:sz w:val="24"/>
                <w:lang w:eastAsia="zh-CN"/>
              </w:rPr>
              <w:t>）加强对散装物资如水泥、砂石材料等车辆的管理，运输车辆需加盖蓬布。</w:t>
            </w:r>
          </w:p>
          <w:p>
            <w:pPr>
              <w:adjustRightInd w:val="0"/>
              <w:snapToGrid w:val="0"/>
              <w:spacing w:line="360" w:lineRule="auto"/>
              <w:ind w:firstLine="482" w:firstLineChars="200"/>
              <w:jc w:val="left"/>
              <w:rPr>
                <w:b/>
                <w:color w:val="auto"/>
                <w:sz w:val="24"/>
              </w:rPr>
            </w:pPr>
            <w:r>
              <w:rPr>
                <w:rFonts w:hint="eastAsia"/>
                <w:b/>
                <w:color w:val="auto"/>
                <w:sz w:val="24"/>
              </w:rPr>
              <w:t>3、</w:t>
            </w:r>
            <w:r>
              <w:rPr>
                <w:rFonts w:ascii="宋体" w:hAnsi="宋体"/>
                <w:b/>
                <w:color w:val="auto"/>
                <w:sz w:val="24"/>
              </w:rPr>
              <w:t>水污染防治措施</w:t>
            </w:r>
          </w:p>
          <w:p>
            <w:pPr>
              <w:adjustRightInd w:val="0"/>
              <w:snapToGrid w:val="0"/>
              <w:spacing w:line="360" w:lineRule="auto"/>
              <w:ind w:firstLine="480" w:firstLineChars="200"/>
              <w:jc w:val="left"/>
              <w:rPr>
                <w:b/>
                <w:color w:val="auto"/>
                <w:sz w:val="24"/>
              </w:rPr>
            </w:pPr>
            <w:r>
              <w:rPr>
                <w:rFonts w:hint="eastAsia" w:ascii="宋体" w:hAnsi="宋体"/>
                <w:color w:val="auto"/>
                <w:kern w:val="0"/>
                <w:sz w:val="24"/>
                <w:lang w:eastAsia="zh-CN"/>
              </w:rPr>
              <w:t>（</w:t>
            </w:r>
            <w:r>
              <w:rPr>
                <w:rFonts w:hint="eastAsia" w:ascii="宋体" w:hAnsi="宋体"/>
                <w:color w:val="auto"/>
                <w:kern w:val="0"/>
                <w:sz w:val="24"/>
                <w:lang w:val="en-US" w:eastAsia="zh-CN"/>
              </w:rPr>
              <w:t>1</w:t>
            </w:r>
            <w:r>
              <w:rPr>
                <w:rFonts w:hint="eastAsia" w:ascii="宋体" w:hAnsi="宋体"/>
                <w:color w:val="auto"/>
                <w:kern w:val="0"/>
                <w:sz w:val="24"/>
                <w:lang w:eastAsia="zh-CN"/>
              </w:rPr>
              <w:t>）</w:t>
            </w:r>
            <w:r>
              <w:rPr>
                <w:color w:val="auto"/>
                <w:kern w:val="0"/>
                <w:sz w:val="24"/>
              </w:rPr>
              <w:t>建设路面径流收集系统和排水系统，道路排水系统与现有规划的排水系统相协调，路面径流经收集后排入附近河流。</w:t>
            </w:r>
          </w:p>
          <w:p>
            <w:pPr>
              <w:adjustRightInd w:val="0"/>
              <w:snapToGrid w:val="0"/>
              <w:spacing w:line="360" w:lineRule="auto"/>
              <w:ind w:firstLine="480" w:firstLineChars="200"/>
              <w:jc w:val="left"/>
              <w:rPr>
                <w:color w:val="auto"/>
                <w:kern w:val="0"/>
                <w:sz w:val="24"/>
              </w:rPr>
            </w:pPr>
            <w:r>
              <w:rPr>
                <w:rFonts w:hint="eastAsia" w:ascii="宋体" w:hAnsi="宋体"/>
                <w:color w:val="auto"/>
                <w:kern w:val="0"/>
                <w:sz w:val="24"/>
                <w:lang w:eastAsia="zh-CN"/>
              </w:rPr>
              <w:t>（</w:t>
            </w:r>
            <w:r>
              <w:rPr>
                <w:rFonts w:hint="eastAsia" w:ascii="宋体" w:hAnsi="宋体"/>
                <w:color w:val="auto"/>
                <w:kern w:val="0"/>
                <w:sz w:val="24"/>
                <w:lang w:val="en-US" w:eastAsia="zh-CN"/>
              </w:rPr>
              <w:t>2</w:t>
            </w:r>
            <w:r>
              <w:rPr>
                <w:rFonts w:hint="eastAsia" w:ascii="宋体" w:hAnsi="宋体"/>
                <w:color w:val="auto"/>
                <w:kern w:val="0"/>
                <w:sz w:val="24"/>
                <w:lang w:eastAsia="zh-CN"/>
              </w:rPr>
              <w:t>）</w:t>
            </w:r>
            <w:r>
              <w:rPr>
                <w:color w:val="auto"/>
                <w:kern w:val="0"/>
                <w:sz w:val="24"/>
              </w:rPr>
              <w:t>营运期水污染防治主要是环卫部门须做好路面清洁工作，防止生活垃圾随降水进入雨水排水沟，进而排入附近河道。</w:t>
            </w:r>
          </w:p>
          <w:p>
            <w:pPr>
              <w:adjustRightInd w:val="0"/>
              <w:snapToGrid w:val="0"/>
              <w:spacing w:line="360" w:lineRule="auto"/>
              <w:ind w:firstLine="482" w:firstLineChars="200"/>
              <w:jc w:val="left"/>
              <w:rPr>
                <w:b/>
                <w:color w:val="auto"/>
                <w:sz w:val="24"/>
              </w:rPr>
            </w:pPr>
            <w:r>
              <w:rPr>
                <w:rFonts w:hint="eastAsia"/>
                <w:b/>
                <w:color w:val="auto"/>
                <w:sz w:val="24"/>
              </w:rPr>
              <w:t>4、</w:t>
            </w:r>
            <w:r>
              <w:rPr>
                <w:b/>
                <w:color w:val="auto"/>
                <w:sz w:val="24"/>
              </w:rPr>
              <w:t>噪声污染控制措施</w:t>
            </w:r>
          </w:p>
          <w:p>
            <w:pPr>
              <w:adjustRightInd w:val="0"/>
              <w:snapToGri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为了保证道路沿线声环境质量，结合项目敏感点分布情况，本环评从车辆噪声控制、道路交通管理制度及路面的保养维修管理等方面提出交通噪声污染防治措施，具体如下：</w:t>
            </w:r>
          </w:p>
          <w:p>
            <w:pPr>
              <w:adjustRightInd w:val="0"/>
              <w:snapToGri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lang w:val="en-US" w:eastAsia="zh-CN"/>
              </w:rPr>
              <w:t>1</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加强车辆噪声控制管理，如限制性能差的车辆进入，道路沿线限制速度；加强对机动车鸣笛的管理；在距离敏感点较近的路段设置限速、禁鸣标志，有效控制交通噪声的污染。</w:t>
            </w:r>
          </w:p>
          <w:p>
            <w:pPr>
              <w:adjustRightInd w:val="0"/>
              <w:snapToGri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lang w:val="en-US" w:eastAsia="zh-CN"/>
              </w:rPr>
              <w:t>2</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制定机动车单车噪声的控制规划和目标，逐步降低单车噪声值，是降低道路交通噪声最直接最有效的措施；</w:t>
            </w:r>
          </w:p>
          <w:p>
            <w:pPr>
              <w:adjustRightInd w:val="0"/>
              <w:snapToGri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lang w:val="en-US" w:eastAsia="zh-CN"/>
              </w:rPr>
              <w:t>3</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加强道路运行维护，破损路面应及时修补，保持路面的平整度，避免因路况不佳造成车辆不能正常行驶引起交通噪声增大；</w:t>
            </w:r>
          </w:p>
          <w:p>
            <w:pPr>
              <w:adjustRightInd w:val="0"/>
              <w:snapToGri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lang w:val="en-US" w:eastAsia="zh-CN"/>
              </w:rPr>
              <w:t>4</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加强交通管理、保持道路畅通；</w:t>
            </w:r>
          </w:p>
          <w:p>
            <w:pPr>
              <w:adjustRightInd w:val="0"/>
              <w:snapToGrid w:val="0"/>
              <w:spacing w:line="360" w:lineRule="auto"/>
              <w:ind w:firstLine="480" w:firstLineChars="200"/>
              <w:jc w:val="left"/>
              <w:rPr>
                <w:rFonts w:ascii="宋体" w:hAnsi="宋体"/>
                <w:color w:val="auto"/>
                <w:kern w:val="0"/>
                <w:sz w:val="24"/>
              </w:rPr>
            </w:pP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lang w:val="en-US" w:eastAsia="zh-CN"/>
              </w:rPr>
              <w:t>5</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在道路红线与敏感点之间加强绿化，种植叶密繁茂的灌木，通过绿化带隔声减小噪声对敏感点的影响。</w:t>
            </w:r>
          </w:p>
          <w:p>
            <w:pPr>
              <w:adjustRightInd w:val="0"/>
              <w:snapToGrid w:val="0"/>
              <w:spacing w:line="360" w:lineRule="auto"/>
              <w:ind w:left="482"/>
              <w:jc w:val="left"/>
              <w:rPr>
                <w:b/>
                <w:color w:val="auto"/>
                <w:sz w:val="24"/>
              </w:rPr>
            </w:pPr>
            <w:r>
              <w:rPr>
                <w:rFonts w:hint="eastAsia"/>
                <w:b/>
                <w:color w:val="auto"/>
                <w:sz w:val="24"/>
              </w:rPr>
              <w:t>5</w:t>
            </w:r>
            <w:r>
              <w:rPr>
                <w:b/>
                <w:color w:val="auto"/>
                <w:sz w:val="24"/>
              </w:rPr>
              <w:t>.固体废物治理措施</w:t>
            </w:r>
          </w:p>
          <w:p>
            <w:pPr>
              <w:adjustRightInd w:val="0"/>
              <w:snapToGrid w:val="0"/>
              <w:spacing w:line="360" w:lineRule="auto"/>
              <w:ind w:firstLine="480" w:firstLineChars="200"/>
              <w:jc w:val="left"/>
              <w:rPr>
                <w:rFonts w:ascii="宋体" w:hAnsi="宋体"/>
                <w:color w:val="auto"/>
                <w:kern w:val="0"/>
                <w:sz w:val="24"/>
              </w:rPr>
            </w:pPr>
            <w:r>
              <w:rPr>
                <w:rFonts w:ascii="宋体" w:hAnsi="宋体"/>
                <w:color w:val="auto"/>
                <w:kern w:val="0"/>
                <w:sz w:val="24"/>
              </w:rPr>
              <w:t>运营后固体废物主要来源是载重汽车散落的固体废物以及车窗飘洒、行人随意丢弃的果皮纸屑等，通过设置垃圾桶进行收集定期清理。</w:t>
            </w:r>
          </w:p>
          <w:p>
            <w:pPr>
              <w:spacing w:line="336" w:lineRule="auto"/>
              <w:ind w:firstLine="482"/>
              <w:rPr>
                <w:b/>
                <w:color w:val="FF0000"/>
                <w:sz w:val="24"/>
              </w:rPr>
            </w:pPr>
            <w:r>
              <w:rPr>
                <w:rFonts w:hint="eastAsia"/>
                <w:b/>
                <w:color w:val="FF0000"/>
                <w:sz w:val="24"/>
              </w:rPr>
              <w:t>6、</w:t>
            </w:r>
            <w:r>
              <w:rPr>
                <w:b/>
                <w:color w:val="FF0000"/>
                <w:sz w:val="24"/>
              </w:rPr>
              <w:t>环境风险防范措施</w:t>
            </w:r>
          </w:p>
          <w:p>
            <w:pPr>
              <w:adjustRightInd w:val="0"/>
              <w:snapToGrid w:val="0"/>
              <w:spacing w:line="360" w:lineRule="auto"/>
              <w:ind w:firstLine="480" w:firstLineChars="200"/>
              <w:jc w:val="left"/>
              <w:rPr>
                <w:rFonts w:hint="default" w:ascii="Times New Roman" w:hAnsi="Times New Roman" w:eastAsia="宋体" w:cs="Times New Roman"/>
                <w:color w:val="FF0000"/>
                <w:kern w:val="0"/>
                <w:sz w:val="24"/>
                <w:lang w:eastAsia="zh-CN"/>
              </w:rPr>
            </w:pPr>
            <w:r>
              <w:rPr>
                <w:rFonts w:hint="eastAsia" w:ascii="Times New Roman" w:hAnsi="Times New Roman" w:eastAsia="宋体" w:cs="Times New Roman"/>
                <w:color w:val="FF0000"/>
                <w:kern w:val="0"/>
                <w:sz w:val="24"/>
                <w:lang w:val="en-US" w:eastAsia="zh-CN"/>
              </w:rPr>
              <w:t xml:space="preserve">（1）项目沿线若发生风险事故后，应立即启动应急预案，并向当地生态环境保护局和当地人民政府部门等报告，并及时赶赴拦截河段不设围油栏，并采用吸油毡、吸油机回收溢油。 </w:t>
            </w:r>
          </w:p>
          <w:p>
            <w:pPr>
              <w:adjustRightInd w:val="0"/>
              <w:snapToGrid w:val="0"/>
              <w:spacing w:line="360" w:lineRule="auto"/>
              <w:ind w:firstLine="480" w:firstLineChars="200"/>
              <w:jc w:val="left"/>
              <w:rPr>
                <w:rFonts w:hint="default" w:ascii="Times New Roman" w:hAnsi="Times New Roman" w:eastAsia="宋体" w:cs="Times New Roman"/>
                <w:color w:val="FF0000"/>
                <w:kern w:val="0"/>
                <w:sz w:val="24"/>
                <w:lang w:eastAsia="zh-CN"/>
              </w:rPr>
            </w:pPr>
            <w:r>
              <w:rPr>
                <w:rFonts w:hint="eastAsia" w:ascii="Times New Roman" w:hAnsi="Times New Roman" w:eastAsia="宋体" w:cs="Times New Roman"/>
                <w:color w:val="FF0000"/>
                <w:kern w:val="0"/>
                <w:sz w:val="24"/>
                <w:lang w:val="en-US" w:eastAsia="zh-CN"/>
              </w:rPr>
              <w:t xml:space="preserve">（2）项目运营部门日常加强对路段设置的路面和排水系统进行维护，确保功能完好，并做好现场巡查，尤其在恶劣气候，避免危险事故发生。 </w:t>
            </w:r>
          </w:p>
          <w:p>
            <w:pPr>
              <w:adjustRightInd w:val="0"/>
              <w:snapToGrid w:val="0"/>
              <w:spacing w:line="360" w:lineRule="auto"/>
              <w:ind w:firstLine="480" w:firstLineChars="200"/>
              <w:jc w:val="left"/>
              <w:rPr>
                <w:rFonts w:hint="default" w:ascii="Times New Roman" w:hAnsi="Times New Roman" w:eastAsia="宋体" w:cs="Times New Roman"/>
                <w:color w:val="FF0000"/>
                <w:kern w:val="0"/>
                <w:sz w:val="24"/>
                <w:lang w:eastAsia="zh-CN"/>
              </w:rPr>
            </w:pPr>
            <w:r>
              <w:rPr>
                <w:rFonts w:hint="eastAsia" w:ascii="Times New Roman" w:hAnsi="Times New Roman" w:eastAsia="宋体" w:cs="Times New Roman"/>
                <w:color w:val="FF0000"/>
                <w:kern w:val="0"/>
                <w:sz w:val="24"/>
                <w:lang w:val="en-US" w:eastAsia="zh-CN"/>
              </w:rPr>
              <w:t>（3）跨越</w:t>
            </w:r>
            <w:r>
              <w:rPr>
                <w:rFonts w:hint="eastAsia" w:cs="Times New Roman"/>
                <w:color w:val="FF0000"/>
                <w:kern w:val="0"/>
                <w:sz w:val="24"/>
                <w:lang w:val="en-US" w:eastAsia="zh-CN"/>
              </w:rPr>
              <w:t>马莲</w:t>
            </w:r>
            <w:r>
              <w:rPr>
                <w:rFonts w:hint="eastAsia" w:ascii="Times New Roman" w:hAnsi="Times New Roman" w:eastAsia="宋体" w:cs="Times New Roman"/>
                <w:color w:val="FF0000"/>
                <w:kern w:val="0"/>
                <w:sz w:val="24"/>
                <w:lang w:val="en-US" w:eastAsia="zh-CN"/>
              </w:rPr>
              <w:t xml:space="preserve">河段设置防撞墩和 </w:t>
            </w:r>
            <w:r>
              <w:rPr>
                <w:rFonts w:hint="default" w:ascii="Times New Roman" w:hAnsi="Times New Roman" w:eastAsia="宋体" w:cs="Times New Roman"/>
                <w:color w:val="FF0000"/>
                <w:kern w:val="0"/>
                <w:sz w:val="24"/>
                <w:lang w:val="en-US" w:eastAsia="zh-CN"/>
              </w:rPr>
              <w:t xml:space="preserve">SB </w:t>
            </w:r>
            <w:r>
              <w:rPr>
                <w:rFonts w:hint="eastAsia" w:ascii="Times New Roman" w:hAnsi="Times New Roman" w:eastAsia="宋体" w:cs="Times New Roman"/>
                <w:color w:val="FF0000"/>
                <w:kern w:val="0"/>
                <w:sz w:val="24"/>
                <w:lang w:val="en-US" w:eastAsia="zh-CN"/>
              </w:rPr>
              <w:t>级单层防撞护栏，两端设置警示标志、限速标志，避免运输危险的车辆经过时车上的货物翻落到桥下或冲出路外，造成污染。</w:t>
            </w:r>
          </w:p>
          <w:p>
            <w:pPr>
              <w:adjustRightInd w:val="0"/>
              <w:snapToGrid w:val="0"/>
              <w:spacing w:line="360" w:lineRule="auto"/>
              <w:ind w:firstLine="480" w:firstLineChars="200"/>
              <w:jc w:val="left"/>
              <w:rPr>
                <w:rFonts w:hint="default" w:ascii="Times New Roman" w:hAnsi="Times New Roman" w:eastAsia="宋体" w:cs="Times New Roman"/>
                <w:color w:val="FF0000"/>
                <w:kern w:val="0"/>
                <w:sz w:val="24"/>
                <w:lang w:eastAsia="zh-CN"/>
              </w:rPr>
            </w:pPr>
            <w:r>
              <w:rPr>
                <w:rFonts w:hint="eastAsia" w:ascii="Times New Roman" w:hAnsi="Times New Roman" w:eastAsia="宋体" w:cs="Times New Roman"/>
                <w:color w:val="FF0000"/>
                <w:kern w:val="0"/>
                <w:sz w:val="24"/>
                <w:lang w:val="en-US" w:eastAsia="zh-CN"/>
              </w:rPr>
              <w:t xml:space="preserve">（4）配套事故应急抢救设备和器材。 </w:t>
            </w:r>
          </w:p>
          <w:p>
            <w:pPr>
              <w:adjustRightInd w:val="0"/>
              <w:snapToGrid w:val="0"/>
              <w:spacing w:line="360" w:lineRule="auto"/>
              <w:ind w:firstLine="480" w:firstLineChars="200"/>
              <w:jc w:val="left"/>
              <w:rPr>
                <w:rFonts w:ascii="Times New Roman" w:hAnsi="Times New Roman"/>
                <w:b/>
                <w:bCs/>
                <w:color w:val="auto"/>
                <w:kern w:val="0"/>
                <w:szCs w:val="36"/>
              </w:rPr>
            </w:pPr>
            <w:r>
              <w:rPr>
                <w:rFonts w:hint="eastAsia" w:ascii="Times New Roman" w:hAnsi="Times New Roman" w:eastAsia="宋体" w:cs="Times New Roman"/>
                <w:color w:val="FF0000"/>
                <w:kern w:val="0"/>
                <w:sz w:val="24"/>
                <w:lang w:val="en-US" w:eastAsia="zh-CN"/>
              </w:rPr>
              <w:t>（5）编制危险运输品应急预案。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dxa"/>
            <w:vAlign w:val="center"/>
          </w:tcPr>
          <w:p>
            <w:pPr>
              <w:adjustRightInd w:val="0"/>
              <w:snapToGrid w:val="0"/>
              <w:jc w:val="center"/>
              <w:rPr>
                <w:bCs/>
                <w:color w:val="auto"/>
                <w:spacing w:val="10"/>
                <w:sz w:val="24"/>
              </w:rPr>
            </w:pPr>
            <w:r>
              <w:rPr>
                <w:bCs/>
                <w:color w:val="auto"/>
                <w:sz w:val="24"/>
              </w:rPr>
              <w:t>其他</w:t>
            </w:r>
          </w:p>
        </w:tc>
        <w:tc>
          <w:tcPr>
            <w:tcW w:w="7731" w:type="dxa"/>
          </w:tcPr>
          <w:p>
            <w:pPr>
              <w:adjustRightInd w:val="0"/>
              <w:snapToGrid w:val="0"/>
              <w:spacing w:line="360" w:lineRule="auto"/>
              <w:ind w:firstLine="480" w:firstLineChars="200"/>
              <w:jc w:val="left"/>
              <w:rPr>
                <w:color w:val="auto"/>
                <w:kern w:val="0"/>
                <w:sz w:val="24"/>
              </w:rPr>
            </w:pPr>
            <w:r>
              <w:rPr>
                <w:color w:val="auto"/>
                <w:kern w:val="0"/>
                <w:sz w:val="24"/>
              </w:rPr>
              <w:t>1、排污许可证申请情况</w:t>
            </w:r>
          </w:p>
          <w:p>
            <w:pPr>
              <w:adjustRightInd w:val="0"/>
              <w:snapToGrid w:val="0"/>
              <w:spacing w:line="360" w:lineRule="auto"/>
              <w:ind w:firstLine="480" w:firstLineChars="200"/>
              <w:jc w:val="left"/>
              <w:rPr>
                <w:color w:val="auto"/>
                <w:kern w:val="0"/>
                <w:sz w:val="24"/>
              </w:rPr>
            </w:pPr>
            <w:r>
              <w:rPr>
                <w:color w:val="auto"/>
                <w:kern w:val="0"/>
                <w:sz w:val="24"/>
              </w:rPr>
              <w:t>根据《排污许可证管理办法（试行）》和《固定污染源排污许可分类管理名录（2019 年版）》，本项目不在于名录中，无需进行排污许可管理和申请。</w:t>
            </w:r>
          </w:p>
          <w:p>
            <w:pPr>
              <w:adjustRightInd w:val="0"/>
              <w:snapToGrid w:val="0"/>
              <w:spacing w:line="360" w:lineRule="auto"/>
              <w:ind w:firstLine="480" w:firstLineChars="200"/>
              <w:jc w:val="left"/>
              <w:rPr>
                <w:color w:val="auto"/>
                <w:kern w:val="0"/>
                <w:sz w:val="24"/>
              </w:rPr>
            </w:pPr>
            <w:r>
              <w:rPr>
                <w:color w:val="auto"/>
                <w:kern w:val="0"/>
                <w:sz w:val="24"/>
              </w:rPr>
              <w:t>2、环境监测计划</w:t>
            </w:r>
          </w:p>
          <w:p>
            <w:pPr>
              <w:adjustRightInd w:val="0"/>
              <w:snapToGrid w:val="0"/>
              <w:spacing w:line="360" w:lineRule="auto"/>
              <w:ind w:firstLine="480" w:firstLineChars="200"/>
              <w:jc w:val="left"/>
              <w:rPr>
                <w:color w:val="auto"/>
                <w:kern w:val="0"/>
                <w:sz w:val="24"/>
              </w:rPr>
            </w:pPr>
            <w:r>
              <w:rPr>
                <w:color w:val="auto"/>
                <w:kern w:val="0"/>
                <w:sz w:val="24"/>
              </w:rPr>
              <w:t>根据道路工程的特点及沿线环境特征，按照《排污单位自行监测技术指南  总则》（HJ819-2017）制定本项目的环境监测计划见表5-1。</w:t>
            </w:r>
          </w:p>
          <w:p>
            <w:pPr>
              <w:adjustRightInd w:val="0"/>
              <w:snapToGrid w:val="0"/>
              <w:spacing w:before="120" w:beforeLines="50" w:line="240" w:lineRule="auto"/>
              <w:jc w:val="center"/>
              <w:rPr>
                <w:b/>
                <w:bCs/>
                <w:color w:val="auto"/>
                <w:sz w:val="21"/>
                <w:szCs w:val="21"/>
              </w:rPr>
            </w:pPr>
            <w:r>
              <w:rPr>
                <w:b/>
                <w:bCs/>
                <w:color w:val="auto"/>
                <w:sz w:val="21"/>
                <w:szCs w:val="21"/>
              </w:rPr>
              <w:t xml:space="preserve">表5-1    </w:t>
            </w:r>
            <w:r>
              <w:rPr>
                <w:rFonts w:hint="eastAsia"/>
                <w:b/>
                <w:bCs/>
                <w:color w:val="auto"/>
                <w:sz w:val="21"/>
                <w:szCs w:val="21"/>
              </w:rPr>
              <w:t>项目</w:t>
            </w:r>
            <w:r>
              <w:rPr>
                <w:b/>
                <w:bCs/>
                <w:color w:val="auto"/>
                <w:sz w:val="21"/>
                <w:szCs w:val="21"/>
              </w:rPr>
              <w:t>环境监测计划</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Layout w:type="autofit"/>
              <w:tblCellMar>
                <w:top w:w="0" w:type="dxa"/>
                <w:left w:w="28" w:type="dxa"/>
                <w:bottom w:w="0" w:type="dxa"/>
                <w:right w:w="28" w:type="dxa"/>
              </w:tblCellMar>
            </w:tblPr>
            <w:tblGrid>
              <w:gridCol w:w="665"/>
              <w:gridCol w:w="1168"/>
              <w:gridCol w:w="1411"/>
              <w:gridCol w:w="1452"/>
              <w:gridCol w:w="648"/>
              <w:gridCol w:w="802"/>
              <w:gridCol w:w="1364"/>
            </w:tblGrid>
            <w:tr>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28" w:type="dxa"/>
                  <w:bottom w:w="0" w:type="dxa"/>
                  <w:right w:w="28" w:type="dxa"/>
                </w:tblCellMar>
              </w:tblPrEx>
              <w:trPr>
                <w:trHeight w:val="739" w:hRule="atLeast"/>
                <w:jc w:val="center"/>
              </w:trPr>
              <w:tc>
                <w:tcPr>
                  <w:tcW w:w="443" w:type="pct"/>
                  <w:noWrap w:val="0"/>
                  <w:vAlign w:val="center"/>
                </w:tcPr>
                <w:p>
                  <w:pPr>
                    <w:adjustRightInd w:val="0"/>
                    <w:snapToGrid w:val="0"/>
                    <w:jc w:val="center"/>
                    <w:rPr>
                      <w:b/>
                      <w:bCs/>
                      <w:color w:val="auto"/>
                      <w:szCs w:val="21"/>
                    </w:rPr>
                  </w:pPr>
                  <w:r>
                    <w:rPr>
                      <w:b/>
                      <w:bCs/>
                      <w:color w:val="auto"/>
                      <w:szCs w:val="21"/>
                    </w:rPr>
                    <w:t>阶段</w:t>
                  </w:r>
                </w:p>
              </w:tc>
              <w:tc>
                <w:tcPr>
                  <w:tcW w:w="777" w:type="pct"/>
                  <w:noWrap w:val="0"/>
                  <w:vAlign w:val="center"/>
                </w:tcPr>
                <w:p>
                  <w:pPr>
                    <w:pStyle w:val="6"/>
                    <w:adjustRightInd w:val="0"/>
                    <w:snapToGrid w:val="0"/>
                    <w:spacing w:line="240" w:lineRule="auto"/>
                    <w:ind w:firstLine="0" w:firstLineChars="0"/>
                    <w:jc w:val="center"/>
                    <w:rPr>
                      <w:rFonts w:ascii="Times New Roman" w:hAnsi="Times New Roman"/>
                      <w:b/>
                      <w:bCs/>
                      <w:color w:val="auto"/>
                      <w:sz w:val="21"/>
                      <w:szCs w:val="21"/>
                    </w:rPr>
                  </w:pPr>
                  <w:r>
                    <w:rPr>
                      <w:rFonts w:ascii="Times New Roman" w:hAnsi="Times New Roman"/>
                      <w:b/>
                      <w:bCs/>
                      <w:color w:val="auto"/>
                      <w:sz w:val="21"/>
                      <w:szCs w:val="21"/>
                    </w:rPr>
                    <w:t>监测</w:t>
                  </w:r>
                </w:p>
                <w:p>
                  <w:pPr>
                    <w:pStyle w:val="6"/>
                    <w:adjustRightInd w:val="0"/>
                    <w:snapToGrid w:val="0"/>
                    <w:spacing w:line="240" w:lineRule="auto"/>
                    <w:ind w:firstLine="0" w:firstLineChars="0"/>
                    <w:jc w:val="center"/>
                    <w:rPr>
                      <w:rFonts w:ascii="Times New Roman" w:hAnsi="Times New Roman"/>
                      <w:b/>
                      <w:bCs/>
                      <w:color w:val="auto"/>
                      <w:sz w:val="21"/>
                      <w:szCs w:val="21"/>
                    </w:rPr>
                  </w:pPr>
                  <w:r>
                    <w:rPr>
                      <w:rFonts w:ascii="Times New Roman" w:hAnsi="Times New Roman"/>
                      <w:b/>
                      <w:bCs/>
                      <w:color w:val="auto"/>
                      <w:sz w:val="21"/>
                      <w:szCs w:val="21"/>
                    </w:rPr>
                    <w:t>项目</w:t>
                  </w:r>
                </w:p>
              </w:tc>
              <w:tc>
                <w:tcPr>
                  <w:tcW w:w="939" w:type="pct"/>
                  <w:noWrap w:val="0"/>
                  <w:vAlign w:val="center"/>
                </w:tcPr>
                <w:p>
                  <w:pPr>
                    <w:pStyle w:val="6"/>
                    <w:adjustRightInd w:val="0"/>
                    <w:snapToGrid w:val="0"/>
                    <w:spacing w:line="240" w:lineRule="auto"/>
                    <w:ind w:firstLine="0" w:firstLineChars="0"/>
                    <w:jc w:val="center"/>
                    <w:rPr>
                      <w:rFonts w:ascii="Times New Roman" w:hAnsi="Times New Roman"/>
                      <w:b/>
                      <w:bCs/>
                      <w:color w:val="auto"/>
                      <w:sz w:val="21"/>
                      <w:szCs w:val="21"/>
                    </w:rPr>
                  </w:pPr>
                  <w:r>
                    <w:rPr>
                      <w:rFonts w:ascii="Times New Roman" w:hAnsi="Times New Roman"/>
                      <w:b/>
                      <w:bCs/>
                      <w:color w:val="auto"/>
                      <w:sz w:val="21"/>
                      <w:szCs w:val="21"/>
                    </w:rPr>
                    <w:t>监测</w:t>
                  </w:r>
                </w:p>
                <w:p>
                  <w:pPr>
                    <w:pStyle w:val="6"/>
                    <w:adjustRightInd w:val="0"/>
                    <w:snapToGrid w:val="0"/>
                    <w:spacing w:line="240" w:lineRule="auto"/>
                    <w:ind w:firstLine="0" w:firstLineChars="0"/>
                    <w:jc w:val="center"/>
                    <w:rPr>
                      <w:rFonts w:ascii="Times New Roman" w:hAnsi="Times New Roman"/>
                      <w:b/>
                      <w:bCs/>
                      <w:color w:val="auto"/>
                      <w:sz w:val="21"/>
                      <w:szCs w:val="21"/>
                    </w:rPr>
                  </w:pPr>
                  <w:r>
                    <w:rPr>
                      <w:rFonts w:ascii="Times New Roman" w:hAnsi="Times New Roman"/>
                      <w:b/>
                      <w:bCs/>
                      <w:color w:val="auto"/>
                      <w:sz w:val="21"/>
                      <w:szCs w:val="21"/>
                    </w:rPr>
                    <w:t>频次</w:t>
                  </w:r>
                </w:p>
              </w:tc>
              <w:tc>
                <w:tcPr>
                  <w:tcW w:w="966" w:type="pct"/>
                  <w:noWrap w:val="0"/>
                  <w:vAlign w:val="center"/>
                </w:tcPr>
                <w:p>
                  <w:pPr>
                    <w:pStyle w:val="6"/>
                    <w:adjustRightInd w:val="0"/>
                    <w:snapToGrid w:val="0"/>
                    <w:spacing w:line="240" w:lineRule="auto"/>
                    <w:ind w:firstLine="0" w:firstLineChars="0"/>
                    <w:jc w:val="center"/>
                    <w:rPr>
                      <w:rFonts w:ascii="Times New Roman" w:hAnsi="Times New Roman"/>
                      <w:b/>
                      <w:bCs/>
                      <w:color w:val="auto"/>
                      <w:sz w:val="21"/>
                      <w:szCs w:val="21"/>
                    </w:rPr>
                  </w:pPr>
                  <w:r>
                    <w:rPr>
                      <w:rFonts w:ascii="Times New Roman" w:hAnsi="Times New Roman"/>
                      <w:b/>
                      <w:bCs/>
                      <w:color w:val="auto"/>
                      <w:sz w:val="21"/>
                      <w:szCs w:val="21"/>
                    </w:rPr>
                    <w:t>监测时间</w:t>
                  </w:r>
                </w:p>
              </w:tc>
              <w:tc>
                <w:tcPr>
                  <w:tcW w:w="431" w:type="pct"/>
                  <w:noWrap w:val="0"/>
                  <w:vAlign w:val="center"/>
                </w:tcPr>
                <w:p>
                  <w:pPr>
                    <w:pStyle w:val="6"/>
                    <w:adjustRightInd w:val="0"/>
                    <w:snapToGrid w:val="0"/>
                    <w:spacing w:line="240" w:lineRule="auto"/>
                    <w:ind w:firstLine="0" w:firstLineChars="0"/>
                    <w:jc w:val="center"/>
                    <w:rPr>
                      <w:rFonts w:ascii="Times New Roman" w:hAnsi="Times New Roman"/>
                      <w:b/>
                      <w:bCs/>
                      <w:color w:val="auto"/>
                      <w:sz w:val="21"/>
                      <w:szCs w:val="21"/>
                    </w:rPr>
                  </w:pPr>
                  <w:r>
                    <w:rPr>
                      <w:rFonts w:ascii="Times New Roman" w:hAnsi="Times New Roman"/>
                      <w:b/>
                      <w:bCs/>
                      <w:color w:val="auto"/>
                      <w:sz w:val="21"/>
                      <w:szCs w:val="21"/>
                    </w:rPr>
                    <w:t>实施</w:t>
                  </w:r>
                </w:p>
                <w:p>
                  <w:pPr>
                    <w:pStyle w:val="6"/>
                    <w:adjustRightInd w:val="0"/>
                    <w:snapToGrid w:val="0"/>
                    <w:spacing w:line="240" w:lineRule="auto"/>
                    <w:ind w:firstLine="0" w:firstLineChars="0"/>
                    <w:jc w:val="center"/>
                    <w:rPr>
                      <w:rFonts w:ascii="Times New Roman" w:hAnsi="Times New Roman"/>
                      <w:b/>
                      <w:bCs/>
                      <w:color w:val="auto"/>
                      <w:sz w:val="21"/>
                      <w:szCs w:val="21"/>
                    </w:rPr>
                  </w:pPr>
                  <w:r>
                    <w:rPr>
                      <w:rFonts w:ascii="Times New Roman" w:hAnsi="Times New Roman"/>
                      <w:b/>
                      <w:bCs/>
                      <w:color w:val="auto"/>
                      <w:sz w:val="21"/>
                      <w:szCs w:val="21"/>
                    </w:rPr>
                    <w:t>机构</w:t>
                  </w:r>
                </w:p>
              </w:tc>
              <w:tc>
                <w:tcPr>
                  <w:tcW w:w="534" w:type="pct"/>
                  <w:noWrap w:val="0"/>
                  <w:vAlign w:val="center"/>
                </w:tcPr>
                <w:p>
                  <w:pPr>
                    <w:pStyle w:val="6"/>
                    <w:adjustRightInd w:val="0"/>
                    <w:snapToGrid w:val="0"/>
                    <w:spacing w:line="240" w:lineRule="auto"/>
                    <w:ind w:firstLine="0" w:firstLineChars="0"/>
                    <w:jc w:val="center"/>
                    <w:rPr>
                      <w:rFonts w:ascii="Times New Roman" w:hAnsi="Times New Roman"/>
                      <w:b/>
                      <w:bCs/>
                      <w:color w:val="auto"/>
                      <w:sz w:val="21"/>
                      <w:szCs w:val="21"/>
                    </w:rPr>
                  </w:pPr>
                  <w:r>
                    <w:rPr>
                      <w:rFonts w:ascii="Times New Roman" w:hAnsi="Times New Roman"/>
                      <w:b/>
                      <w:bCs/>
                      <w:color w:val="auto"/>
                      <w:sz w:val="21"/>
                      <w:szCs w:val="21"/>
                    </w:rPr>
                    <w:t>负责机构</w:t>
                  </w:r>
                </w:p>
              </w:tc>
              <w:tc>
                <w:tcPr>
                  <w:tcW w:w="908" w:type="pct"/>
                  <w:noWrap w:val="0"/>
                  <w:vAlign w:val="center"/>
                </w:tcPr>
                <w:p>
                  <w:pPr>
                    <w:pStyle w:val="6"/>
                    <w:adjustRightInd w:val="0"/>
                    <w:snapToGrid w:val="0"/>
                    <w:spacing w:line="240" w:lineRule="auto"/>
                    <w:ind w:firstLine="0" w:firstLineChars="0"/>
                    <w:jc w:val="center"/>
                    <w:rPr>
                      <w:rFonts w:ascii="Times New Roman" w:hAnsi="Times New Roman"/>
                      <w:b/>
                      <w:bCs/>
                      <w:color w:val="auto"/>
                      <w:sz w:val="21"/>
                      <w:szCs w:val="21"/>
                    </w:rPr>
                  </w:pPr>
                  <w:r>
                    <w:rPr>
                      <w:rFonts w:ascii="Times New Roman" w:hAnsi="Times New Roman"/>
                      <w:b/>
                      <w:bCs/>
                      <w:color w:val="auto"/>
                      <w:sz w:val="21"/>
                      <w:szCs w:val="21"/>
                    </w:rPr>
                    <w:t>监督机构</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28" w:type="dxa"/>
                  <w:bottom w:w="0" w:type="dxa"/>
                  <w:right w:w="28" w:type="dxa"/>
                </w:tblCellMar>
              </w:tblPrEx>
              <w:trPr>
                <w:trHeight w:val="555" w:hRule="atLeast"/>
                <w:jc w:val="center"/>
              </w:trPr>
              <w:tc>
                <w:tcPr>
                  <w:tcW w:w="443" w:type="pct"/>
                  <w:vMerge w:val="restart"/>
                  <w:noWrap w:val="0"/>
                  <w:vAlign w:val="center"/>
                </w:tcPr>
                <w:p>
                  <w:pPr>
                    <w:adjustRightInd w:val="0"/>
                    <w:snapToGrid w:val="0"/>
                    <w:jc w:val="center"/>
                    <w:rPr>
                      <w:bCs/>
                      <w:color w:val="auto"/>
                      <w:szCs w:val="21"/>
                    </w:rPr>
                  </w:pPr>
                  <w:r>
                    <w:rPr>
                      <w:bCs/>
                      <w:color w:val="auto"/>
                      <w:szCs w:val="21"/>
                    </w:rPr>
                    <w:t>施工期</w:t>
                  </w:r>
                </w:p>
              </w:tc>
              <w:tc>
                <w:tcPr>
                  <w:tcW w:w="777" w:type="pct"/>
                  <w:noWrap w:val="0"/>
                  <w:vAlign w:val="center"/>
                </w:tcPr>
                <w:p>
                  <w:pPr>
                    <w:adjustRightInd w:val="0"/>
                    <w:snapToGrid w:val="0"/>
                    <w:jc w:val="center"/>
                    <w:rPr>
                      <w:bCs/>
                      <w:color w:val="auto"/>
                      <w:szCs w:val="21"/>
                    </w:rPr>
                  </w:pPr>
                  <w:r>
                    <w:rPr>
                      <w:bCs/>
                      <w:color w:val="auto"/>
                      <w:szCs w:val="21"/>
                    </w:rPr>
                    <w:t>颗粒物</w:t>
                  </w:r>
                </w:p>
              </w:tc>
              <w:tc>
                <w:tcPr>
                  <w:tcW w:w="939" w:type="pct"/>
                  <w:noWrap w:val="0"/>
                  <w:vAlign w:val="center"/>
                </w:tcPr>
                <w:p>
                  <w:pPr>
                    <w:adjustRightInd w:val="0"/>
                    <w:snapToGrid w:val="0"/>
                    <w:jc w:val="center"/>
                    <w:rPr>
                      <w:bCs/>
                      <w:color w:val="auto"/>
                      <w:szCs w:val="21"/>
                    </w:rPr>
                  </w:pPr>
                  <w:r>
                    <w:rPr>
                      <w:bCs/>
                      <w:color w:val="auto"/>
                      <w:szCs w:val="21"/>
                    </w:rPr>
                    <w:t>1次/季度或随机抽样监测</w:t>
                  </w:r>
                </w:p>
              </w:tc>
              <w:tc>
                <w:tcPr>
                  <w:tcW w:w="966" w:type="pct"/>
                  <w:noWrap w:val="0"/>
                  <w:vAlign w:val="center"/>
                </w:tcPr>
                <w:p>
                  <w:pPr>
                    <w:adjustRightInd w:val="0"/>
                    <w:snapToGrid w:val="0"/>
                    <w:jc w:val="center"/>
                    <w:rPr>
                      <w:bCs/>
                      <w:color w:val="auto"/>
                      <w:szCs w:val="21"/>
                    </w:rPr>
                  </w:pPr>
                  <w:r>
                    <w:rPr>
                      <w:bCs/>
                      <w:color w:val="auto"/>
                      <w:szCs w:val="21"/>
                    </w:rPr>
                    <w:t>3d/次，每天保证12h采样时间</w:t>
                  </w:r>
                </w:p>
              </w:tc>
              <w:tc>
                <w:tcPr>
                  <w:tcW w:w="431" w:type="pct"/>
                  <w:vMerge w:val="restart"/>
                  <w:noWrap w:val="0"/>
                  <w:vAlign w:val="center"/>
                </w:tcPr>
                <w:p>
                  <w:pPr>
                    <w:adjustRightInd w:val="0"/>
                    <w:snapToGrid w:val="0"/>
                    <w:jc w:val="center"/>
                    <w:rPr>
                      <w:bCs/>
                      <w:color w:val="auto"/>
                      <w:szCs w:val="21"/>
                    </w:rPr>
                  </w:pPr>
                  <w:r>
                    <w:rPr>
                      <w:bCs/>
                      <w:color w:val="auto"/>
                      <w:szCs w:val="21"/>
                    </w:rPr>
                    <w:t>有资质单位</w:t>
                  </w:r>
                </w:p>
              </w:tc>
              <w:tc>
                <w:tcPr>
                  <w:tcW w:w="534" w:type="pct"/>
                  <w:vMerge w:val="restart"/>
                  <w:noWrap w:val="0"/>
                  <w:vAlign w:val="center"/>
                </w:tcPr>
                <w:p>
                  <w:pPr>
                    <w:adjustRightInd w:val="0"/>
                    <w:snapToGrid w:val="0"/>
                    <w:jc w:val="center"/>
                    <w:rPr>
                      <w:bCs/>
                      <w:color w:val="auto"/>
                      <w:szCs w:val="21"/>
                    </w:rPr>
                  </w:pPr>
                  <w:r>
                    <w:rPr>
                      <w:color w:val="auto"/>
                      <w:szCs w:val="21"/>
                    </w:rPr>
                    <w:t>运营管理机构</w:t>
                  </w:r>
                </w:p>
              </w:tc>
              <w:tc>
                <w:tcPr>
                  <w:tcW w:w="908" w:type="pct"/>
                  <w:vMerge w:val="restart"/>
                  <w:noWrap w:val="0"/>
                  <w:vAlign w:val="center"/>
                </w:tcPr>
                <w:p>
                  <w:pPr>
                    <w:adjustRightInd w:val="0"/>
                    <w:snapToGrid w:val="0"/>
                    <w:jc w:val="center"/>
                    <w:rPr>
                      <w:color w:val="auto"/>
                      <w:szCs w:val="21"/>
                    </w:rPr>
                  </w:pPr>
                  <w:r>
                    <w:rPr>
                      <w:rFonts w:hint="eastAsia"/>
                      <w:bCs/>
                      <w:color w:val="FF0000"/>
                      <w:szCs w:val="21"/>
                      <w:lang w:eastAsia="zh-CN"/>
                    </w:rPr>
                    <w:t>庆阳市</w:t>
                  </w:r>
                  <w:r>
                    <w:rPr>
                      <w:bCs/>
                      <w:color w:val="FF0000"/>
                      <w:szCs w:val="21"/>
                    </w:rPr>
                    <w:t>生态环境局</w:t>
                  </w:r>
                  <w:r>
                    <w:rPr>
                      <w:rFonts w:hint="eastAsia"/>
                      <w:bCs/>
                      <w:color w:val="FF0000"/>
                      <w:szCs w:val="21"/>
                      <w:lang w:eastAsia="zh-CN"/>
                    </w:rPr>
                    <w:t>宁县</w:t>
                  </w:r>
                  <w:r>
                    <w:rPr>
                      <w:bCs/>
                      <w:color w:val="FF0000"/>
                      <w:szCs w:val="21"/>
                    </w:rPr>
                    <w:t>分局</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28" w:type="dxa"/>
                  <w:bottom w:w="0" w:type="dxa"/>
                  <w:right w:w="28" w:type="dxa"/>
                </w:tblCellMar>
              </w:tblPrEx>
              <w:trPr>
                <w:trHeight w:val="611" w:hRule="atLeast"/>
                <w:jc w:val="center"/>
              </w:trPr>
              <w:tc>
                <w:tcPr>
                  <w:tcW w:w="443" w:type="pct"/>
                  <w:vMerge w:val="continue"/>
                  <w:noWrap w:val="0"/>
                  <w:vAlign w:val="center"/>
                </w:tcPr>
                <w:p>
                  <w:pPr>
                    <w:adjustRightInd w:val="0"/>
                    <w:snapToGrid w:val="0"/>
                    <w:jc w:val="center"/>
                    <w:rPr>
                      <w:bCs/>
                      <w:color w:val="auto"/>
                      <w:szCs w:val="21"/>
                    </w:rPr>
                  </w:pPr>
                </w:p>
              </w:tc>
              <w:tc>
                <w:tcPr>
                  <w:tcW w:w="777" w:type="pct"/>
                  <w:noWrap w:val="0"/>
                  <w:vAlign w:val="center"/>
                </w:tcPr>
                <w:p>
                  <w:pPr>
                    <w:adjustRightInd w:val="0"/>
                    <w:snapToGrid w:val="0"/>
                    <w:jc w:val="center"/>
                    <w:rPr>
                      <w:bCs/>
                      <w:color w:val="auto"/>
                      <w:szCs w:val="21"/>
                    </w:rPr>
                  </w:pPr>
                  <w:r>
                    <w:rPr>
                      <w:bCs/>
                      <w:color w:val="auto"/>
                      <w:szCs w:val="21"/>
                    </w:rPr>
                    <w:t>等效连续A声级</w:t>
                  </w:r>
                </w:p>
              </w:tc>
              <w:tc>
                <w:tcPr>
                  <w:tcW w:w="939" w:type="pct"/>
                  <w:noWrap w:val="0"/>
                  <w:vAlign w:val="center"/>
                </w:tcPr>
                <w:p>
                  <w:pPr>
                    <w:adjustRightInd w:val="0"/>
                    <w:snapToGrid w:val="0"/>
                    <w:jc w:val="center"/>
                    <w:rPr>
                      <w:bCs/>
                      <w:color w:val="auto"/>
                      <w:szCs w:val="21"/>
                    </w:rPr>
                  </w:pPr>
                  <w:r>
                    <w:rPr>
                      <w:bCs/>
                      <w:color w:val="auto"/>
                      <w:szCs w:val="21"/>
                    </w:rPr>
                    <w:t>1次/月</w:t>
                  </w:r>
                </w:p>
              </w:tc>
              <w:tc>
                <w:tcPr>
                  <w:tcW w:w="966" w:type="pct"/>
                  <w:noWrap w:val="0"/>
                  <w:vAlign w:val="center"/>
                </w:tcPr>
                <w:p>
                  <w:pPr>
                    <w:adjustRightInd w:val="0"/>
                    <w:snapToGrid w:val="0"/>
                    <w:jc w:val="center"/>
                    <w:rPr>
                      <w:bCs/>
                      <w:color w:val="auto"/>
                      <w:szCs w:val="21"/>
                    </w:rPr>
                  </w:pPr>
                  <w:r>
                    <w:rPr>
                      <w:bCs/>
                      <w:color w:val="auto"/>
                      <w:szCs w:val="21"/>
                    </w:rPr>
                    <w:t>2d/次，每天昼间、夜间各监测1次</w:t>
                  </w:r>
                </w:p>
              </w:tc>
              <w:tc>
                <w:tcPr>
                  <w:tcW w:w="431" w:type="pct"/>
                  <w:vMerge w:val="continue"/>
                  <w:noWrap w:val="0"/>
                  <w:vAlign w:val="center"/>
                </w:tcPr>
                <w:p>
                  <w:pPr>
                    <w:adjustRightInd w:val="0"/>
                    <w:snapToGrid w:val="0"/>
                    <w:jc w:val="center"/>
                    <w:rPr>
                      <w:bCs/>
                      <w:color w:val="auto"/>
                      <w:szCs w:val="21"/>
                    </w:rPr>
                  </w:pPr>
                </w:p>
              </w:tc>
              <w:tc>
                <w:tcPr>
                  <w:tcW w:w="534" w:type="pct"/>
                  <w:vMerge w:val="continue"/>
                  <w:noWrap w:val="0"/>
                  <w:vAlign w:val="center"/>
                </w:tcPr>
                <w:p>
                  <w:pPr>
                    <w:adjustRightInd w:val="0"/>
                    <w:snapToGrid w:val="0"/>
                    <w:jc w:val="center"/>
                    <w:rPr>
                      <w:color w:val="auto"/>
                      <w:szCs w:val="21"/>
                    </w:rPr>
                  </w:pPr>
                </w:p>
              </w:tc>
              <w:tc>
                <w:tcPr>
                  <w:tcW w:w="908" w:type="pct"/>
                  <w:vMerge w:val="continue"/>
                  <w:noWrap w:val="0"/>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28" w:type="dxa"/>
                  <w:bottom w:w="0" w:type="dxa"/>
                  <w:right w:w="28" w:type="dxa"/>
                </w:tblCellMar>
              </w:tblPrEx>
              <w:trPr>
                <w:trHeight w:val="555" w:hRule="atLeast"/>
                <w:jc w:val="center"/>
              </w:trPr>
              <w:tc>
                <w:tcPr>
                  <w:tcW w:w="443" w:type="pct"/>
                  <w:noWrap w:val="0"/>
                  <w:vAlign w:val="center"/>
                </w:tcPr>
                <w:p>
                  <w:pPr>
                    <w:adjustRightInd w:val="0"/>
                    <w:snapToGrid w:val="0"/>
                    <w:jc w:val="center"/>
                    <w:rPr>
                      <w:bCs/>
                      <w:color w:val="auto"/>
                      <w:szCs w:val="21"/>
                    </w:rPr>
                  </w:pPr>
                  <w:r>
                    <w:rPr>
                      <w:bCs/>
                      <w:color w:val="auto"/>
                      <w:szCs w:val="21"/>
                    </w:rPr>
                    <w:t>运营期</w:t>
                  </w:r>
                </w:p>
              </w:tc>
              <w:tc>
                <w:tcPr>
                  <w:tcW w:w="777" w:type="pct"/>
                  <w:noWrap w:val="0"/>
                  <w:vAlign w:val="center"/>
                </w:tcPr>
                <w:p>
                  <w:pPr>
                    <w:adjustRightInd w:val="0"/>
                    <w:snapToGrid w:val="0"/>
                    <w:jc w:val="center"/>
                    <w:rPr>
                      <w:bCs/>
                      <w:color w:val="auto"/>
                      <w:szCs w:val="21"/>
                    </w:rPr>
                  </w:pPr>
                  <w:r>
                    <w:rPr>
                      <w:bCs/>
                      <w:color w:val="auto"/>
                      <w:szCs w:val="21"/>
                    </w:rPr>
                    <w:t>等效连续A声级</w:t>
                  </w:r>
                </w:p>
              </w:tc>
              <w:tc>
                <w:tcPr>
                  <w:tcW w:w="939" w:type="pct"/>
                  <w:noWrap w:val="0"/>
                  <w:vAlign w:val="center"/>
                </w:tcPr>
                <w:p>
                  <w:pPr>
                    <w:adjustRightInd w:val="0"/>
                    <w:snapToGrid w:val="0"/>
                    <w:jc w:val="center"/>
                    <w:rPr>
                      <w:bCs/>
                      <w:color w:val="auto"/>
                      <w:szCs w:val="21"/>
                    </w:rPr>
                  </w:pPr>
                  <w:r>
                    <w:rPr>
                      <w:bCs/>
                      <w:color w:val="auto"/>
                      <w:szCs w:val="21"/>
                    </w:rPr>
                    <w:t>4次/a</w:t>
                  </w:r>
                </w:p>
              </w:tc>
              <w:tc>
                <w:tcPr>
                  <w:tcW w:w="966" w:type="pct"/>
                  <w:noWrap w:val="0"/>
                  <w:vAlign w:val="center"/>
                </w:tcPr>
                <w:p>
                  <w:pPr>
                    <w:adjustRightInd w:val="0"/>
                    <w:snapToGrid w:val="0"/>
                    <w:jc w:val="center"/>
                    <w:rPr>
                      <w:bCs/>
                      <w:color w:val="auto"/>
                      <w:szCs w:val="21"/>
                    </w:rPr>
                  </w:pPr>
                  <w:r>
                    <w:rPr>
                      <w:bCs/>
                      <w:color w:val="auto"/>
                      <w:szCs w:val="21"/>
                    </w:rPr>
                    <w:t>2d/2次，每天昼间、夜间各监测1次</w:t>
                  </w:r>
                </w:p>
              </w:tc>
              <w:tc>
                <w:tcPr>
                  <w:tcW w:w="431" w:type="pct"/>
                  <w:noWrap w:val="0"/>
                  <w:vAlign w:val="center"/>
                </w:tcPr>
                <w:p>
                  <w:pPr>
                    <w:adjustRightInd w:val="0"/>
                    <w:snapToGrid w:val="0"/>
                    <w:jc w:val="center"/>
                    <w:rPr>
                      <w:bCs/>
                      <w:color w:val="auto"/>
                      <w:szCs w:val="21"/>
                    </w:rPr>
                  </w:pPr>
                  <w:r>
                    <w:rPr>
                      <w:bCs/>
                      <w:color w:val="auto"/>
                      <w:szCs w:val="21"/>
                    </w:rPr>
                    <w:t>有资质单位</w:t>
                  </w:r>
                </w:p>
              </w:tc>
              <w:tc>
                <w:tcPr>
                  <w:tcW w:w="534" w:type="pct"/>
                  <w:vMerge w:val="continue"/>
                  <w:noWrap w:val="0"/>
                  <w:vAlign w:val="center"/>
                </w:tcPr>
                <w:p>
                  <w:pPr>
                    <w:adjustRightInd w:val="0"/>
                    <w:snapToGrid w:val="0"/>
                    <w:jc w:val="center"/>
                    <w:rPr>
                      <w:color w:val="auto"/>
                      <w:szCs w:val="21"/>
                    </w:rPr>
                  </w:pPr>
                </w:p>
              </w:tc>
              <w:tc>
                <w:tcPr>
                  <w:tcW w:w="908" w:type="pct"/>
                  <w:vMerge w:val="continue"/>
                  <w:noWrap w:val="0"/>
                  <w:vAlign w:val="center"/>
                </w:tcPr>
                <w:p>
                  <w:pPr>
                    <w:adjustRightInd w:val="0"/>
                    <w:snapToGrid w:val="0"/>
                    <w:jc w:val="center"/>
                    <w:rPr>
                      <w:color w:val="auto"/>
                      <w:szCs w:val="21"/>
                    </w:rPr>
                  </w:pPr>
                </w:p>
              </w:tc>
            </w:tr>
          </w:tbl>
          <w:p>
            <w:pPr>
              <w:adjustRightInd w:val="0"/>
              <w:snapToGrid w:val="0"/>
              <w:spacing w:line="360" w:lineRule="auto"/>
              <w:ind w:firstLine="480" w:firstLineChars="200"/>
              <w:jc w:val="left"/>
              <w:rPr>
                <w:color w:val="auto"/>
              </w:rPr>
            </w:pPr>
            <w:r>
              <w:rPr>
                <w:color w:val="auto"/>
                <w:kern w:val="0"/>
                <w:sz w:val="24"/>
              </w:rPr>
              <w:t>每次监测工作结束后，监测单位应提交正式监测报告，并按程序逐级上报。在施工期应有月报、季报和年报，在运营期应有季报和年报。若遇有突发性事故发生时，必须立即上报。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12" w:hRule="atLeast"/>
          <w:jc w:val="center"/>
        </w:trPr>
        <w:tc>
          <w:tcPr>
            <w:tcW w:w="718" w:type="dxa"/>
            <w:vAlign w:val="center"/>
          </w:tcPr>
          <w:p>
            <w:pPr>
              <w:adjustRightInd w:val="0"/>
              <w:snapToGrid w:val="0"/>
              <w:jc w:val="center"/>
              <w:rPr>
                <w:bCs/>
                <w:color w:val="auto"/>
                <w:spacing w:val="10"/>
                <w:sz w:val="24"/>
              </w:rPr>
            </w:pPr>
            <w:r>
              <w:rPr>
                <w:bCs/>
                <w:color w:val="auto"/>
                <w:sz w:val="24"/>
              </w:rPr>
              <w:t>环保投资</w:t>
            </w:r>
          </w:p>
        </w:tc>
        <w:tc>
          <w:tcPr>
            <w:tcW w:w="7731" w:type="dxa"/>
          </w:tcPr>
          <w:p>
            <w:pPr>
              <w:spacing w:line="360" w:lineRule="auto"/>
              <w:ind w:firstLine="480" w:firstLineChars="200"/>
              <w:contextualSpacing/>
              <w:rPr>
                <w:color w:val="auto"/>
                <w:sz w:val="24"/>
              </w:rPr>
            </w:pPr>
            <w:r>
              <w:rPr>
                <w:color w:val="auto"/>
                <w:sz w:val="24"/>
              </w:rPr>
              <w:t>本项目总投资</w:t>
            </w:r>
            <w:r>
              <w:rPr>
                <w:rFonts w:ascii="Times New Roman" w:hAnsi="Times New Roman" w:eastAsia="宋体" w:cs="Times New Roman"/>
                <w:color w:val="auto"/>
                <w:sz w:val="24"/>
                <w:highlight w:val="none"/>
              </w:rPr>
              <w:t>为</w:t>
            </w:r>
            <w:r>
              <w:rPr>
                <w:rFonts w:hint="eastAsia" w:ascii="Times New Roman" w:hAnsi="Times New Roman" w:eastAsia="宋体" w:cs="Times New Roman"/>
                <w:color w:val="auto"/>
                <w:sz w:val="24"/>
                <w:highlight w:val="none"/>
                <w:lang w:val="en-US" w:eastAsia="zh-CN"/>
              </w:rPr>
              <w:t>5968.55</w:t>
            </w:r>
            <w:r>
              <w:rPr>
                <w:rFonts w:ascii="Times New Roman" w:hAnsi="Times New Roman" w:eastAsia="宋体" w:cs="Times New Roman"/>
                <w:color w:val="auto"/>
                <w:sz w:val="24"/>
                <w:highlight w:val="none"/>
              </w:rPr>
              <w:t>万元，其中</w:t>
            </w:r>
            <w:r>
              <w:rPr>
                <w:color w:val="auto"/>
                <w:sz w:val="24"/>
                <w:highlight w:val="none"/>
              </w:rPr>
              <w:t>环保投资为</w:t>
            </w:r>
            <w:r>
              <w:rPr>
                <w:rFonts w:hint="eastAsia"/>
                <w:color w:val="auto"/>
                <w:sz w:val="24"/>
                <w:highlight w:val="none"/>
                <w:lang w:val="en-US" w:eastAsia="zh-CN"/>
              </w:rPr>
              <w:t>65</w:t>
            </w:r>
            <w:r>
              <w:rPr>
                <w:color w:val="auto"/>
                <w:sz w:val="24"/>
                <w:highlight w:val="none"/>
              </w:rPr>
              <w:t>万元，占工程总投资的</w:t>
            </w:r>
            <w:r>
              <w:rPr>
                <w:rFonts w:hint="eastAsia"/>
                <w:color w:val="auto"/>
                <w:sz w:val="24"/>
                <w:highlight w:val="none"/>
                <w:lang w:val="en-US" w:eastAsia="zh-CN"/>
              </w:rPr>
              <w:t>1.09</w:t>
            </w:r>
            <w:r>
              <w:rPr>
                <w:color w:val="auto"/>
                <w:sz w:val="24"/>
                <w:highlight w:val="none"/>
              </w:rPr>
              <w:t>%。</w:t>
            </w:r>
            <w:r>
              <w:rPr>
                <w:color w:val="auto"/>
                <w:sz w:val="24"/>
              </w:rPr>
              <w:t xml:space="preserve">各项环保投资概算详见表5-2。 </w:t>
            </w:r>
          </w:p>
          <w:p>
            <w:pPr>
              <w:adjustRightInd w:val="0"/>
              <w:snapToGrid w:val="0"/>
              <w:jc w:val="center"/>
              <w:rPr>
                <w:color w:val="auto"/>
                <w:sz w:val="21"/>
                <w:szCs w:val="21"/>
              </w:rPr>
            </w:pPr>
            <w:r>
              <w:rPr>
                <w:b/>
                <w:color w:val="auto"/>
                <w:sz w:val="21"/>
                <w:szCs w:val="21"/>
              </w:rPr>
              <w:t>表5-2    环保投资一览表     单位：万元</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238"/>
              <w:gridCol w:w="682"/>
              <w:gridCol w:w="2954"/>
              <w:gridCol w:w="1468"/>
              <w:gridCol w:w="11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824" w:type="pct"/>
                  <w:noWrap w:val="0"/>
                  <w:vAlign w:val="center"/>
                </w:tcPr>
                <w:p>
                  <w:pPr>
                    <w:adjustRightInd w:val="0"/>
                    <w:snapToGrid w:val="0"/>
                    <w:spacing w:line="260" w:lineRule="exact"/>
                    <w:jc w:val="center"/>
                    <w:textAlignment w:val="baseline"/>
                    <w:rPr>
                      <w:b/>
                      <w:bCs/>
                      <w:color w:val="auto"/>
                      <w:kern w:val="11"/>
                      <w:sz w:val="21"/>
                      <w:szCs w:val="21"/>
                    </w:rPr>
                  </w:pPr>
                  <w:r>
                    <w:rPr>
                      <w:b/>
                      <w:bCs/>
                      <w:color w:val="auto"/>
                      <w:kern w:val="11"/>
                      <w:sz w:val="21"/>
                      <w:szCs w:val="21"/>
                    </w:rPr>
                    <w:t>环保项目</w:t>
                  </w:r>
                </w:p>
              </w:tc>
              <w:tc>
                <w:tcPr>
                  <w:tcW w:w="2420" w:type="pct"/>
                  <w:gridSpan w:val="2"/>
                  <w:noWrap w:val="0"/>
                  <w:vAlign w:val="center"/>
                </w:tcPr>
                <w:p>
                  <w:pPr>
                    <w:adjustRightInd w:val="0"/>
                    <w:snapToGrid w:val="0"/>
                    <w:spacing w:line="260" w:lineRule="exact"/>
                    <w:jc w:val="center"/>
                    <w:textAlignment w:val="baseline"/>
                    <w:rPr>
                      <w:b/>
                      <w:bCs/>
                      <w:color w:val="auto"/>
                      <w:kern w:val="11"/>
                      <w:sz w:val="21"/>
                      <w:szCs w:val="21"/>
                    </w:rPr>
                  </w:pPr>
                  <w:r>
                    <w:rPr>
                      <w:b/>
                      <w:bCs/>
                      <w:color w:val="auto"/>
                      <w:kern w:val="11"/>
                      <w:sz w:val="21"/>
                      <w:szCs w:val="21"/>
                    </w:rPr>
                    <w:t>环保措施内容</w:t>
                  </w:r>
                </w:p>
              </w:tc>
              <w:tc>
                <w:tcPr>
                  <w:tcW w:w="974" w:type="pct"/>
                  <w:noWrap w:val="0"/>
                  <w:vAlign w:val="center"/>
                </w:tcPr>
                <w:p>
                  <w:pPr>
                    <w:adjustRightInd w:val="0"/>
                    <w:snapToGrid w:val="0"/>
                    <w:spacing w:line="260" w:lineRule="exact"/>
                    <w:jc w:val="center"/>
                    <w:textAlignment w:val="baseline"/>
                    <w:rPr>
                      <w:b/>
                      <w:bCs/>
                      <w:color w:val="auto"/>
                      <w:kern w:val="11"/>
                      <w:sz w:val="21"/>
                      <w:szCs w:val="21"/>
                    </w:rPr>
                  </w:pPr>
                  <w:r>
                    <w:rPr>
                      <w:b/>
                      <w:bCs/>
                      <w:color w:val="auto"/>
                      <w:kern w:val="11"/>
                      <w:sz w:val="21"/>
                      <w:szCs w:val="21"/>
                    </w:rPr>
                    <w:t>实施区域</w:t>
                  </w:r>
                </w:p>
              </w:tc>
              <w:tc>
                <w:tcPr>
                  <w:tcW w:w="779" w:type="pct"/>
                  <w:noWrap w:val="0"/>
                  <w:vAlign w:val="center"/>
                </w:tcPr>
                <w:p>
                  <w:pPr>
                    <w:adjustRightInd w:val="0"/>
                    <w:snapToGrid w:val="0"/>
                    <w:spacing w:line="260" w:lineRule="exact"/>
                    <w:jc w:val="center"/>
                    <w:textAlignment w:val="baseline"/>
                    <w:rPr>
                      <w:b/>
                      <w:bCs/>
                      <w:color w:val="auto"/>
                      <w:kern w:val="11"/>
                      <w:sz w:val="21"/>
                      <w:szCs w:val="21"/>
                    </w:rPr>
                  </w:pPr>
                  <w:r>
                    <w:rPr>
                      <w:b/>
                      <w:bCs/>
                      <w:color w:val="auto"/>
                      <w:kern w:val="11"/>
                      <w:sz w:val="21"/>
                      <w:szCs w:val="21"/>
                    </w:rPr>
                    <w:t>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24" w:type="pct"/>
                  <w:vMerge w:val="restart"/>
                  <w:noWrap w:val="0"/>
                  <w:vAlign w:val="center"/>
                </w:tcPr>
                <w:p>
                  <w:pPr>
                    <w:adjustRightInd w:val="0"/>
                    <w:snapToGrid w:val="0"/>
                    <w:spacing w:line="260" w:lineRule="exact"/>
                    <w:jc w:val="center"/>
                    <w:textAlignment w:val="baseline"/>
                    <w:rPr>
                      <w:color w:val="auto"/>
                      <w:kern w:val="11"/>
                      <w:szCs w:val="21"/>
                    </w:rPr>
                  </w:pPr>
                  <w:r>
                    <w:rPr>
                      <w:color w:val="auto"/>
                      <w:kern w:val="11"/>
                      <w:szCs w:val="21"/>
                    </w:rPr>
                    <w:t>生态环境</w:t>
                  </w:r>
                </w:p>
              </w:tc>
              <w:tc>
                <w:tcPr>
                  <w:tcW w:w="454" w:type="pct"/>
                  <w:vMerge w:val="restart"/>
                  <w:noWrap w:val="0"/>
                  <w:vAlign w:val="center"/>
                </w:tcPr>
                <w:p>
                  <w:pPr>
                    <w:adjustRightInd w:val="0"/>
                    <w:snapToGrid w:val="0"/>
                    <w:spacing w:line="260" w:lineRule="exact"/>
                    <w:jc w:val="center"/>
                    <w:textAlignment w:val="baseline"/>
                    <w:rPr>
                      <w:color w:val="auto"/>
                      <w:kern w:val="11"/>
                      <w:szCs w:val="21"/>
                    </w:rPr>
                  </w:pPr>
                  <w:r>
                    <w:rPr>
                      <w:color w:val="auto"/>
                      <w:kern w:val="11"/>
                      <w:szCs w:val="21"/>
                    </w:rPr>
                    <w:t>施工期</w:t>
                  </w:r>
                </w:p>
              </w:tc>
              <w:tc>
                <w:tcPr>
                  <w:tcW w:w="1965" w:type="pct"/>
                  <w:noWrap w:val="0"/>
                  <w:vAlign w:val="center"/>
                </w:tcPr>
                <w:p>
                  <w:pPr>
                    <w:adjustRightInd w:val="0"/>
                    <w:snapToGrid w:val="0"/>
                    <w:spacing w:line="260" w:lineRule="exact"/>
                    <w:jc w:val="center"/>
                    <w:textAlignment w:val="baseline"/>
                    <w:rPr>
                      <w:color w:val="auto"/>
                      <w:kern w:val="11"/>
                      <w:szCs w:val="21"/>
                    </w:rPr>
                  </w:pPr>
                  <w:r>
                    <w:rPr>
                      <w:color w:val="auto"/>
                      <w:kern w:val="11"/>
                      <w:szCs w:val="21"/>
                    </w:rPr>
                    <w:t>临时堆土料遮、挡护等临时防护</w:t>
                  </w:r>
                </w:p>
              </w:tc>
              <w:tc>
                <w:tcPr>
                  <w:tcW w:w="974" w:type="pct"/>
                  <w:noWrap w:val="0"/>
                  <w:vAlign w:val="center"/>
                </w:tcPr>
                <w:p>
                  <w:pPr>
                    <w:adjustRightInd w:val="0"/>
                    <w:snapToGrid w:val="0"/>
                    <w:spacing w:line="260" w:lineRule="exact"/>
                    <w:jc w:val="center"/>
                    <w:textAlignment w:val="baseline"/>
                    <w:rPr>
                      <w:color w:val="auto"/>
                      <w:kern w:val="11"/>
                      <w:szCs w:val="21"/>
                    </w:rPr>
                  </w:pPr>
                  <w:r>
                    <w:rPr>
                      <w:color w:val="auto"/>
                      <w:kern w:val="11"/>
                      <w:szCs w:val="21"/>
                    </w:rPr>
                    <w:t>全线工程区</w:t>
                  </w:r>
                </w:p>
              </w:tc>
              <w:tc>
                <w:tcPr>
                  <w:tcW w:w="779" w:type="pct"/>
                  <w:vMerge w:val="restart"/>
                  <w:noWrap w:val="0"/>
                  <w:vAlign w:val="center"/>
                </w:tcPr>
                <w:p>
                  <w:pPr>
                    <w:adjustRightInd w:val="0"/>
                    <w:snapToGrid w:val="0"/>
                    <w:spacing w:line="260" w:lineRule="exact"/>
                    <w:jc w:val="center"/>
                    <w:textAlignment w:val="baseline"/>
                    <w:rPr>
                      <w:color w:val="auto"/>
                      <w:kern w:val="11"/>
                      <w:szCs w:val="21"/>
                    </w:rPr>
                  </w:pPr>
                  <w:r>
                    <w:rPr>
                      <w:color w:val="auto"/>
                      <w:kern w:val="11"/>
                      <w:szCs w:val="21"/>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24" w:type="pct"/>
                  <w:vMerge w:val="continue"/>
                  <w:noWrap w:val="0"/>
                  <w:vAlign w:val="center"/>
                </w:tcPr>
                <w:p>
                  <w:pPr>
                    <w:widowControl/>
                    <w:jc w:val="center"/>
                    <w:rPr>
                      <w:color w:val="auto"/>
                      <w:kern w:val="11"/>
                      <w:szCs w:val="21"/>
                    </w:rPr>
                  </w:pPr>
                </w:p>
              </w:tc>
              <w:tc>
                <w:tcPr>
                  <w:tcW w:w="454" w:type="pct"/>
                  <w:vMerge w:val="continue"/>
                  <w:noWrap w:val="0"/>
                  <w:vAlign w:val="center"/>
                </w:tcPr>
                <w:p>
                  <w:pPr>
                    <w:widowControl/>
                    <w:jc w:val="center"/>
                    <w:rPr>
                      <w:color w:val="auto"/>
                      <w:kern w:val="11"/>
                      <w:szCs w:val="21"/>
                    </w:rPr>
                  </w:pPr>
                </w:p>
              </w:tc>
              <w:tc>
                <w:tcPr>
                  <w:tcW w:w="1965" w:type="pct"/>
                  <w:noWrap w:val="0"/>
                  <w:vAlign w:val="center"/>
                </w:tcPr>
                <w:p>
                  <w:pPr>
                    <w:adjustRightInd w:val="0"/>
                    <w:snapToGrid w:val="0"/>
                    <w:spacing w:line="260" w:lineRule="exact"/>
                    <w:jc w:val="center"/>
                    <w:textAlignment w:val="baseline"/>
                    <w:rPr>
                      <w:color w:val="auto"/>
                      <w:kern w:val="11"/>
                      <w:szCs w:val="21"/>
                    </w:rPr>
                  </w:pPr>
                  <w:r>
                    <w:rPr>
                      <w:color w:val="auto"/>
                      <w:kern w:val="11"/>
                      <w:szCs w:val="21"/>
                    </w:rPr>
                    <w:t>水土流失防治与土地整治等</w:t>
                  </w:r>
                </w:p>
              </w:tc>
              <w:tc>
                <w:tcPr>
                  <w:tcW w:w="974" w:type="pct"/>
                  <w:noWrap w:val="0"/>
                  <w:vAlign w:val="center"/>
                </w:tcPr>
                <w:p>
                  <w:pPr>
                    <w:adjustRightInd w:val="0"/>
                    <w:snapToGrid w:val="0"/>
                    <w:spacing w:line="260" w:lineRule="exact"/>
                    <w:jc w:val="center"/>
                    <w:textAlignment w:val="baseline"/>
                    <w:rPr>
                      <w:color w:val="auto"/>
                      <w:kern w:val="11"/>
                      <w:szCs w:val="21"/>
                    </w:rPr>
                  </w:pPr>
                  <w:r>
                    <w:rPr>
                      <w:color w:val="auto"/>
                      <w:kern w:val="11"/>
                      <w:szCs w:val="21"/>
                    </w:rPr>
                    <w:t>主体工程、施工场地等</w:t>
                  </w:r>
                </w:p>
              </w:tc>
              <w:tc>
                <w:tcPr>
                  <w:tcW w:w="779" w:type="pct"/>
                  <w:vMerge w:val="continue"/>
                  <w:noWrap w:val="0"/>
                  <w:vAlign w:val="center"/>
                </w:tcPr>
                <w:p>
                  <w:pPr>
                    <w:widowControl/>
                    <w:jc w:val="center"/>
                    <w:rPr>
                      <w:color w:val="auto"/>
                      <w:kern w:val="1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24" w:type="pct"/>
                  <w:vMerge w:val="continue"/>
                  <w:noWrap w:val="0"/>
                  <w:vAlign w:val="center"/>
                </w:tcPr>
                <w:p>
                  <w:pPr>
                    <w:widowControl/>
                    <w:jc w:val="center"/>
                    <w:rPr>
                      <w:color w:val="auto"/>
                      <w:kern w:val="11"/>
                      <w:szCs w:val="21"/>
                    </w:rPr>
                  </w:pPr>
                </w:p>
              </w:tc>
              <w:tc>
                <w:tcPr>
                  <w:tcW w:w="454" w:type="pct"/>
                  <w:noWrap w:val="0"/>
                  <w:vAlign w:val="center"/>
                </w:tcPr>
                <w:p>
                  <w:pPr>
                    <w:adjustRightInd w:val="0"/>
                    <w:snapToGrid w:val="0"/>
                    <w:spacing w:line="260" w:lineRule="exact"/>
                    <w:jc w:val="center"/>
                    <w:textAlignment w:val="baseline"/>
                    <w:rPr>
                      <w:color w:val="auto"/>
                      <w:kern w:val="11"/>
                      <w:szCs w:val="21"/>
                    </w:rPr>
                  </w:pPr>
                  <w:r>
                    <w:rPr>
                      <w:color w:val="auto"/>
                      <w:kern w:val="11"/>
                      <w:szCs w:val="21"/>
                    </w:rPr>
                    <w:t>运营期</w:t>
                  </w:r>
                </w:p>
              </w:tc>
              <w:tc>
                <w:tcPr>
                  <w:tcW w:w="1965" w:type="pct"/>
                  <w:noWrap w:val="0"/>
                  <w:vAlign w:val="center"/>
                </w:tcPr>
                <w:p>
                  <w:pPr>
                    <w:adjustRightInd w:val="0"/>
                    <w:snapToGrid w:val="0"/>
                    <w:spacing w:line="260" w:lineRule="exact"/>
                    <w:jc w:val="center"/>
                    <w:textAlignment w:val="baseline"/>
                    <w:rPr>
                      <w:color w:val="auto"/>
                      <w:kern w:val="11"/>
                      <w:szCs w:val="21"/>
                    </w:rPr>
                  </w:pPr>
                  <w:r>
                    <w:rPr>
                      <w:color w:val="auto"/>
                      <w:kern w:val="11"/>
                      <w:szCs w:val="21"/>
                    </w:rPr>
                    <w:t>绿化等生态保护措施</w:t>
                  </w:r>
                </w:p>
              </w:tc>
              <w:tc>
                <w:tcPr>
                  <w:tcW w:w="974" w:type="pct"/>
                  <w:noWrap w:val="0"/>
                  <w:vAlign w:val="center"/>
                </w:tcPr>
                <w:p>
                  <w:pPr>
                    <w:adjustRightInd w:val="0"/>
                    <w:snapToGrid w:val="0"/>
                    <w:spacing w:line="260" w:lineRule="exact"/>
                    <w:jc w:val="center"/>
                    <w:textAlignment w:val="baseline"/>
                    <w:rPr>
                      <w:rFonts w:hint="eastAsia"/>
                      <w:color w:val="auto"/>
                      <w:kern w:val="11"/>
                      <w:szCs w:val="21"/>
                    </w:rPr>
                  </w:pPr>
                  <w:r>
                    <w:rPr>
                      <w:rFonts w:hint="eastAsia"/>
                      <w:color w:val="auto"/>
                      <w:kern w:val="11"/>
                      <w:szCs w:val="21"/>
                    </w:rPr>
                    <w:t>道路沿线</w:t>
                  </w:r>
                </w:p>
              </w:tc>
              <w:tc>
                <w:tcPr>
                  <w:tcW w:w="779" w:type="pct"/>
                  <w:noWrap w:val="0"/>
                  <w:vAlign w:val="center"/>
                </w:tcPr>
                <w:p>
                  <w:pPr>
                    <w:widowControl/>
                    <w:jc w:val="center"/>
                    <w:rPr>
                      <w:color w:val="auto"/>
                      <w:kern w:val="11"/>
                      <w:szCs w:val="21"/>
                    </w:rPr>
                  </w:pPr>
                  <w:r>
                    <w:rPr>
                      <w:color w:val="auto"/>
                      <w:kern w:val="11"/>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60" w:hRule="atLeast"/>
                <w:jc w:val="center"/>
              </w:trPr>
              <w:tc>
                <w:tcPr>
                  <w:tcW w:w="824" w:type="pct"/>
                  <w:vMerge w:val="restart"/>
                  <w:noWrap w:val="0"/>
                  <w:vAlign w:val="center"/>
                </w:tcPr>
                <w:p>
                  <w:pPr>
                    <w:adjustRightInd w:val="0"/>
                    <w:snapToGrid w:val="0"/>
                    <w:spacing w:line="260" w:lineRule="exact"/>
                    <w:jc w:val="center"/>
                    <w:textAlignment w:val="baseline"/>
                    <w:rPr>
                      <w:bCs/>
                      <w:color w:val="auto"/>
                      <w:kern w:val="11"/>
                      <w:szCs w:val="21"/>
                    </w:rPr>
                  </w:pPr>
                  <w:r>
                    <w:rPr>
                      <w:bCs/>
                      <w:color w:val="auto"/>
                      <w:kern w:val="11"/>
                      <w:szCs w:val="21"/>
                    </w:rPr>
                    <w:t>水污染防治</w:t>
                  </w:r>
                </w:p>
              </w:tc>
              <w:tc>
                <w:tcPr>
                  <w:tcW w:w="454" w:type="pct"/>
                  <w:noWrap w:val="0"/>
                  <w:vAlign w:val="center"/>
                </w:tcPr>
                <w:p>
                  <w:pPr>
                    <w:adjustRightInd w:val="0"/>
                    <w:snapToGrid w:val="0"/>
                    <w:spacing w:line="260" w:lineRule="exact"/>
                    <w:jc w:val="center"/>
                    <w:textAlignment w:val="baseline"/>
                    <w:rPr>
                      <w:bCs/>
                      <w:color w:val="auto"/>
                      <w:kern w:val="11"/>
                      <w:szCs w:val="21"/>
                    </w:rPr>
                  </w:pPr>
                  <w:r>
                    <w:rPr>
                      <w:bCs/>
                      <w:color w:val="auto"/>
                      <w:kern w:val="11"/>
                      <w:szCs w:val="21"/>
                    </w:rPr>
                    <w:t>施工期</w:t>
                  </w:r>
                </w:p>
              </w:tc>
              <w:tc>
                <w:tcPr>
                  <w:tcW w:w="1965" w:type="pct"/>
                  <w:noWrap w:val="0"/>
                  <w:vAlign w:val="center"/>
                </w:tcPr>
                <w:p>
                  <w:pPr>
                    <w:adjustRightInd w:val="0"/>
                    <w:snapToGrid w:val="0"/>
                    <w:spacing w:line="260" w:lineRule="exact"/>
                    <w:jc w:val="center"/>
                    <w:textAlignment w:val="baseline"/>
                    <w:rPr>
                      <w:rFonts w:hint="eastAsia"/>
                      <w:bCs/>
                      <w:color w:val="auto"/>
                      <w:kern w:val="11"/>
                      <w:szCs w:val="21"/>
                    </w:rPr>
                  </w:pPr>
                  <w:r>
                    <w:rPr>
                      <w:color w:val="auto"/>
                      <w:kern w:val="11"/>
                      <w:szCs w:val="21"/>
                    </w:rPr>
                    <w:t>设置临时</w:t>
                  </w:r>
                  <w:r>
                    <w:rPr>
                      <w:rFonts w:hint="eastAsia"/>
                      <w:color w:val="auto"/>
                      <w:kern w:val="11"/>
                      <w:szCs w:val="21"/>
                    </w:rPr>
                    <w:t>隔油池、</w:t>
                  </w:r>
                  <w:r>
                    <w:rPr>
                      <w:color w:val="auto"/>
                      <w:kern w:val="11"/>
                      <w:szCs w:val="21"/>
                    </w:rPr>
                    <w:t>沉淀池</w:t>
                  </w:r>
                  <w:r>
                    <w:rPr>
                      <w:rFonts w:hint="eastAsia"/>
                      <w:color w:val="auto"/>
                      <w:kern w:val="11"/>
                      <w:szCs w:val="21"/>
                    </w:rPr>
                    <w:t>各1</w:t>
                  </w:r>
                  <w:r>
                    <w:rPr>
                      <w:color w:val="auto"/>
                      <w:kern w:val="11"/>
                      <w:szCs w:val="21"/>
                    </w:rPr>
                    <w:t>个</w:t>
                  </w:r>
                </w:p>
              </w:tc>
              <w:tc>
                <w:tcPr>
                  <w:tcW w:w="974" w:type="pct"/>
                  <w:noWrap w:val="0"/>
                  <w:vAlign w:val="center"/>
                </w:tcPr>
                <w:p>
                  <w:pPr>
                    <w:adjustRightInd w:val="0"/>
                    <w:snapToGrid w:val="0"/>
                    <w:spacing w:line="260" w:lineRule="exact"/>
                    <w:jc w:val="center"/>
                    <w:textAlignment w:val="baseline"/>
                    <w:rPr>
                      <w:bCs/>
                      <w:color w:val="auto"/>
                      <w:kern w:val="11"/>
                      <w:szCs w:val="21"/>
                    </w:rPr>
                  </w:pPr>
                  <w:r>
                    <w:rPr>
                      <w:rFonts w:hint="eastAsia"/>
                      <w:bCs/>
                      <w:color w:val="auto"/>
                      <w:kern w:val="11"/>
                      <w:szCs w:val="21"/>
                    </w:rPr>
                    <w:t>施工区域</w:t>
                  </w:r>
                </w:p>
              </w:tc>
              <w:tc>
                <w:tcPr>
                  <w:tcW w:w="779" w:type="pct"/>
                  <w:noWrap w:val="0"/>
                  <w:vAlign w:val="center"/>
                </w:tcPr>
                <w:p>
                  <w:pPr>
                    <w:adjustRightInd w:val="0"/>
                    <w:snapToGrid w:val="0"/>
                    <w:spacing w:line="260" w:lineRule="exact"/>
                    <w:jc w:val="center"/>
                    <w:textAlignment w:val="baseline"/>
                    <w:rPr>
                      <w:bCs/>
                      <w:color w:val="auto"/>
                      <w:kern w:val="11"/>
                      <w:szCs w:val="21"/>
                    </w:rPr>
                  </w:pPr>
                  <w:r>
                    <w:rPr>
                      <w:rFonts w:hint="eastAsia"/>
                      <w:bCs/>
                      <w:color w:val="auto"/>
                      <w:kern w:val="11"/>
                      <w:szCs w:val="21"/>
                      <w:lang w:val="en-US" w:eastAsia="zh-CN"/>
                    </w:rPr>
                    <w:t>3</w:t>
                  </w:r>
                  <w:r>
                    <w:rPr>
                      <w:rFonts w:hint="eastAsia"/>
                      <w:bCs/>
                      <w:color w:val="auto"/>
                      <w:kern w:val="1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24" w:type="pct"/>
                  <w:vMerge w:val="continue"/>
                  <w:noWrap w:val="0"/>
                  <w:vAlign w:val="center"/>
                </w:tcPr>
                <w:p>
                  <w:pPr>
                    <w:widowControl/>
                    <w:jc w:val="center"/>
                    <w:rPr>
                      <w:bCs/>
                      <w:color w:val="auto"/>
                      <w:kern w:val="11"/>
                      <w:szCs w:val="21"/>
                    </w:rPr>
                  </w:pPr>
                </w:p>
              </w:tc>
              <w:tc>
                <w:tcPr>
                  <w:tcW w:w="454" w:type="pct"/>
                  <w:noWrap w:val="0"/>
                  <w:vAlign w:val="center"/>
                </w:tcPr>
                <w:p>
                  <w:pPr>
                    <w:widowControl/>
                    <w:jc w:val="center"/>
                    <w:rPr>
                      <w:rFonts w:hint="eastAsia"/>
                      <w:bCs/>
                      <w:color w:val="auto"/>
                      <w:kern w:val="11"/>
                      <w:szCs w:val="21"/>
                    </w:rPr>
                  </w:pPr>
                  <w:r>
                    <w:rPr>
                      <w:rFonts w:hint="eastAsia"/>
                      <w:bCs/>
                      <w:color w:val="auto"/>
                      <w:kern w:val="11"/>
                      <w:szCs w:val="21"/>
                    </w:rPr>
                    <w:t>运营期</w:t>
                  </w:r>
                </w:p>
              </w:tc>
              <w:tc>
                <w:tcPr>
                  <w:tcW w:w="1965" w:type="pct"/>
                  <w:noWrap w:val="0"/>
                  <w:vAlign w:val="center"/>
                </w:tcPr>
                <w:p>
                  <w:pPr>
                    <w:adjustRightInd w:val="0"/>
                    <w:snapToGrid w:val="0"/>
                    <w:spacing w:line="260" w:lineRule="exact"/>
                    <w:jc w:val="center"/>
                    <w:textAlignment w:val="baseline"/>
                    <w:rPr>
                      <w:rFonts w:hint="eastAsia"/>
                      <w:color w:val="auto"/>
                      <w:kern w:val="11"/>
                      <w:szCs w:val="21"/>
                    </w:rPr>
                  </w:pPr>
                  <w:r>
                    <w:rPr>
                      <w:rFonts w:hint="eastAsia"/>
                      <w:color w:val="auto"/>
                      <w:kern w:val="11"/>
                      <w:szCs w:val="21"/>
                    </w:rPr>
                    <w:t>设置排水边沟、涵洞等</w:t>
                  </w:r>
                </w:p>
              </w:tc>
              <w:tc>
                <w:tcPr>
                  <w:tcW w:w="974" w:type="pct"/>
                  <w:noWrap w:val="0"/>
                  <w:vAlign w:val="center"/>
                </w:tcPr>
                <w:p>
                  <w:pPr>
                    <w:adjustRightInd w:val="0"/>
                    <w:snapToGrid w:val="0"/>
                    <w:spacing w:line="260" w:lineRule="exact"/>
                    <w:jc w:val="center"/>
                    <w:textAlignment w:val="baseline"/>
                    <w:rPr>
                      <w:rFonts w:hint="eastAsia"/>
                      <w:bCs/>
                      <w:color w:val="auto"/>
                      <w:kern w:val="11"/>
                      <w:szCs w:val="21"/>
                    </w:rPr>
                  </w:pPr>
                  <w:r>
                    <w:rPr>
                      <w:rFonts w:hint="eastAsia"/>
                      <w:bCs/>
                      <w:color w:val="auto"/>
                      <w:kern w:val="11"/>
                      <w:szCs w:val="21"/>
                    </w:rPr>
                    <w:t>道路全线</w:t>
                  </w:r>
                </w:p>
              </w:tc>
              <w:tc>
                <w:tcPr>
                  <w:tcW w:w="779" w:type="pct"/>
                  <w:noWrap w:val="0"/>
                  <w:vAlign w:val="center"/>
                </w:tcPr>
                <w:p>
                  <w:pPr>
                    <w:adjustRightInd w:val="0"/>
                    <w:snapToGrid w:val="0"/>
                    <w:spacing w:line="260" w:lineRule="exact"/>
                    <w:jc w:val="center"/>
                    <w:textAlignment w:val="baseline"/>
                    <w:rPr>
                      <w:bCs/>
                      <w:color w:val="auto"/>
                      <w:kern w:val="11"/>
                      <w:szCs w:val="21"/>
                    </w:rPr>
                  </w:pPr>
                  <w:r>
                    <w:rPr>
                      <w:rFonts w:hint="eastAsia"/>
                      <w:bCs/>
                      <w:color w:val="auto"/>
                      <w:kern w:val="11"/>
                      <w:szCs w:val="21"/>
                    </w:rPr>
                    <w:t>纳入工程投资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24" w:type="pct"/>
                  <w:vMerge w:val="restart"/>
                  <w:noWrap w:val="0"/>
                  <w:vAlign w:val="center"/>
                </w:tcPr>
                <w:p>
                  <w:pPr>
                    <w:adjustRightInd w:val="0"/>
                    <w:snapToGrid w:val="0"/>
                    <w:spacing w:line="260" w:lineRule="exact"/>
                    <w:jc w:val="center"/>
                    <w:textAlignment w:val="baseline"/>
                    <w:rPr>
                      <w:bCs/>
                      <w:color w:val="auto"/>
                      <w:kern w:val="11"/>
                      <w:szCs w:val="21"/>
                    </w:rPr>
                  </w:pPr>
                  <w:r>
                    <w:rPr>
                      <w:bCs/>
                      <w:color w:val="auto"/>
                      <w:kern w:val="11"/>
                      <w:szCs w:val="21"/>
                    </w:rPr>
                    <w:t>噪声污染防治</w:t>
                  </w:r>
                </w:p>
              </w:tc>
              <w:tc>
                <w:tcPr>
                  <w:tcW w:w="454" w:type="pct"/>
                  <w:noWrap w:val="0"/>
                  <w:vAlign w:val="center"/>
                </w:tcPr>
                <w:p>
                  <w:pPr>
                    <w:adjustRightInd w:val="0"/>
                    <w:snapToGrid w:val="0"/>
                    <w:spacing w:line="260" w:lineRule="exact"/>
                    <w:jc w:val="center"/>
                    <w:textAlignment w:val="baseline"/>
                    <w:rPr>
                      <w:bCs/>
                      <w:color w:val="auto"/>
                      <w:kern w:val="11"/>
                      <w:szCs w:val="21"/>
                    </w:rPr>
                  </w:pPr>
                  <w:r>
                    <w:rPr>
                      <w:bCs/>
                      <w:color w:val="auto"/>
                      <w:kern w:val="11"/>
                      <w:szCs w:val="21"/>
                    </w:rPr>
                    <w:t>施工期</w:t>
                  </w:r>
                </w:p>
              </w:tc>
              <w:tc>
                <w:tcPr>
                  <w:tcW w:w="1965" w:type="pct"/>
                  <w:noWrap w:val="0"/>
                  <w:vAlign w:val="center"/>
                </w:tcPr>
                <w:p>
                  <w:pPr>
                    <w:adjustRightInd w:val="0"/>
                    <w:snapToGrid w:val="0"/>
                    <w:spacing w:line="260" w:lineRule="exact"/>
                    <w:jc w:val="center"/>
                    <w:textAlignment w:val="baseline"/>
                    <w:rPr>
                      <w:bCs/>
                      <w:color w:val="auto"/>
                      <w:kern w:val="11"/>
                      <w:szCs w:val="21"/>
                    </w:rPr>
                  </w:pPr>
                  <w:r>
                    <w:rPr>
                      <w:bCs/>
                      <w:color w:val="auto"/>
                      <w:kern w:val="11"/>
                      <w:szCs w:val="21"/>
                    </w:rPr>
                    <w:t>采用低噪声设备、</w:t>
                  </w:r>
                  <w:r>
                    <w:rPr>
                      <w:color w:val="auto"/>
                      <w:kern w:val="11"/>
                      <w:szCs w:val="21"/>
                    </w:rPr>
                    <w:t>施工区域</w:t>
                  </w:r>
                  <w:r>
                    <w:rPr>
                      <w:rFonts w:hint="eastAsia"/>
                      <w:color w:val="auto"/>
                      <w:kern w:val="11"/>
                      <w:szCs w:val="21"/>
                    </w:rPr>
                    <w:t>临时</w:t>
                  </w:r>
                  <w:r>
                    <w:rPr>
                      <w:color w:val="auto"/>
                      <w:kern w:val="11"/>
                      <w:szCs w:val="21"/>
                    </w:rPr>
                    <w:t>围挡、</w:t>
                  </w:r>
                  <w:r>
                    <w:rPr>
                      <w:bCs/>
                      <w:color w:val="auto"/>
                      <w:kern w:val="11"/>
                      <w:szCs w:val="21"/>
                    </w:rPr>
                    <w:t>产噪设备基础防振减振，远期监测等</w:t>
                  </w:r>
                </w:p>
              </w:tc>
              <w:tc>
                <w:tcPr>
                  <w:tcW w:w="974" w:type="pct"/>
                  <w:noWrap w:val="0"/>
                  <w:vAlign w:val="center"/>
                </w:tcPr>
                <w:p>
                  <w:pPr>
                    <w:adjustRightInd w:val="0"/>
                    <w:snapToGrid w:val="0"/>
                    <w:spacing w:line="260" w:lineRule="exact"/>
                    <w:jc w:val="center"/>
                    <w:textAlignment w:val="baseline"/>
                    <w:rPr>
                      <w:bCs/>
                      <w:color w:val="auto"/>
                      <w:kern w:val="11"/>
                      <w:szCs w:val="21"/>
                    </w:rPr>
                  </w:pPr>
                  <w:r>
                    <w:rPr>
                      <w:bCs/>
                      <w:color w:val="auto"/>
                      <w:kern w:val="11"/>
                      <w:szCs w:val="21"/>
                    </w:rPr>
                    <w:t>施工区域</w:t>
                  </w:r>
                </w:p>
              </w:tc>
              <w:tc>
                <w:tcPr>
                  <w:tcW w:w="779" w:type="pct"/>
                  <w:noWrap w:val="0"/>
                  <w:vAlign w:val="center"/>
                </w:tcPr>
                <w:p>
                  <w:pPr>
                    <w:adjustRightInd w:val="0"/>
                    <w:snapToGrid w:val="0"/>
                    <w:spacing w:line="260" w:lineRule="exact"/>
                    <w:jc w:val="center"/>
                    <w:textAlignment w:val="baseline"/>
                    <w:rPr>
                      <w:bCs/>
                      <w:color w:val="auto"/>
                      <w:kern w:val="11"/>
                      <w:szCs w:val="21"/>
                    </w:rPr>
                  </w:pPr>
                  <w:r>
                    <w:rPr>
                      <w:bCs/>
                      <w:color w:val="auto"/>
                      <w:kern w:val="11"/>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24" w:type="pct"/>
                  <w:vMerge w:val="continue"/>
                  <w:noWrap w:val="0"/>
                  <w:vAlign w:val="center"/>
                </w:tcPr>
                <w:p>
                  <w:pPr>
                    <w:widowControl/>
                    <w:jc w:val="center"/>
                    <w:rPr>
                      <w:bCs/>
                      <w:color w:val="auto"/>
                      <w:kern w:val="11"/>
                      <w:szCs w:val="21"/>
                    </w:rPr>
                  </w:pPr>
                </w:p>
              </w:tc>
              <w:tc>
                <w:tcPr>
                  <w:tcW w:w="454" w:type="pct"/>
                  <w:noWrap w:val="0"/>
                  <w:vAlign w:val="center"/>
                </w:tcPr>
                <w:p>
                  <w:pPr>
                    <w:adjustRightInd w:val="0"/>
                    <w:snapToGrid w:val="0"/>
                    <w:spacing w:line="260" w:lineRule="exact"/>
                    <w:jc w:val="center"/>
                    <w:textAlignment w:val="baseline"/>
                    <w:rPr>
                      <w:bCs/>
                      <w:color w:val="auto"/>
                      <w:kern w:val="11"/>
                      <w:szCs w:val="21"/>
                    </w:rPr>
                  </w:pPr>
                  <w:r>
                    <w:rPr>
                      <w:bCs/>
                      <w:color w:val="auto"/>
                      <w:kern w:val="11"/>
                      <w:szCs w:val="21"/>
                    </w:rPr>
                    <w:t>运营期</w:t>
                  </w:r>
                </w:p>
              </w:tc>
              <w:tc>
                <w:tcPr>
                  <w:tcW w:w="1965" w:type="pct"/>
                  <w:noWrap w:val="0"/>
                  <w:vAlign w:val="center"/>
                </w:tcPr>
                <w:p>
                  <w:pPr>
                    <w:adjustRightInd w:val="0"/>
                    <w:snapToGrid w:val="0"/>
                    <w:spacing w:line="260" w:lineRule="exact"/>
                    <w:jc w:val="center"/>
                    <w:textAlignment w:val="baseline"/>
                    <w:rPr>
                      <w:bCs/>
                      <w:color w:val="auto"/>
                      <w:kern w:val="11"/>
                      <w:szCs w:val="21"/>
                    </w:rPr>
                  </w:pPr>
                  <w:r>
                    <w:rPr>
                      <w:bCs/>
                      <w:color w:val="auto"/>
                      <w:kern w:val="11"/>
                      <w:szCs w:val="21"/>
                    </w:rPr>
                    <w:t>居民点路段设置减速禁鸣标志牌等</w:t>
                  </w:r>
                </w:p>
              </w:tc>
              <w:tc>
                <w:tcPr>
                  <w:tcW w:w="974" w:type="pct"/>
                  <w:noWrap w:val="0"/>
                  <w:vAlign w:val="center"/>
                </w:tcPr>
                <w:p>
                  <w:pPr>
                    <w:adjustRightInd w:val="0"/>
                    <w:snapToGrid w:val="0"/>
                    <w:spacing w:line="260" w:lineRule="exact"/>
                    <w:jc w:val="center"/>
                    <w:textAlignment w:val="baseline"/>
                    <w:rPr>
                      <w:bCs/>
                      <w:color w:val="auto"/>
                      <w:kern w:val="11"/>
                      <w:szCs w:val="21"/>
                    </w:rPr>
                  </w:pPr>
                  <w:r>
                    <w:rPr>
                      <w:bCs/>
                      <w:color w:val="auto"/>
                      <w:kern w:val="11"/>
                      <w:szCs w:val="21"/>
                    </w:rPr>
                    <w:t>居民敏感点</w:t>
                  </w:r>
                </w:p>
              </w:tc>
              <w:tc>
                <w:tcPr>
                  <w:tcW w:w="779" w:type="pct"/>
                  <w:noWrap w:val="0"/>
                  <w:vAlign w:val="center"/>
                </w:tcPr>
                <w:p>
                  <w:pPr>
                    <w:adjustRightInd w:val="0"/>
                    <w:snapToGrid w:val="0"/>
                    <w:spacing w:line="260" w:lineRule="exact"/>
                    <w:jc w:val="center"/>
                    <w:textAlignment w:val="baseline"/>
                    <w:rPr>
                      <w:bCs/>
                      <w:color w:val="auto"/>
                      <w:kern w:val="11"/>
                      <w:szCs w:val="21"/>
                    </w:rPr>
                  </w:pPr>
                  <w:r>
                    <w:rPr>
                      <w:bCs/>
                      <w:color w:val="auto"/>
                      <w:kern w:val="11"/>
                      <w:szCs w:val="21"/>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24" w:type="pct"/>
                  <w:vMerge w:val="restart"/>
                  <w:noWrap w:val="0"/>
                  <w:vAlign w:val="center"/>
                </w:tcPr>
                <w:p>
                  <w:pPr>
                    <w:adjustRightInd w:val="0"/>
                    <w:snapToGrid w:val="0"/>
                    <w:spacing w:line="260" w:lineRule="exact"/>
                    <w:jc w:val="center"/>
                    <w:textAlignment w:val="baseline"/>
                    <w:rPr>
                      <w:color w:val="auto"/>
                      <w:kern w:val="11"/>
                      <w:szCs w:val="21"/>
                    </w:rPr>
                  </w:pPr>
                  <w:r>
                    <w:rPr>
                      <w:color w:val="auto"/>
                      <w:kern w:val="11"/>
                      <w:szCs w:val="21"/>
                    </w:rPr>
                    <w:t>环境空气污染防治</w:t>
                  </w:r>
                </w:p>
              </w:tc>
              <w:tc>
                <w:tcPr>
                  <w:tcW w:w="454" w:type="pct"/>
                  <w:vMerge w:val="restart"/>
                  <w:noWrap w:val="0"/>
                  <w:vAlign w:val="center"/>
                </w:tcPr>
                <w:p>
                  <w:pPr>
                    <w:adjustRightInd w:val="0"/>
                    <w:snapToGrid w:val="0"/>
                    <w:spacing w:line="260" w:lineRule="exact"/>
                    <w:jc w:val="center"/>
                    <w:textAlignment w:val="baseline"/>
                    <w:rPr>
                      <w:color w:val="auto"/>
                      <w:kern w:val="11"/>
                      <w:szCs w:val="21"/>
                    </w:rPr>
                  </w:pPr>
                  <w:r>
                    <w:rPr>
                      <w:color w:val="auto"/>
                      <w:kern w:val="11"/>
                      <w:szCs w:val="21"/>
                    </w:rPr>
                    <w:t>施工期</w:t>
                  </w:r>
                </w:p>
              </w:tc>
              <w:tc>
                <w:tcPr>
                  <w:tcW w:w="1965" w:type="pct"/>
                  <w:noWrap w:val="0"/>
                  <w:vAlign w:val="center"/>
                </w:tcPr>
                <w:p>
                  <w:pPr>
                    <w:adjustRightInd w:val="0"/>
                    <w:snapToGrid w:val="0"/>
                    <w:spacing w:line="260" w:lineRule="exact"/>
                    <w:jc w:val="center"/>
                    <w:textAlignment w:val="baseline"/>
                    <w:rPr>
                      <w:color w:val="auto"/>
                      <w:kern w:val="11"/>
                      <w:szCs w:val="21"/>
                    </w:rPr>
                  </w:pPr>
                  <w:r>
                    <w:rPr>
                      <w:color w:val="auto"/>
                      <w:kern w:val="11"/>
                      <w:szCs w:val="21"/>
                    </w:rPr>
                    <w:t>施工场地洒水抑尘</w:t>
                  </w:r>
                </w:p>
              </w:tc>
              <w:tc>
                <w:tcPr>
                  <w:tcW w:w="974" w:type="pct"/>
                  <w:noWrap w:val="0"/>
                  <w:vAlign w:val="center"/>
                </w:tcPr>
                <w:p>
                  <w:pPr>
                    <w:adjustRightInd w:val="0"/>
                    <w:snapToGrid w:val="0"/>
                    <w:spacing w:line="260" w:lineRule="exact"/>
                    <w:jc w:val="center"/>
                    <w:textAlignment w:val="baseline"/>
                    <w:rPr>
                      <w:rFonts w:hint="eastAsia"/>
                      <w:color w:val="auto"/>
                      <w:kern w:val="11"/>
                      <w:szCs w:val="21"/>
                    </w:rPr>
                  </w:pPr>
                  <w:r>
                    <w:rPr>
                      <w:color w:val="auto"/>
                      <w:kern w:val="11"/>
                      <w:szCs w:val="21"/>
                    </w:rPr>
                    <w:t>施工</w:t>
                  </w:r>
                  <w:r>
                    <w:rPr>
                      <w:rFonts w:hint="eastAsia"/>
                      <w:color w:val="auto"/>
                      <w:kern w:val="11"/>
                      <w:szCs w:val="21"/>
                    </w:rPr>
                    <w:t>区域</w:t>
                  </w:r>
                </w:p>
              </w:tc>
              <w:tc>
                <w:tcPr>
                  <w:tcW w:w="779" w:type="pct"/>
                  <w:noWrap w:val="0"/>
                  <w:vAlign w:val="center"/>
                </w:tcPr>
                <w:p>
                  <w:pPr>
                    <w:adjustRightInd w:val="0"/>
                    <w:snapToGrid w:val="0"/>
                    <w:spacing w:line="260" w:lineRule="exact"/>
                    <w:jc w:val="center"/>
                    <w:textAlignment w:val="baseline"/>
                    <w:rPr>
                      <w:color w:val="auto"/>
                      <w:kern w:val="11"/>
                      <w:szCs w:val="21"/>
                    </w:rPr>
                  </w:pPr>
                  <w:r>
                    <w:rPr>
                      <w:rFonts w:hint="eastAsia"/>
                      <w:color w:val="auto"/>
                      <w:kern w:val="11"/>
                      <w:szCs w:val="21"/>
                      <w:lang w:val="en-US" w:eastAsia="zh-CN"/>
                    </w:rPr>
                    <w:t>2</w:t>
                  </w:r>
                  <w:r>
                    <w:rPr>
                      <w:color w:val="auto"/>
                      <w:kern w:val="1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24" w:type="pct"/>
                  <w:vMerge w:val="continue"/>
                  <w:noWrap w:val="0"/>
                  <w:vAlign w:val="center"/>
                </w:tcPr>
                <w:p>
                  <w:pPr>
                    <w:widowControl/>
                    <w:jc w:val="center"/>
                    <w:rPr>
                      <w:color w:val="auto"/>
                      <w:kern w:val="11"/>
                      <w:szCs w:val="21"/>
                    </w:rPr>
                  </w:pPr>
                </w:p>
              </w:tc>
              <w:tc>
                <w:tcPr>
                  <w:tcW w:w="454" w:type="pct"/>
                  <w:vMerge w:val="continue"/>
                  <w:noWrap w:val="0"/>
                  <w:vAlign w:val="center"/>
                </w:tcPr>
                <w:p>
                  <w:pPr>
                    <w:widowControl/>
                    <w:jc w:val="center"/>
                    <w:rPr>
                      <w:color w:val="auto"/>
                      <w:kern w:val="11"/>
                      <w:szCs w:val="21"/>
                    </w:rPr>
                  </w:pPr>
                </w:p>
              </w:tc>
              <w:tc>
                <w:tcPr>
                  <w:tcW w:w="1965" w:type="pct"/>
                  <w:noWrap w:val="0"/>
                  <w:vAlign w:val="center"/>
                </w:tcPr>
                <w:p>
                  <w:pPr>
                    <w:adjustRightInd w:val="0"/>
                    <w:snapToGrid w:val="0"/>
                    <w:spacing w:line="260" w:lineRule="exact"/>
                    <w:jc w:val="center"/>
                    <w:textAlignment w:val="baseline"/>
                    <w:rPr>
                      <w:rFonts w:hint="eastAsia"/>
                      <w:color w:val="auto"/>
                      <w:kern w:val="11"/>
                      <w:szCs w:val="21"/>
                    </w:rPr>
                  </w:pPr>
                  <w:r>
                    <w:rPr>
                      <w:color w:val="auto"/>
                      <w:kern w:val="11"/>
                      <w:szCs w:val="21"/>
                    </w:rPr>
                    <w:t>建筑材料覆盖抑尘</w:t>
                  </w:r>
                  <w:r>
                    <w:rPr>
                      <w:rFonts w:hint="eastAsia"/>
                      <w:color w:val="auto"/>
                      <w:kern w:val="11"/>
                      <w:szCs w:val="21"/>
                    </w:rPr>
                    <w:t>网</w:t>
                  </w:r>
                </w:p>
              </w:tc>
              <w:tc>
                <w:tcPr>
                  <w:tcW w:w="974" w:type="pct"/>
                  <w:noWrap w:val="0"/>
                  <w:vAlign w:val="center"/>
                </w:tcPr>
                <w:p>
                  <w:pPr>
                    <w:adjustRightInd w:val="0"/>
                    <w:snapToGrid w:val="0"/>
                    <w:spacing w:line="260" w:lineRule="exact"/>
                    <w:jc w:val="center"/>
                    <w:textAlignment w:val="baseline"/>
                    <w:rPr>
                      <w:color w:val="auto"/>
                      <w:kern w:val="11"/>
                      <w:szCs w:val="21"/>
                    </w:rPr>
                  </w:pPr>
                  <w:r>
                    <w:rPr>
                      <w:color w:val="auto"/>
                      <w:kern w:val="11"/>
                      <w:szCs w:val="21"/>
                    </w:rPr>
                    <w:t>建筑材料堆</w:t>
                  </w:r>
                  <w:r>
                    <w:rPr>
                      <w:rFonts w:hint="eastAsia"/>
                      <w:color w:val="auto"/>
                      <w:kern w:val="11"/>
                      <w:szCs w:val="21"/>
                    </w:rPr>
                    <w:t>存区</w:t>
                  </w:r>
                </w:p>
              </w:tc>
              <w:tc>
                <w:tcPr>
                  <w:tcW w:w="779" w:type="pct"/>
                  <w:noWrap w:val="0"/>
                  <w:vAlign w:val="center"/>
                </w:tcPr>
                <w:p>
                  <w:pPr>
                    <w:adjustRightInd w:val="0"/>
                    <w:snapToGrid w:val="0"/>
                    <w:spacing w:line="260" w:lineRule="exact"/>
                    <w:jc w:val="center"/>
                    <w:textAlignment w:val="baseline"/>
                    <w:rPr>
                      <w:color w:val="auto"/>
                      <w:kern w:val="11"/>
                      <w:szCs w:val="21"/>
                    </w:rPr>
                  </w:pPr>
                  <w:r>
                    <w:rPr>
                      <w:color w:val="auto"/>
                      <w:kern w:val="1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24" w:type="pct"/>
                  <w:vMerge w:val="continue"/>
                  <w:noWrap w:val="0"/>
                  <w:vAlign w:val="center"/>
                </w:tcPr>
                <w:p>
                  <w:pPr>
                    <w:widowControl/>
                    <w:jc w:val="center"/>
                    <w:rPr>
                      <w:color w:val="auto"/>
                      <w:kern w:val="11"/>
                      <w:szCs w:val="21"/>
                    </w:rPr>
                  </w:pPr>
                </w:p>
              </w:tc>
              <w:tc>
                <w:tcPr>
                  <w:tcW w:w="454" w:type="pct"/>
                  <w:vMerge w:val="continue"/>
                  <w:noWrap w:val="0"/>
                  <w:vAlign w:val="center"/>
                </w:tcPr>
                <w:p>
                  <w:pPr>
                    <w:widowControl/>
                    <w:jc w:val="center"/>
                    <w:rPr>
                      <w:color w:val="auto"/>
                      <w:kern w:val="11"/>
                      <w:szCs w:val="21"/>
                    </w:rPr>
                  </w:pPr>
                </w:p>
              </w:tc>
              <w:tc>
                <w:tcPr>
                  <w:tcW w:w="1965" w:type="pct"/>
                  <w:noWrap w:val="0"/>
                  <w:vAlign w:val="center"/>
                </w:tcPr>
                <w:p>
                  <w:pPr>
                    <w:adjustRightInd w:val="0"/>
                    <w:snapToGrid w:val="0"/>
                    <w:spacing w:line="260" w:lineRule="exact"/>
                    <w:jc w:val="center"/>
                    <w:textAlignment w:val="baseline"/>
                    <w:rPr>
                      <w:color w:val="auto"/>
                      <w:kern w:val="11"/>
                      <w:szCs w:val="21"/>
                    </w:rPr>
                  </w:pPr>
                  <w:r>
                    <w:rPr>
                      <w:color w:val="auto"/>
                      <w:kern w:val="11"/>
                      <w:szCs w:val="21"/>
                    </w:rPr>
                    <w:t>临时堆土苫盖</w:t>
                  </w:r>
                </w:p>
              </w:tc>
              <w:tc>
                <w:tcPr>
                  <w:tcW w:w="974" w:type="pct"/>
                  <w:noWrap w:val="0"/>
                  <w:vAlign w:val="center"/>
                </w:tcPr>
                <w:p>
                  <w:pPr>
                    <w:adjustRightInd w:val="0"/>
                    <w:snapToGrid w:val="0"/>
                    <w:spacing w:line="260" w:lineRule="exact"/>
                    <w:jc w:val="center"/>
                    <w:textAlignment w:val="baseline"/>
                    <w:rPr>
                      <w:color w:val="auto"/>
                      <w:kern w:val="11"/>
                      <w:szCs w:val="21"/>
                    </w:rPr>
                  </w:pPr>
                  <w:r>
                    <w:rPr>
                      <w:color w:val="auto"/>
                      <w:kern w:val="11"/>
                      <w:szCs w:val="21"/>
                    </w:rPr>
                    <w:t>施工区域</w:t>
                  </w:r>
                </w:p>
              </w:tc>
              <w:tc>
                <w:tcPr>
                  <w:tcW w:w="779" w:type="pct"/>
                  <w:noWrap w:val="0"/>
                  <w:vAlign w:val="center"/>
                </w:tcPr>
                <w:p>
                  <w:pPr>
                    <w:jc w:val="center"/>
                    <w:rPr>
                      <w:color w:val="auto"/>
                      <w:kern w:val="11"/>
                      <w:szCs w:val="21"/>
                    </w:rPr>
                  </w:pPr>
                  <w:r>
                    <w:rPr>
                      <w:color w:val="auto"/>
                      <w:kern w:val="1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24" w:type="pct"/>
                  <w:vMerge w:val="continue"/>
                  <w:noWrap w:val="0"/>
                  <w:vAlign w:val="center"/>
                </w:tcPr>
                <w:p>
                  <w:pPr>
                    <w:widowControl/>
                    <w:jc w:val="center"/>
                    <w:rPr>
                      <w:color w:val="auto"/>
                      <w:kern w:val="11"/>
                      <w:szCs w:val="21"/>
                    </w:rPr>
                  </w:pPr>
                </w:p>
              </w:tc>
              <w:tc>
                <w:tcPr>
                  <w:tcW w:w="454" w:type="pct"/>
                  <w:vMerge w:val="continue"/>
                  <w:noWrap w:val="0"/>
                  <w:vAlign w:val="center"/>
                </w:tcPr>
                <w:p>
                  <w:pPr>
                    <w:widowControl/>
                    <w:jc w:val="center"/>
                    <w:rPr>
                      <w:color w:val="auto"/>
                      <w:kern w:val="11"/>
                      <w:szCs w:val="21"/>
                    </w:rPr>
                  </w:pPr>
                </w:p>
              </w:tc>
              <w:tc>
                <w:tcPr>
                  <w:tcW w:w="1965" w:type="pct"/>
                  <w:noWrap w:val="0"/>
                  <w:vAlign w:val="center"/>
                </w:tcPr>
                <w:p>
                  <w:pPr>
                    <w:adjustRightInd w:val="0"/>
                    <w:snapToGrid w:val="0"/>
                    <w:spacing w:line="260" w:lineRule="exact"/>
                    <w:jc w:val="center"/>
                    <w:textAlignment w:val="baseline"/>
                    <w:rPr>
                      <w:color w:val="auto"/>
                      <w:kern w:val="11"/>
                      <w:szCs w:val="21"/>
                    </w:rPr>
                  </w:pPr>
                  <w:r>
                    <w:rPr>
                      <w:color w:val="auto"/>
                      <w:kern w:val="11"/>
                      <w:szCs w:val="21"/>
                    </w:rPr>
                    <w:t>车辆篷布遮盖</w:t>
                  </w:r>
                </w:p>
              </w:tc>
              <w:tc>
                <w:tcPr>
                  <w:tcW w:w="974" w:type="pct"/>
                  <w:noWrap w:val="0"/>
                  <w:vAlign w:val="center"/>
                </w:tcPr>
                <w:p>
                  <w:pPr>
                    <w:jc w:val="center"/>
                    <w:rPr>
                      <w:color w:val="auto"/>
                      <w:kern w:val="11"/>
                      <w:szCs w:val="21"/>
                    </w:rPr>
                  </w:pPr>
                  <w:r>
                    <w:rPr>
                      <w:color w:val="auto"/>
                      <w:kern w:val="11"/>
                      <w:szCs w:val="21"/>
                    </w:rPr>
                    <w:t>施工车辆</w:t>
                  </w:r>
                </w:p>
              </w:tc>
              <w:tc>
                <w:tcPr>
                  <w:tcW w:w="779" w:type="pct"/>
                  <w:noWrap w:val="0"/>
                  <w:vAlign w:val="center"/>
                </w:tcPr>
                <w:p>
                  <w:pPr>
                    <w:adjustRightInd w:val="0"/>
                    <w:snapToGrid w:val="0"/>
                    <w:spacing w:line="260" w:lineRule="exact"/>
                    <w:jc w:val="center"/>
                    <w:textAlignment w:val="baseline"/>
                    <w:rPr>
                      <w:color w:val="auto"/>
                      <w:kern w:val="11"/>
                      <w:szCs w:val="21"/>
                    </w:rPr>
                  </w:pPr>
                  <w:r>
                    <w:rPr>
                      <w:color w:val="auto"/>
                      <w:kern w:val="11"/>
                      <w:szCs w:val="21"/>
                    </w:rPr>
                    <w:t>1.</w:t>
                  </w:r>
                  <w:r>
                    <w:rPr>
                      <w:rFonts w:hint="eastAsia"/>
                      <w:color w:val="auto"/>
                      <w:kern w:val="1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24" w:type="pct"/>
                  <w:vMerge w:val="continue"/>
                  <w:noWrap w:val="0"/>
                  <w:vAlign w:val="center"/>
                </w:tcPr>
                <w:p>
                  <w:pPr>
                    <w:widowControl/>
                    <w:jc w:val="center"/>
                    <w:rPr>
                      <w:color w:val="auto"/>
                      <w:kern w:val="11"/>
                      <w:szCs w:val="21"/>
                    </w:rPr>
                  </w:pPr>
                </w:p>
              </w:tc>
              <w:tc>
                <w:tcPr>
                  <w:tcW w:w="454" w:type="pct"/>
                  <w:vMerge w:val="restart"/>
                  <w:noWrap w:val="0"/>
                  <w:vAlign w:val="center"/>
                </w:tcPr>
                <w:p>
                  <w:pPr>
                    <w:widowControl/>
                    <w:jc w:val="center"/>
                    <w:rPr>
                      <w:rFonts w:hint="eastAsia"/>
                      <w:color w:val="auto"/>
                      <w:kern w:val="11"/>
                      <w:szCs w:val="21"/>
                    </w:rPr>
                  </w:pPr>
                  <w:r>
                    <w:rPr>
                      <w:rFonts w:hint="eastAsia"/>
                      <w:color w:val="auto"/>
                      <w:kern w:val="11"/>
                      <w:szCs w:val="21"/>
                    </w:rPr>
                    <w:t>运营期</w:t>
                  </w:r>
                </w:p>
              </w:tc>
              <w:tc>
                <w:tcPr>
                  <w:tcW w:w="1965" w:type="pct"/>
                  <w:noWrap w:val="0"/>
                  <w:vAlign w:val="center"/>
                </w:tcPr>
                <w:p>
                  <w:pPr>
                    <w:adjustRightInd w:val="0"/>
                    <w:snapToGrid w:val="0"/>
                    <w:spacing w:line="260" w:lineRule="exact"/>
                    <w:jc w:val="center"/>
                    <w:textAlignment w:val="baseline"/>
                    <w:rPr>
                      <w:rFonts w:hint="eastAsia"/>
                      <w:color w:val="auto"/>
                      <w:kern w:val="11"/>
                      <w:szCs w:val="21"/>
                    </w:rPr>
                  </w:pPr>
                  <w:r>
                    <w:rPr>
                      <w:rFonts w:hint="eastAsia"/>
                      <w:color w:val="auto"/>
                      <w:kern w:val="11"/>
                      <w:szCs w:val="21"/>
                    </w:rPr>
                    <w:t>设置限速、严禁超载标识牌</w:t>
                  </w:r>
                </w:p>
              </w:tc>
              <w:tc>
                <w:tcPr>
                  <w:tcW w:w="974" w:type="pct"/>
                  <w:vMerge w:val="restart"/>
                  <w:noWrap w:val="0"/>
                  <w:vAlign w:val="center"/>
                </w:tcPr>
                <w:p>
                  <w:pPr>
                    <w:jc w:val="center"/>
                    <w:rPr>
                      <w:rFonts w:hint="eastAsia"/>
                      <w:color w:val="auto"/>
                      <w:kern w:val="11"/>
                      <w:szCs w:val="21"/>
                    </w:rPr>
                  </w:pPr>
                  <w:r>
                    <w:rPr>
                      <w:rFonts w:hint="eastAsia"/>
                      <w:color w:val="auto"/>
                      <w:kern w:val="11"/>
                      <w:szCs w:val="21"/>
                    </w:rPr>
                    <w:t>道路全线</w:t>
                  </w:r>
                </w:p>
              </w:tc>
              <w:tc>
                <w:tcPr>
                  <w:tcW w:w="779" w:type="pct"/>
                  <w:noWrap w:val="0"/>
                  <w:vAlign w:val="center"/>
                </w:tcPr>
                <w:p>
                  <w:pPr>
                    <w:adjustRightInd w:val="0"/>
                    <w:snapToGrid w:val="0"/>
                    <w:spacing w:line="260" w:lineRule="exact"/>
                    <w:jc w:val="center"/>
                    <w:textAlignment w:val="baseline"/>
                    <w:rPr>
                      <w:color w:val="auto"/>
                      <w:kern w:val="11"/>
                      <w:szCs w:val="21"/>
                    </w:rPr>
                  </w:pPr>
                  <w:r>
                    <w:rPr>
                      <w:rFonts w:hint="eastAsia"/>
                      <w:color w:val="auto"/>
                      <w:kern w:val="11"/>
                      <w:szCs w:val="21"/>
                    </w:rPr>
                    <w:t>纳入工程投资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24" w:type="pct"/>
                  <w:vMerge w:val="continue"/>
                  <w:noWrap w:val="0"/>
                  <w:vAlign w:val="center"/>
                </w:tcPr>
                <w:p>
                  <w:pPr>
                    <w:widowControl/>
                    <w:jc w:val="center"/>
                    <w:rPr>
                      <w:color w:val="auto"/>
                      <w:kern w:val="11"/>
                      <w:szCs w:val="21"/>
                    </w:rPr>
                  </w:pPr>
                </w:p>
              </w:tc>
              <w:tc>
                <w:tcPr>
                  <w:tcW w:w="454" w:type="pct"/>
                  <w:vMerge w:val="continue"/>
                  <w:noWrap w:val="0"/>
                  <w:vAlign w:val="center"/>
                </w:tcPr>
                <w:p>
                  <w:pPr>
                    <w:widowControl/>
                    <w:jc w:val="center"/>
                    <w:rPr>
                      <w:rFonts w:hint="eastAsia"/>
                      <w:color w:val="auto"/>
                      <w:kern w:val="11"/>
                      <w:szCs w:val="21"/>
                    </w:rPr>
                  </w:pPr>
                </w:p>
              </w:tc>
              <w:tc>
                <w:tcPr>
                  <w:tcW w:w="1965" w:type="pct"/>
                  <w:noWrap w:val="0"/>
                  <w:vAlign w:val="center"/>
                </w:tcPr>
                <w:p>
                  <w:pPr>
                    <w:adjustRightInd w:val="0"/>
                    <w:snapToGrid w:val="0"/>
                    <w:spacing w:line="260" w:lineRule="exact"/>
                    <w:jc w:val="center"/>
                    <w:textAlignment w:val="baseline"/>
                    <w:rPr>
                      <w:rFonts w:hint="eastAsia"/>
                      <w:color w:val="auto"/>
                      <w:kern w:val="11"/>
                      <w:szCs w:val="21"/>
                    </w:rPr>
                  </w:pPr>
                  <w:r>
                    <w:rPr>
                      <w:rFonts w:hint="eastAsia"/>
                      <w:color w:val="auto"/>
                      <w:kern w:val="11"/>
                      <w:szCs w:val="21"/>
                    </w:rPr>
                    <w:t>路面及时清扫</w:t>
                  </w:r>
                </w:p>
              </w:tc>
              <w:tc>
                <w:tcPr>
                  <w:tcW w:w="974" w:type="pct"/>
                  <w:vMerge w:val="continue"/>
                  <w:noWrap w:val="0"/>
                  <w:vAlign w:val="center"/>
                </w:tcPr>
                <w:p>
                  <w:pPr>
                    <w:jc w:val="center"/>
                    <w:rPr>
                      <w:color w:val="auto"/>
                      <w:kern w:val="11"/>
                      <w:szCs w:val="21"/>
                    </w:rPr>
                  </w:pPr>
                </w:p>
              </w:tc>
              <w:tc>
                <w:tcPr>
                  <w:tcW w:w="779" w:type="pct"/>
                  <w:noWrap w:val="0"/>
                  <w:vAlign w:val="center"/>
                </w:tcPr>
                <w:p>
                  <w:pPr>
                    <w:adjustRightInd w:val="0"/>
                    <w:snapToGrid w:val="0"/>
                    <w:spacing w:line="260" w:lineRule="exact"/>
                    <w:jc w:val="center"/>
                    <w:textAlignment w:val="baseline"/>
                    <w:rPr>
                      <w:color w:val="auto"/>
                      <w:kern w:val="11"/>
                      <w:szCs w:val="21"/>
                    </w:rPr>
                  </w:pPr>
                  <w:r>
                    <w:rPr>
                      <w:color w:val="auto"/>
                      <w:kern w:val="11"/>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24" w:type="pct"/>
                  <w:vMerge w:val="restart"/>
                  <w:noWrap w:val="0"/>
                  <w:vAlign w:val="center"/>
                </w:tcPr>
                <w:p>
                  <w:pPr>
                    <w:adjustRightInd w:val="0"/>
                    <w:snapToGrid w:val="0"/>
                    <w:spacing w:line="260" w:lineRule="exact"/>
                    <w:jc w:val="center"/>
                    <w:textAlignment w:val="baseline"/>
                    <w:rPr>
                      <w:color w:val="auto"/>
                      <w:kern w:val="11"/>
                      <w:szCs w:val="21"/>
                    </w:rPr>
                  </w:pPr>
                  <w:r>
                    <w:rPr>
                      <w:color w:val="auto"/>
                      <w:kern w:val="11"/>
                      <w:szCs w:val="21"/>
                    </w:rPr>
                    <w:t>固体废物污染防治</w:t>
                  </w:r>
                </w:p>
              </w:tc>
              <w:tc>
                <w:tcPr>
                  <w:tcW w:w="454" w:type="pct"/>
                  <w:noWrap w:val="0"/>
                  <w:vAlign w:val="center"/>
                </w:tcPr>
                <w:p>
                  <w:pPr>
                    <w:adjustRightInd w:val="0"/>
                    <w:snapToGrid w:val="0"/>
                    <w:spacing w:line="260" w:lineRule="exact"/>
                    <w:jc w:val="center"/>
                    <w:textAlignment w:val="baseline"/>
                    <w:rPr>
                      <w:color w:val="auto"/>
                      <w:kern w:val="11"/>
                      <w:szCs w:val="21"/>
                    </w:rPr>
                  </w:pPr>
                  <w:r>
                    <w:rPr>
                      <w:color w:val="auto"/>
                      <w:kern w:val="11"/>
                      <w:szCs w:val="21"/>
                    </w:rPr>
                    <w:t>施工期</w:t>
                  </w:r>
                </w:p>
              </w:tc>
              <w:tc>
                <w:tcPr>
                  <w:tcW w:w="1965" w:type="pct"/>
                  <w:noWrap w:val="0"/>
                  <w:vAlign w:val="center"/>
                </w:tcPr>
                <w:p>
                  <w:pPr>
                    <w:adjustRightInd w:val="0"/>
                    <w:snapToGrid w:val="0"/>
                    <w:spacing w:line="260" w:lineRule="exact"/>
                    <w:jc w:val="center"/>
                    <w:textAlignment w:val="baseline"/>
                    <w:rPr>
                      <w:color w:val="auto"/>
                      <w:kern w:val="11"/>
                      <w:szCs w:val="21"/>
                    </w:rPr>
                  </w:pPr>
                  <w:r>
                    <w:rPr>
                      <w:color w:val="auto"/>
                      <w:kern w:val="11"/>
                      <w:szCs w:val="21"/>
                    </w:rPr>
                    <w:t>建筑垃圾收集与清运、生活垃圾收集与清运</w:t>
                  </w:r>
                </w:p>
              </w:tc>
              <w:tc>
                <w:tcPr>
                  <w:tcW w:w="974" w:type="pct"/>
                  <w:noWrap w:val="0"/>
                  <w:vAlign w:val="center"/>
                </w:tcPr>
                <w:p>
                  <w:pPr>
                    <w:adjustRightInd w:val="0"/>
                    <w:snapToGrid w:val="0"/>
                    <w:spacing w:line="260" w:lineRule="exact"/>
                    <w:jc w:val="center"/>
                    <w:textAlignment w:val="baseline"/>
                    <w:rPr>
                      <w:color w:val="auto"/>
                      <w:kern w:val="11"/>
                      <w:szCs w:val="21"/>
                    </w:rPr>
                  </w:pPr>
                  <w:r>
                    <w:rPr>
                      <w:color w:val="auto"/>
                      <w:kern w:val="11"/>
                      <w:szCs w:val="21"/>
                    </w:rPr>
                    <w:t>施工区、生活区</w:t>
                  </w:r>
                </w:p>
              </w:tc>
              <w:tc>
                <w:tcPr>
                  <w:tcW w:w="779" w:type="pct"/>
                  <w:noWrap w:val="0"/>
                  <w:vAlign w:val="center"/>
                </w:tcPr>
                <w:p>
                  <w:pPr>
                    <w:adjustRightInd w:val="0"/>
                    <w:snapToGrid w:val="0"/>
                    <w:spacing w:line="260" w:lineRule="exact"/>
                    <w:jc w:val="center"/>
                    <w:textAlignment w:val="baseline"/>
                    <w:rPr>
                      <w:rFonts w:hint="eastAsia" w:eastAsia="宋体"/>
                      <w:color w:val="auto"/>
                      <w:kern w:val="11"/>
                      <w:szCs w:val="21"/>
                      <w:lang w:eastAsia="zh-CN"/>
                    </w:rPr>
                  </w:pPr>
                  <w:r>
                    <w:rPr>
                      <w:rFonts w:hint="eastAsia"/>
                      <w:color w:val="auto"/>
                      <w:kern w:val="1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24" w:type="pct"/>
                  <w:vMerge w:val="continue"/>
                  <w:noWrap w:val="0"/>
                  <w:vAlign w:val="center"/>
                </w:tcPr>
                <w:p>
                  <w:pPr>
                    <w:adjustRightInd w:val="0"/>
                    <w:snapToGrid w:val="0"/>
                    <w:spacing w:line="260" w:lineRule="exact"/>
                    <w:jc w:val="center"/>
                    <w:textAlignment w:val="baseline"/>
                    <w:rPr>
                      <w:color w:val="auto"/>
                      <w:kern w:val="11"/>
                      <w:szCs w:val="21"/>
                    </w:rPr>
                  </w:pPr>
                </w:p>
              </w:tc>
              <w:tc>
                <w:tcPr>
                  <w:tcW w:w="454" w:type="pct"/>
                  <w:noWrap w:val="0"/>
                  <w:vAlign w:val="center"/>
                </w:tcPr>
                <w:p>
                  <w:pPr>
                    <w:adjustRightInd w:val="0"/>
                    <w:snapToGrid w:val="0"/>
                    <w:spacing w:line="260" w:lineRule="exact"/>
                    <w:jc w:val="center"/>
                    <w:textAlignment w:val="baseline"/>
                    <w:rPr>
                      <w:color w:val="auto"/>
                      <w:kern w:val="11"/>
                      <w:szCs w:val="21"/>
                    </w:rPr>
                  </w:pPr>
                  <w:r>
                    <w:rPr>
                      <w:bCs/>
                      <w:color w:val="auto"/>
                      <w:kern w:val="11"/>
                      <w:szCs w:val="21"/>
                    </w:rPr>
                    <w:t>运营期</w:t>
                  </w:r>
                </w:p>
              </w:tc>
              <w:tc>
                <w:tcPr>
                  <w:tcW w:w="1965" w:type="pct"/>
                  <w:noWrap w:val="0"/>
                  <w:vAlign w:val="center"/>
                </w:tcPr>
                <w:p>
                  <w:pPr>
                    <w:adjustRightInd w:val="0"/>
                    <w:snapToGrid w:val="0"/>
                    <w:spacing w:line="260" w:lineRule="exact"/>
                    <w:jc w:val="center"/>
                    <w:textAlignment w:val="baseline"/>
                    <w:rPr>
                      <w:color w:val="auto"/>
                      <w:kern w:val="11"/>
                      <w:szCs w:val="21"/>
                    </w:rPr>
                  </w:pPr>
                  <w:r>
                    <w:rPr>
                      <w:color w:val="auto"/>
                      <w:szCs w:val="21"/>
                    </w:rPr>
                    <w:t>垃圾桶若干</w:t>
                  </w:r>
                </w:p>
              </w:tc>
              <w:tc>
                <w:tcPr>
                  <w:tcW w:w="974" w:type="pct"/>
                  <w:noWrap w:val="0"/>
                  <w:vAlign w:val="center"/>
                </w:tcPr>
                <w:p>
                  <w:pPr>
                    <w:adjustRightInd w:val="0"/>
                    <w:snapToGrid w:val="0"/>
                    <w:spacing w:line="260" w:lineRule="exact"/>
                    <w:jc w:val="center"/>
                    <w:textAlignment w:val="baseline"/>
                    <w:rPr>
                      <w:color w:val="auto"/>
                      <w:kern w:val="11"/>
                      <w:szCs w:val="21"/>
                    </w:rPr>
                  </w:pPr>
                  <w:r>
                    <w:rPr>
                      <w:color w:val="auto"/>
                      <w:szCs w:val="20"/>
                    </w:rPr>
                    <w:t>道路两侧</w:t>
                  </w:r>
                </w:p>
              </w:tc>
              <w:tc>
                <w:tcPr>
                  <w:tcW w:w="779" w:type="pct"/>
                  <w:noWrap w:val="0"/>
                  <w:vAlign w:val="center"/>
                </w:tcPr>
                <w:p>
                  <w:pPr>
                    <w:adjustRightInd w:val="0"/>
                    <w:snapToGrid w:val="0"/>
                    <w:spacing w:line="260" w:lineRule="exact"/>
                    <w:jc w:val="center"/>
                    <w:textAlignment w:val="baseline"/>
                    <w:rPr>
                      <w:color w:val="auto"/>
                      <w:kern w:val="11"/>
                      <w:szCs w:val="21"/>
                    </w:rPr>
                  </w:pPr>
                  <w:r>
                    <w:rPr>
                      <w:color w:val="auto"/>
                      <w:kern w:val="11"/>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24" w:type="pct"/>
                  <w:vMerge w:val="restart"/>
                  <w:noWrap w:val="0"/>
                  <w:vAlign w:val="center"/>
                </w:tcPr>
                <w:p>
                  <w:pPr>
                    <w:adjustRightInd w:val="0"/>
                    <w:snapToGrid w:val="0"/>
                    <w:spacing w:line="260" w:lineRule="exact"/>
                    <w:jc w:val="center"/>
                    <w:textAlignment w:val="baseline"/>
                    <w:rPr>
                      <w:rFonts w:hint="eastAsia"/>
                      <w:color w:val="auto"/>
                      <w:kern w:val="11"/>
                      <w:szCs w:val="21"/>
                    </w:rPr>
                  </w:pPr>
                  <w:r>
                    <w:rPr>
                      <w:rFonts w:hint="eastAsia"/>
                      <w:color w:val="auto"/>
                      <w:kern w:val="11"/>
                      <w:szCs w:val="21"/>
                    </w:rPr>
                    <w:t>环境风险</w:t>
                  </w:r>
                </w:p>
              </w:tc>
              <w:tc>
                <w:tcPr>
                  <w:tcW w:w="454" w:type="pct"/>
                  <w:noWrap w:val="0"/>
                  <w:vAlign w:val="center"/>
                </w:tcPr>
                <w:p>
                  <w:pPr>
                    <w:adjustRightInd w:val="0"/>
                    <w:snapToGrid w:val="0"/>
                    <w:spacing w:line="260" w:lineRule="exact"/>
                    <w:jc w:val="center"/>
                    <w:textAlignment w:val="baseline"/>
                    <w:rPr>
                      <w:bCs/>
                      <w:color w:val="auto"/>
                      <w:kern w:val="11"/>
                      <w:szCs w:val="21"/>
                    </w:rPr>
                  </w:pPr>
                  <w:r>
                    <w:rPr>
                      <w:color w:val="auto"/>
                      <w:kern w:val="11"/>
                      <w:szCs w:val="21"/>
                    </w:rPr>
                    <w:t>施工期</w:t>
                  </w:r>
                </w:p>
              </w:tc>
              <w:tc>
                <w:tcPr>
                  <w:tcW w:w="1965" w:type="pct"/>
                  <w:noWrap w:val="0"/>
                  <w:vAlign w:val="center"/>
                </w:tcPr>
                <w:p>
                  <w:pPr>
                    <w:adjustRightInd w:val="0"/>
                    <w:snapToGrid w:val="0"/>
                    <w:spacing w:line="260" w:lineRule="exact"/>
                    <w:jc w:val="center"/>
                    <w:textAlignment w:val="baseline"/>
                    <w:rPr>
                      <w:color w:val="auto"/>
                      <w:szCs w:val="21"/>
                    </w:rPr>
                  </w:pPr>
                  <w:r>
                    <w:rPr>
                      <w:color w:val="auto"/>
                      <w:szCs w:val="21"/>
                    </w:rPr>
                    <w:t>警示标志牌</w:t>
                  </w:r>
                </w:p>
              </w:tc>
              <w:tc>
                <w:tcPr>
                  <w:tcW w:w="974" w:type="pct"/>
                  <w:noWrap w:val="0"/>
                  <w:vAlign w:val="center"/>
                </w:tcPr>
                <w:p>
                  <w:pPr>
                    <w:adjustRightInd w:val="0"/>
                    <w:snapToGrid w:val="0"/>
                    <w:spacing w:line="260" w:lineRule="exact"/>
                    <w:jc w:val="center"/>
                    <w:textAlignment w:val="baseline"/>
                    <w:rPr>
                      <w:color w:val="auto"/>
                      <w:szCs w:val="20"/>
                    </w:rPr>
                  </w:pPr>
                  <w:r>
                    <w:rPr>
                      <w:rFonts w:hint="eastAsia"/>
                      <w:color w:val="auto"/>
                      <w:szCs w:val="20"/>
                    </w:rPr>
                    <w:t>施工作业区</w:t>
                  </w:r>
                </w:p>
              </w:tc>
              <w:tc>
                <w:tcPr>
                  <w:tcW w:w="779" w:type="pct"/>
                  <w:noWrap w:val="0"/>
                  <w:vAlign w:val="center"/>
                </w:tcPr>
                <w:p>
                  <w:pPr>
                    <w:adjustRightInd w:val="0"/>
                    <w:snapToGrid w:val="0"/>
                    <w:spacing w:line="260" w:lineRule="exact"/>
                    <w:jc w:val="center"/>
                    <w:textAlignment w:val="baseline"/>
                    <w:rPr>
                      <w:color w:val="auto"/>
                      <w:kern w:val="11"/>
                      <w:szCs w:val="21"/>
                    </w:rPr>
                  </w:pPr>
                  <w:r>
                    <w:rPr>
                      <w:rFonts w:hint="eastAsia"/>
                      <w:color w:val="auto"/>
                      <w:kern w:val="11"/>
                      <w:szCs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24" w:type="pct"/>
                  <w:vMerge w:val="continue"/>
                  <w:noWrap w:val="0"/>
                  <w:vAlign w:val="center"/>
                </w:tcPr>
                <w:p>
                  <w:pPr>
                    <w:adjustRightInd w:val="0"/>
                    <w:snapToGrid w:val="0"/>
                    <w:spacing w:line="260" w:lineRule="exact"/>
                    <w:jc w:val="center"/>
                    <w:textAlignment w:val="baseline"/>
                    <w:rPr>
                      <w:color w:val="auto"/>
                      <w:kern w:val="11"/>
                      <w:szCs w:val="21"/>
                    </w:rPr>
                  </w:pPr>
                </w:p>
              </w:tc>
              <w:tc>
                <w:tcPr>
                  <w:tcW w:w="454" w:type="pct"/>
                  <w:noWrap w:val="0"/>
                  <w:vAlign w:val="center"/>
                </w:tcPr>
                <w:p>
                  <w:pPr>
                    <w:adjustRightInd w:val="0"/>
                    <w:snapToGrid w:val="0"/>
                    <w:spacing w:line="260" w:lineRule="exact"/>
                    <w:jc w:val="center"/>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运营期</w:t>
                  </w:r>
                </w:p>
              </w:tc>
              <w:tc>
                <w:tcPr>
                  <w:tcW w:w="1965" w:type="pct"/>
                  <w:noWrap w:val="0"/>
                  <w:vAlign w:val="center"/>
                </w:tcPr>
                <w:p>
                  <w:pPr>
                    <w:adjustRightInd w:val="0"/>
                    <w:snapToGrid w:val="0"/>
                    <w:spacing w:line="260" w:lineRule="exact"/>
                    <w:jc w:val="center"/>
                    <w:textAlignment w:val="baseline"/>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配套事故应急设备与器材，编制应急预案</w:t>
                  </w:r>
                </w:p>
              </w:tc>
              <w:tc>
                <w:tcPr>
                  <w:tcW w:w="974" w:type="pct"/>
                  <w:noWrap w:val="0"/>
                  <w:vAlign w:val="center"/>
                </w:tcPr>
                <w:p>
                  <w:pPr>
                    <w:adjustRightInd w:val="0"/>
                    <w:snapToGrid w:val="0"/>
                    <w:spacing w:line="260" w:lineRule="exact"/>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跨河桥梁</w:t>
                  </w:r>
                </w:p>
              </w:tc>
              <w:tc>
                <w:tcPr>
                  <w:tcW w:w="779" w:type="pct"/>
                  <w:noWrap w:val="0"/>
                  <w:vAlign w:val="center"/>
                </w:tcPr>
                <w:p>
                  <w:pPr>
                    <w:adjustRightInd w:val="0"/>
                    <w:snapToGrid w:val="0"/>
                    <w:spacing w:line="260" w:lineRule="exact"/>
                    <w:jc w:val="center"/>
                    <w:textAlignment w:val="baseline"/>
                    <w:rPr>
                      <w:color w:val="auto"/>
                      <w:kern w:val="11"/>
                      <w:szCs w:val="21"/>
                    </w:rPr>
                  </w:pPr>
                  <w:r>
                    <w:rPr>
                      <w:color w:val="auto"/>
                      <w:kern w:val="11"/>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20" w:type="pct"/>
                  <w:gridSpan w:val="4"/>
                  <w:noWrap w:val="0"/>
                  <w:vAlign w:val="center"/>
                </w:tcPr>
                <w:p>
                  <w:pPr>
                    <w:adjustRightInd w:val="0"/>
                    <w:snapToGrid w:val="0"/>
                    <w:spacing w:line="260" w:lineRule="exact"/>
                    <w:jc w:val="center"/>
                    <w:textAlignment w:val="baseline"/>
                    <w:rPr>
                      <w:color w:val="auto"/>
                      <w:kern w:val="11"/>
                      <w:szCs w:val="21"/>
                    </w:rPr>
                  </w:pPr>
                  <w:r>
                    <w:rPr>
                      <w:color w:val="auto"/>
                      <w:kern w:val="11"/>
                      <w:szCs w:val="21"/>
                    </w:rPr>
                    <w:t>合  计</w:t>
                  </w:r>
                </w:p>
              </w:tc>
              <w:tc>
                <w:tcPr>
                  <w:tcW w:w="779" w:type="pct"/>
                  <w:noWrap w:val="0"/>
                  <w:vAlign w:val="center"/>
                </w:tcPr>
                <w:p>
                  <w:pPr>
                    <w:adjustRightInd w:val="0"/>
                    <w:snapToGrid w:val="0"/>
                    <w:spacing w:line="260" w:lineRule="exact"/>
                    <w:jc w:val="center"/>
                    <w:textAlignment w:val="baseline"/>
                    <w:rPr>
                      <w:rFonts w:hint="default" w:eastAsia="宋体"/>
                      <w:color w:val="auto"/>
                      <w:kern w:val="11"/>
                      <w:szCs w:val="21"/>
                      <w:lang w:val="en-US" w:eastAsia="zh-CN"/>
                    </w:rPr>
                  </w:pPr>
                  <w:r>
                    <w:rPr>
                      <w:rFonts w:hint="eastAsia"/>
                      <w:color w:val="auto"/>
                      <w:kern w:val="11"/>
                      <w:szCs w:val="21"/>
                      <w:lang w:val="en-US" w:eastAsia="zh-CN"/>
                    </w:rPr>
                    <w:t>65</w:t>
                  </w:r>
                </w:p>
              </w:tc>
            </w:tr>
          </w:tbl>
          <w:p>
            <w:pPr>
              <w:adjustRightInd w:val="0"/>
              <w:snapToGrid w:val="0"/>
              <w:rPr>
                <w:bCs/>
                <w:color w:val="auto"/>
                <w:spacing w:val="10"/>
                <w:sz w:val="24"/>
              </w:rPr>
            </w:pPr>
          </w:p>
        </w:tc>
      </w:tr>
    </w:tbl>
    <w:p>
      <w:pPr>
        <w:rPr>
          <w:color w:val="auto"/>
        </w:rPr>
        <w:sectPr>
          <w:pgSz w:w="11907" w:h="16840"/>
          <w:pgMar w:top="1440" w:right="1797" w:bottom="1440" w:left="1797" w:header="851" w:footer="1077" w:gutter="0"/>
          <w:cols w:space="425" w:num="1"/>
          <w:docGrid w:linePitch="312" w:charSpace="0"/>
        </w:sectPr>
      </w:pPr>
    </w:p>
    <w:p>
      <w:pPr>
        <w:pStyle w:val="21"/>
        <w:numPr>
          <w:ilvl w:val="0"/>
          <w:numId w:val="2"/>
        </w:numPr>
        <w:spacing w:before="0" w:beforeAutospacing="0" w:after="0" w:afterAutospacing="0"/>
        <w:jc w:val="center"/>
        <w:outlineLvl w:val="0"/>
        <w:rPr>
          <w:rFonts w:ascii="Times New Roman" w:hAnsi="Times New Roman"/>
          <w:snapToGrid w:val="0"/>
          <w:color w:val="auto"/>
          <w:sz w:val="30"/>
          <w:szCs w:val="30"/>
        </w:rPr>
      </w:pPr>
      <w:r>
        <w:rPr>
          <w:rFonts w:ascii="Times New Roman" w:hAnsi="Times New Roman"/>
          <w:snapToGrid w:val="0"/>
          <w:color w:val="auto"/>
          <w:sz w:val="30"/>
          <w:szCs w:val="30"/>
        </w:rPr>
        <w:t>生态环境保护措施监督检查清单</w:t>
      </w:r>
    </w:p>
    <w:tbl>
      <w:tblPr>
        <w:tblStyle w:val="26"/>
        <w:tblW w:w="506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2250"/>
        <w:gridCol w:w="1261"/>
        <w:gridCol w:w="2565"/>
        <w:gridCol w:w="144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8" w:type="pct"/>
            <w:vMerge w:val="restart"/>
            <w:tcBorders>
              <w:tl2br w:val="single" w:color="auto" w:sz="4" w:space="0"/>
            </w:tcBorders>
            <w:noWrap w:val="0"/>
            <w:vAlign w:val="top"/>
          </w:tcPr>
          <w:p>
            <w:pPr>
              <w:pStyle w:val="21"/>
              <w:adjustRightInd w:val="0"/>
              <w:snapToGrid w:val="0"/>
              <w:spacing w:before="72" w:beforeLines="30" w:beforeAutospacing="0" w:after="0" w:afterAutospacing="0"/>
              <w:jc w:val="center"/>
              <w:outlineLvl w:val="0"/>
              <w:rPr>
                <w:b/>
                <w:color w:val="auto"/>
                <w:kern w:val="2"/>
                <w:sz w:val="21"/>
                <w:szCs w:val="21"/>
              </w:rPr>
            </w:pPr>
            <w:r>
              <w:rPr>
                <w:b/>
                <w:color w:val="auto"/>
                <w:kern w:val="2"/>
                <w:sz w:val="21"/>
                <w:szCs w:val="21"/>
              </w:rPr>
              <w:t xml:space="preserve">          内容</w:t>
            </w:r>
          </w:p>
          <w:p>
            <w:pPr>
              <w:pStyle w:val="21"/>
              <w:adjustRightInd w:val="0"/>
              <w:snapToGrid w:val="0"/>
              <w:spacing w:before="0" w:beforeAutospacing="0" w:after="0" w:afterAutospacing="0"/>
              <w:ind w:firstLine="211" w:firstLineChars="100"/>
              <w:outlineLvl w:val="0"/>
              <w:rPr>
                <w:b/>
                <w:color w:val="auto"/>
                <w:kern w:val="2"/>
                <w:sz w:val="21"/>
                <w:szCs w:val="21"/>
              </w:rPr>
            </w:pPr>
          </w:p>
          <w:p>
            <w:pPr>
              <w:pStyle w:val="21"/>
              <w:adjustRightInd w:val="0"/>
              <w:snapToGrid w:val="0"/>
              <w:spacing w:before="0" w:beforeAutospacing="0" w:after="0" w:afterAutospacing="0"/>
              <w:ind w:firstLine="211" w:firstLineChars="100"/>
              <w:outlineLvl w:val="0"/>
              <w:rPr>
                <w:b/>
                <w:color w:val="auto"/>
                <w:kern w:val="2"/>
                <w:sz w:val="21"/>
                <w:szCs w:val="21"/>
              </w:rPr>
            </w:pPr>
            <w:r>
              <w:rPr>
                <w:b/>
                <w:color w:val="auto"/>
                <w:kern w:val="2"/>
                <w:sz w:val="21"/>
                <w:szCs w:val="21"/>
              </w:rPr>
              <w:t>要素</w:t>
            </w:r>
          </w:p>
        </w:tc>
        <w:tc>
          <w:tcPr>
            <w:tcW w:w="2035" w:type="pct"/>
            <w:gridSpan w:val="2"/>
            <w:noWrap w:val="0"/>
            <w:vAlign w:val="center"/>
          </w:tcPr>
          <w:p>
            <w:pPr>
              <w:pStyle w:val="21"/>
              <w:adjustRightInd w:val="0"/>
              <w:snapToGrid w:val="0"/>
              <w:spacing w:before="0" w:beforeAutospacing="0" w:after="0" w:afterAutospacing="0"/>
              <w:jc w:val="center"/>
              <w:outlineLvl w:val="0"/>
              <w:rPr>
                <w:b/>
                <w:color w:val="auto"/>
                <w:kern w:val="2"/>
                <w:sz w:val="21"/>
                <w:szCs w:val="21"/>
              </w:rPr>
            </w:pPr>
            <w:r>
              <w:rPr>
                <w:b/>
                <w:color w:val="auto"/>
                <w:kern w:val="2"/>
                <w:sz w:val="21"/>
                <w:szCs w:val="21"/>
              </w:rPr>
              <w:t>施工期</w:t>
            </w:r>
          </w:p>
        </w:tc>
        <w:tc>
          <w:tcPr>
            <w:tcW w:w="2327" w:type="pct"/>
            <w:gridSpan w:val="2"/>
            <w:noWrap w:val="0"/>
            <w:vAlign w:val="center"/>
          </w:tcPr>
          <w:p>
            <w:pPr>
              <w:pStyle w:val="21"/>
              <w:adjustRightInd w:val="0"/>
              <w:snapToGrid w:val="0"/>
              <w:spacing w:before="0" w:beforeAutospacing="0" w:after="0" w:afterAutospacing="0"/>
              <w:jc w:val="center"/>
              <w:outlineLvl w:val="0"/>
              <w:rPr>
                <w:b/>
                <w:color w:val="auto"/>
                <w:kern w:val="2"/>
                <w:sz w:val="21"/>
                <w:szCs w:val="21"/>
              </w:rPr>
            </w:pPr>
            <w:r>
              <w:rPr>
                <w:b/>
                <w:color w:val="auto"/>
                <w:kern w:val="2"/>
                <w:sz w:val="21"/>
                <w:szCs w:val="21"/>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8" w:type="pct"/>
            <w:vMerge w:val="continue"/>
            <w:noWrap w:val="0"/>
            <w:vAlign w:val="top"/>
          </w:tcPr>
          <w:p>
            <w:pPr>
              <w:pStyle w:val="21"/>
              <w:adjustRightInd w:val="0"/>
              <w:snapToGrid w:val="0"/>
              <w:spacing w:before="0" w:beforeAutospacing="0" w:after="0" w:afterAutospacing="0"/>
              <w:ind w:firstLine="840"/>
              <w:jc w:val="center"/>
              <w:outlineLvl w:val="0"/>
              <w:rPr>
                <w:b/>
                <w:color w:val="auto"/>
                <w:kern w:val="2"/>
                <w:sz w:val="21"/>
                <w:szCs w:val="21"/>
              </w:rPr>
            </w:pPr>
          </w:p>
        </w:tc>
        <w:tc>
          <w:tcPr>
            <w:tcW w:w="1304" w:type="pct"/>
            <w:noWrap w:val="0"/>
            <w:vAlign w:val="center"/>
          </w:tcPr>
          <w:p>
            <w:pPr>
              <w:pStyle w:val="21"/>
              <w:adjustRightInd w:val="0"/>
              <w:snapToGrid w:val="0"/>
              <w:spacing w:before="0" w:beforeAutospacing="0" w:after="0" w:afterAutospacing="0"/>
              <w:jc w:val="center"/>
              <w:outlineLvl w:val="0"/>
              <w:rPr>
                <w:b/>
                <w:color w:val="auto"/>
                <w:kern w:val="2"/>
                <w:sz w:val="21"/>
                <w:szCs w:val="21"/>
              </w:rPr>
            </w:pPr>
            <w:r>
              <w:rPr>
                <w:b/>
                <w:color w:val="auto"/>
                <w:kern w:val="2"/>
                <w:sz w:val="21"/>
                <w:szCs w:val="21"/>
              </w:rPr>
              <w:t>环境保护措施</w:t>
            </w:r>
          </w:p>
        </w:tc>
        <w:tc>
          <w:tcPr>
            <w:tcW w:w="731" w:type="pct"/>
            <w:noWrap w:val="0"/>
            <w:vAlign w:val="center"/>
          </w:tcPr>
          <w:p>
            <w:pPr>
              <w:pStyle w:val="21"/>
              <w:adjustRightInd w:val="0"/>
              <w:snapToGrid w:val="0"/>
              <w:spacing w:before="0" w:beforeAutospacing="0" w:after="0" w:afterAutospacing="0"/>
              <w:jc w:val="center"/>
              <w:outlineLvl w:val="0"/>
              <w:rPr>
                <w:b/>
                <w:color w:val="auto"/>
                <w:kern w:val="2"/>
                <w:sz w:val="21"/>
                <w:szCs w:val="21"/>
              </w:rPr>
            </w:pPr>
            <w:r>
              <w:rPr>
                <w:b/>
                <w:color w:val="auto"/>
                <w:kern w:val="2"/>
                <w:sz w:val="21"/>
                <w:szCs w:val="21"/>
              </w:rPr>
              <w:t>验收</w:t>
            </w:r>
          </w:p>
          <w:p>
            <w:pPr>
              <w:pStyle w:val="21"/>
              <w:adjustRightInd w:val="0"/>
              <w:snapToGrid w:val="0"/>
              <w:spacing w:before="0" w:beforeAutospacing="0" w:after="0" w:afterAutospacing="0"/>
              <w:jc w:val="center"/>
              <w:outlineLvl w:val="0"/>
              <w:rPr>
                <w:b/>
                <w:color w:val="auto"/>
                <w:kern w:val="2"/>
                <w:sz w:val="21"/>
                <w:szCs w:val="21"/>
              </w:rPr>
            </w:pPr>
            <w:r>
              <w:rPr>
                <w:b/>
                <w:color w:val="auto"/>
                <w:kern w:val="2"/>
                <w:sz w:val="21"/>
                <w:szCs w:val="21"/>
              </w:rPr>
              <w:t>要求</w:t>
            </w:r>
          </w:p>
        </w:tc>
        <w:tc>
          <w:tcPr>
            <w:tcW w:w="1487" w:type="pct"/>
            <w:noWrap w:val="0"/>
            <w:vAlign w:val="center"/>
          </w:tcPr>
          <w:p>
            <w:pPr>
              <w:pStyle w:val="21"/>
              <w:adjustRightInd w:val="0"/>
              <w:snapToGrid w:val="0"/>
              <w:spacing w:before="0" w:beforeAutospacing="0" w:after="0" w:afterAutospacing="0"/>
              <w:jc w:val="center"/>
              <w:outlineLvl w:val="0"/>
              <w:rPr>
                <w:b/>
                <w:color w:val="auto"/>
                <w:kern w:val="2"/>
                <w:sz w:val="21"/>
                <w:szCs w:val="21"/>
              </w:rPr>
            </w:pPr>
            <w:r>
              <w:rPr>
                <w:b/>
                <w:color w:val="auto"/>
                <w:kern w:val="2"/>
                <w:sz w:val="21"/>
                <w:szCs w:val="21"/>
              </w:rPr>
              <w:t>环境保护措施</w:t>
            </w:r>
          </w:p>
        </w:tc>
        <w:tc>
          <w:tcPr>
            <w:tcW w:w="840" w:type="pct"/>
            <w:noWrap w:val="0"/>
            <w:vAlign w:val="center"/>
          </w:tcPr>
          <w:p>
            <w:pPr>
              <w:pStyle w:val="21"/>
              <w:adjustRightInd w:val="0"/>
              <w:snapToGrid w:val="0"/>
              <w:spacing w:before="0" w:beforeAutospacing="0" w:after="0" w:afterAutospacing="0"/>
              <w:jc w:val="center"/>
              <w:outlineLvl w:val="0"/>
              <w:rPr>
                <w:b/>
                <w:color w:val="auto"/>
                <w:kern w:val="2"/>
                <w:sz w:val="21"/>
                <w:szCs w:val="21"/>
              </w:rPr>
            </w:pPr>
            <w:r>
              <w:rPr>
                <w:b/>
                <w:color w:val="auto"/>
                <w:kern w:val="2"/>
                <w:sz w:val="21"/>
                <w:szCs w:val="21"/>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8" w:type="pct"/>
            <w:noWrap w:val="0"/>
            <w:vAlign w:val="center"/>
          </w:tcPr>
          <w:p>
            <w:pPr>
              <w:adjustRightInd w:val="0"/>
              <w:snapToGrid w:val="0"/>
              <w:jc w:val="center"/>
              <w:rPr>
                <w:color w:val="auto"/>
                <w:szCs w:val="21"/>
              </w:rPr>
            </w:pPr>
            <w:r>
              <w:rPr>
                <w:color w:val="auto"/>
                <w:szCs w:val="21"/>
              </w:rPr>
              <w:t>陆生生态</w:t>
            </w:r>
          </w:p>
        </w:tc>
        <w:tc>
          <w:tcPr>
            <w:tcW w:w="1304" w:type="pct"/>
            <w:noWrap w:val="0"/>
            <w:vAlign w:val="center"/>
          </w:tcPr>
          <w:p>
            <w:pPr>
              <w:autoSpaceDE w:val="0"/>
              <w:autoSpaceDN w:val="0"/>
              <w:adjustRightInd w:val="0"/>
              <w:jc w:val="left"/>
              <w:rPr>
                <w:rFonts w:hint="eastAsia" w:ascii="宋体" w:cs="宋体"/>
                <w:color w:val="auto"/>
                <w:kern w:val="0"/>
                <w:szCs w:val="21"/>
              </w:rPr>
            </w:pPr>
            <w:r>
              <w:rPr>
                <w:rFonts w:hint="eastAsia" w:ascii="宋体" w:cs="宋体"/>
                <w:color w:val="auto"/>
                <w:kern w:val="0"/>
                <w:szCs w:val="21"/>
              </w:rPr>
              <w:t>临时用地表层耕植土保存与植被恢复；完工后，及时清理施工现场</w:t>
            </w:r>
          </w:p>
        </w:tc>
        <w:tc>
          <w:tcPr>
            <w:tcW w:w="731" w:type="pct"/>
            <w:noWrap w:val="0"/>
            <w:vAlign w:val="center"/>
          </w:tcPr>
          <w:p>
            <w:pPr>
              <w:adjustRightInd w:val="0"/>
              <w:snapToGrid w:val="0"/>
              <w:jc w:val="center"/>
              <w:rPr>
                <w:color w:val="auto"/>
                <w:szCs w:val="21"/>
              </w:rPr>
            </w:pPr>
            <w:r>
              <w:rPr>
                <w:rFonts w:hint="eastAsia"/>
                <w:color w:val="auto"/>
                <w:szCs w:val="21"/>
              </w:rPr>
              <w:t>/</w:t>
            </w:r>
          </w:p>
        </w:tc>
        <w:tc>
          <w:tcPr>
            <w:tcW w:w="1487" w:type="pct"/>
            <w:noWrap w:val="0"/>
            <w:vAlign w:val="center"/>
          </w:tcPr>
          <w:p>
            <w:pPr>
              <w:autoSpaceDE w:val="0"/>
              <w:autoSpaceDN w:val="0"/>
              <w:adjustRightInd w:val="0"/>
              <w:jc w:val="left"/>
              <w:rPr>
                <w:rFonts w:ascii="宋体" w:cs="宋体"/>
                <w:color w:val="auto"/>
                <w:kern w:val="0"/>
                <w:szCs w:val="21"/>
              </w:rPr>
            </w:pPr>
            <w:r>
              <w:rPr>
                <w:rFonts w:hint="eastAsia" w:ascii="宋体" w:cs="宋体"/>
                <w:color w:val="auto"/>
                <w:kern w:val="0"/>
                <w:szCs w:val="21"/>
              </w:rPr>
              <w:t>临时占地植被恢复，工程场地无渣土、建筑垃圾堆弃</w:t>
            </w:r>
          </w:p>
        </w:tc>
        <w:tc>
          <w:tcPr>
            <w:tcW w:w="840" w:type="pct"/>
            <w:noWrap w:val="0"/>
            <w:vAlign w:val="center"/>
          </w:tcPr>
          <w:p>
            <w:pPr>
              <w:jc w:val="center"/>
              <w:rPr>
                <w:color w:val="auto"/>
                <w:szCs w:val="21"/>
              </w:rPr>
            </w:pPr>
            <w:r>
              <w:rPr>
                <w:rFonts w:hint="eastAsia" w:hAnsi="宋体"/>
                <w:color w:val="auto"/>
                <w:szCs w:val="21"/>
              </w:rPr>
              <w:t>生态恢复</w:t>
            </w:r>
            <w:r>
              <w:rPr>
                <w:rFonts w:hAnsi="宋体"/>
                <w:color w:val="auto"/>
                <w:szCs w:val="21"/>
              </w:rPr>
              <w:t>措施可行、有效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8" w:type="pct"/>
            <w:noWrap w:val="0"/>
            <w:vAlign w:val="center"/>
          </w:tcPr>
          <w:p>
            <w:pPr>
              <w:adjustRightInd w:val="0"/>
              <w:snapToGrid w:val="0"/>
              <w:jc w:val="center"/>
              <w:rPr>
                <w:color w:val="auto"/>
                <w:szCs w:val="21"/>
              </w:rPr>
            </w:pPr>
            <w:r>
              <w:rPr>
                <w:color w:val="auto"/>
                <w:szCs w:val="21"/>
              </w:rPr>
              <w:t>水生生态</w:t>
            </w:r>
          </w:p>
        </w:tc>
        <w:tc>
          <w:tcPr>
            <w:tcW w:w="1304" w:type="pct"/>
            <w:noWrap w:val="0"/>
            <w:vAlign w:val="center"/>
          </w:tcPr>
          <w:p>
            <w:pPr>
              <w:autoSpaceDE w:val="0"/>
              <w:autoSpaceDN w:val="0"/>
              <w:adjustRightInd w:val="0"/>
              <w:jc w:val="left"/>
              <w:rPr>
                <w:rFonts w:hint="eastAsia" w:ascii="宋体" w:cs="宋体"/>
                <w:color w:val="FF0000"/>
                <w:kern w:val="0"/>
                <w:szCs w:val="21"/>
              </w:rPr>
            </w:pPr>
            <w:r>
              <w:rPr>
                <w:rFonts w:hint="eastAsia" w:ascii="宋体" w:cs="宋体"/>
                <w:color w:val="FF0000"/>
                <w:kern w:val="0"/>
                <w:szCs w:val="21"/>
              </w:rPr>
              <w:t>严格控制施工范围，禁止将施工的废弃物抛入水体；加强施工管理和水土流失措施防护；桥梁施工过程中尽量减小对水体的扰动</w:t>
            </w:r>
          </w:p>
        </w:tc>
        <w:tc>
          <w:tcPr>
            <w:tcW w:w="731" w:type="pct"/>
            <w:noWrap w:val="0"/>
            <w:vAlign w:val="center"/>
          </w:tcPr>
          <w:p>
            <w:pPr>
              <w:autoSpaceDE w:val="0"/>
              <w:autoSpaceDN w:val="0"/>
              <w:adjustRightInd w:val="0"/>
              <w:jc w:val="left"/>
              <w:rPr>
                <w:rFonts w:hint="eastAsia" w:ascii="宋体" w:cs="宋体"/>
                <w:color w:val="FF0000"/>
                <w:kern w:val="0"/>
                <w:szCs w:val="21"/>
              </w:rPr>
            </w:pPr>
            <w:r>
              <w:rPr>
                <w:rFonts w:hint="eastAsia" w:ascii="宋体" w:cs="宋体"/>
                <w:color w:val="FF0000"/>
                <w:kern w:val="0"/>
                <w:szCs w:val="21"/>
              </w:rPr>
              <w:t>确保周边生态环境不受影响</w:t>
            </w:r>
          </w:p>
        </w:tc>
        <w:tc>
          <w:tcPr>
            <w:tcW w:w="1487" w:type="pct"/>
            <w:noWrap w:val="0"/>
            <w:vAlign w:val="center"/>
          </w:tcPr>
          <w:p>
            <w:pPr>
              <w:autoSpaceDE w:val="0"/>
              <w:autoSpaceDN w:val="0"/>
              <w:adjustRightInd w:val="0"/>
              <w:jc w:val="left"/>
              <w:rPr>
                <w:rFonts w:hint="eastAsia" w:ascii="宋体" w:cs="宋体"/>
                <w:color w:val="FF0000"/>
                <w:kern w:val="0"/>
                <w:szCs w:val="21"/>
              </w:rPr>
            </w:pPr>
            <w:r>
              <w:rPr>
                <w:rFonts w:hint="eastAsia" w:ascii="宋体" w:cs="宋体"/>
                <w:color w:val="FF0000"/>
                <w:kern w:val="0"/>
                <w:szCs w:val="21"/>
              </w:rPr>
              <w:t>在道路靠近桥梁处设置警示牌标志，警示车辆或行人，在此段道路两侧醒目位置设置限速、禁止超车等警示标志，提醒过路驾驶员和乘客加强保护水源的意识。</w:t>
            </w:r>
          </w:p>
        </w:tc>
        <w:tc>
          <w:tcPr>
            <w:tcW w:w="840" w:type="pct"/>
            <w:noWrap w:val="0"/>
            <w:vAlign w:val="center"/>
          </w:tcPr>
          <w:p>
            <w:pPr>
              <w:autoSpaceDE w:val="0"/>
              <w:autoSpaceDN w:val="0"/>
              <w:adjustRightInd w:val="0"/>
              <w:jc w:val="left"/>
              <w:rPr>
                <w:rFonts w:hint="eastAsia" w:ascii="宋体" w:cs="宋体"/>
                <w:color w:val="FF0000"/>
                <w:kern w:val="0"/>
                <w:szCs w:val="21"/>
              </w:rPr>
            </w:pPr>
            <w:r>
              <w:rPr>
                <w:rFonts w:hint="eastAsia" w:ascii="宋体" w:cs="宋体"/>
                <w:color w:val="FF0000"/>
                <w:kern w:val="0"/>
                <w:szCs w:val="21"/>
              </w:rPr>
              <w:t>确保周边生态环境不受影响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8" w:type="pct"/>
            <w:noWrap w:val="0"/>
            <w:vAlign w:val="center"/>
          </w:tcPr>
          <w:p>
            <w:pPr>
              <w:adjustRightInd w:val="0"/>
              <w:snapToGrid w:val="0"/>
              <w:jc w:val="center"/>
              <w:rPr>
                <w:color w:val="auto"/>
                <w:szCs w:val="21"/>
              </w:rPr>
            </w:pPr>
            <w:r>
              <w:rPr>
                <w:color w:val="auto"/>
                <w:szCs w:val="21"/>
              </w:rPr>
              <w:t>地表水环境</w:t>
            </w:r>
          </w:p>
        </w:tc>
        <w:tc>
          <w:tcPr>
            <w:tcW w:w="1304" w:type="pct"/>
            <w:noWrap w:val="0"/>
            <w:vAlign w:val="center"/>
          </w:tcPr>
          <w:p>
            <w:pPr>
              <w:autoSpaceDE w:val="0"/>
              <w:autoSpaceDN w:val="0"/>
              <w:adjustRightInd w:val="0"/>
              <w:jc w:val="left"/>
              <w:rPr>
                <w:rFonts w:ascii="宋体" w:cs="宋体"/>
                <w:color w:val="auto"/>
                <w:kern w:val="0"/>
                <w:szCs w:val="21"/>
              </w:rPr>
            </w:pPr>
            <w:r>
              <w:rPr>
                <w:rFonts w:hint="eastAsia" w:ascii="宋体" w:cs="宋体"/>
                <w:color w:val="auto"/>
                <w:kern w:val="0"/>
                <w:szCs w:val="21"/>
              </w:rPr>
              <w:t>做好废水收集设施的防渗处理；保证施工机械清洁，并严格文明、规范施工，避免油污等跑冒滴漏</w:t>
            </w:r>
          </w:p>
        </w:tc>
        <w:tc>
          <w:tcPr>
            <w:tcW w:w="731" w:type="pct"/>
            <w:noWrap w:val="0"/>
            <w:vAlign w:val="center"/>
          </w:tcPr>
          <w:p>
            <w:pPr>
              <w:autoSpaceDE w:val="0"/>
              <w:autoSpaceDN w:val="0"/>
              <w:adjustRightInd w:val="0"/>
              <w:jc w:val="left"/>
              <w:rPr>
                <w:rFonts w:ascii="宋体" w:cs="宋体"/>
                <w:color w:val="auto"/>
                <w:kern w:val="0"/>
                <w:szCs w:val="21"/>
              </w:rPr>
            </w:pPr>
            <w:r>
              <w:rPr>
                <w:rFonts w:hint="eastAsia" w:ascii="宋体" w:cs="宋体"/>
                <w:color w:val="auto"/>
                <w:kern w:val="0"/>
                <w:szCs w:val="21"/>
              </w:rPr>
              <w:t>水环境执行《地表水境质量标准》</w:t>
            </w:r>
            <w:r>
              <w:rPr>
                <w:rFonts w:hint="eastAsia" w:ascii="宋体" w:cs="宋体"/>
                <w:color w:val="auto"/>
                <w:kern w:val="0"/>
                <w:szCs w:val="21"/>
              </w:rPr>
              <w:fldChar w:fldCharType="begin"/>
            </w:r>
            <w:r>
              <w:rPr>
                <w:rFonts w:hint="eastAsia" w:ascii="宋体" w:cs="宋体"/>
                <w:color w:val="auto"/>
                <w:kern w:val="0"/>
                <w:szCs w:val="21"/>
              </w:rPr>
              <w:instrText xml:space="preserve"> = 4 \* ROMAN \* MERGEFORMAT </w:instrText>
            </w:r>
            <w:r>
              <w:rPr>
                <w:rFonts w:hint="eastAsia" w:ascii="宋体" w:cs="宋体"/>
                <w:color w:val="auto"/>
                <w:kern w:val="0"/>
                <w:szCs w:val="21"/>
              </w:rPr>
              <w:fldChar w:fldCharType="separate"/>
            </w:r>
            <w:r>
              <w:rPr>
                <w:color w:val="auto"/>
              </w:rPr>
              <w:t>IV</w:t>
            </w:r>
            <w:r>
              <w:rPr>
                <w:rFonts w:hint="eastAsia" w:ascii="宋体" w:cs="宋体"/>
                <w:color w:val="auto"/>
                <w:kern w:val="0"/>
                <w:szCs w:val="21"/>
              </w:rPr>
              <w:fldChar w:fldCharType="end"/>
            </w:r>
            <w:r>
              <w:rPr>
                <w:rFonts w:hint="eastAsia" w:ascii="宋体" w:cs="宋体"/>
                <w:color w:val="auto"/>
                <w:kern w:val="0"/>
                <w:szCs w:val="21"/>
              </w:rPr>
              <w:t>类标准</w:t>
            </w:r>
          </w:p>
        </w:tc>
        <w:tc>
          <w:tcPr>
            <w:tcW w:w="1487" w:type="pct"/>
            <w:noWrap w:val="0"/>
            <w:vAlign w:val="center"/>
          </w:tcPr>
          <w:p>
            <w:pPr>
              <w:autoSpaceDE w:val="0"/>
              <w:autoSpaceDN w:val="0"/>
              <w:adjustRightInd w:val="0"/>
              <w:jc w:val="left"/>
              <w:rPr>
                <w:rFonts w:ascii="宋体" w:cs="宋体"/>
                <w:color w:val="auto"/>
                <w:kern w:val="0"/>
                <w:szCs w:val="21"/>
              </w:rPr>
            </w:pPr>
            <w:r>
              <w:rPr>
                <w:rFonts w:hint="eastAsia" w:ascii="宋体" w:hAnsi="宋体" w:cs="宋体"/>
                <w:color w:val="auto"/>
                <w:kern w:val="0"/>
                <w:szCs w:val="21"/>
              </w:rPr>
              <w:t>⑴</w:t>
            </w:r>
            <w:r>
              <w:rPr>
                <w:rFonts w:hint="eastAsia" w:ascii="宋体" w:cs="宋体"/>
                <w:color w:val="auto"/>
                <w:kern w:val="0"/>
                <w:szCs w:val="21"/>
              </w:rPr>
              <w:t>建设路面径流收集系统和排水系统，道路排水系统与现有规划的排水系统相协调，路面径流经收</w:t>
            </w:r>
          </w:p>
          <w:p>
            <w:pPr>
              <w:autoSpaceDE w:val="0"/>
              <w:autoSpaceDN w:val="0"/>
              <w:adjustRightInd w:val="0"/>
              <w:jc w:val="left"/>
              <w:rPr>
                <w:rFonts w:ascii="宋体" w:cs="宋体"/>
                <w:color w:val="auto"/>
                <w:kern w:val="0"/>
                <w:szCs w:val="21"/>
              </w:rPr>
            </w:pPr>
            <w:r>
              <w:rPr>
                <w:rFonts w:hint="eastAsia" w:ascii="宋体" w:cs="宋体"/>
                <w:color w:val="auto"/>
                <w:kern w:val="0"/>
                <w:szCs w:val="21"/>
              </w:rPr>
              <w:t>集后排入</w:t>
            </w:r>
            <w:r>
              <w:rPr>
                <w:rFonts w:hint="eastAsia" w:ascii="宋体" w:cs="宋体"/>
                <w:color w:val="auto"/>
                <w:kern w:val="0"/>
                <w:szCs w:val="21"/>
                <w:lang w:eastAsia="zh-CN"/>
              </w:rPr>
              <w:t>马莲河</w:t>
            </w:r>
            <w:r>
              <w:rPr>
                <w:rFonts w:hint="eastAsia" w:ascii="宋体" w:cs="宋体"/>
                <w:color w:val="auto"/>
                <w:kern w:val="0"/>
                <w:szCs w:val="21"/>
              </w:rPr>
              <w:t>。</w:t>
            </w:r>
          </w:p>
          <w:p>
            <w:pPr>
              <w:autoSpaceDE w:val="0"/>
              <w:autoSpaceDN w:val="0"/>
              <w:adjustRightInd w:val="0"/>
              <w:jc w:val="left"/>
              <w:rPr>
                <w:rFonts w:ascii="宋体" w:cs="宋体"/>
                <w:color w:val="auto"/>
                <w:kern w:val="0"/>
                <w:szCs w:val="21"/>
              </w:rPr>
            </w:pPr>
            <w:r>
              <w:rPr>
                <w:rFonts w:hint="eastAsia" w:ascii="宋体" w:hAnsi="宋体" w:cs="宋体"/>
                <w:color w:val="auto"/>
                <w:kern w:val="0"/>
                <w:szCs w:val="21"/>
              </w:rPr>
              <w:t>⑵</w:t>
            </w:r>
            <w:r>
              <w:rPr>
                <w:rFonts w:hint="eastAsia" w:ascii="宋体" w:cs="宋体"/>
                <w:color w:val="auto"/>
                <w:kern w:val="0"/>
                <w:szCs w:val="21"/>
              </w:rPr>
              <w:t>营运期水污染防治主要是环卫部门须做好路面清洁工作，防止生活垃圾随降水进入雨水排水沟，进而排入</w:t>
            </w:r>
            <w:r>
              <w:rPr>
                <w:rFonts w:hint="eastAsia" w:ascii="宋体" w:cs="宋体"/>
                <w:color w:val="auto"/>
                <w:kern w:val="0"/>
                <w:szCs w:val="21"/>
                <w:lang w:eastAsia="zh-CN"/>
              </w:rPr>
              <w:t>马莲河</w:t>
            </w:r>
            <w:r>
              <w:rPr>
                <w:rFonts w:hint="eastAsia" w:ascii="宋体" w:cs="宋体"/>
                <w:color w:val="auto"/>
                <w:kern w:val="0"/>
                <w:szCs w:val="21"/>
              </w:rPr>
              <w:t>。</w:t>
            </w:r>
          </w:p>
        </w:tc>
        <w:tc>
          <w:tcPr>
            <w:tcW w:w="840" w:type="pct"/>
            <w:noWrap w:val="0"/>
            <w:vAlign w:val="center"/>
          </w:tcPr>
          <w:p>
            <w:pPr>
              <w:autoSpaceDE w:val="0"/>
              <w:autoSpaceDN w:val="0"/>
              <w:adjustRightInd w:val="0"/>
              <w:jc w:val="left"/>
              <w:rPr>
                <w:rFonts w:ascii="宋体" w:cs="宋体"/>
                <w:color w:val="auto"/>
                <w:kern w:val="0"/>
                <w:szCs w:val="21"/>
              </w:rPr>
            </w:pPr>
            <w:r>
              <w:rPr>
                <w:rFonts w:hint="eastAsia" w:ascii="宋体" w:cs="宋体"/>
                <w:color w:val="auto"/>
                <w:kern w:val="0"/>
                <w:szCs w:val="21"/>
              </w:rPr>
              <w:t>水环境执行《地表水环境质量标准》</w:t>
            </w:r>
            <w:r>
              <w:rPr>
                <w:rFonts w:hint="eastAsia" w:ascii="宋体" w:cs="宋体"/>
                <w:color w:val="auto"/>
                <w:kern w:val="0"/>
                <w:szCs w:val="21"/>
              </w:rPr>
              <w:fldChar w:fldCharType="begin"/>
            </w:r>
            <w:r>
              <w:rPr>
                <w:rFonts w:hint="eastAsia" w:ascii="宋体" w:cs="宋体"/>
                <w:color w:val="auto"/>
                <w:kern w:val="0"/>
                <w:szCs w:val="21"/>
              </w:rPr>
              <w:instrText xml:space="preserve"> = 4 \* ROMAN \* MERGEFORMAT </w:instrText>
            </w:r>
            <w:r>
              <w:rPr>
                <w:rFonts w:hint="eastAsia" w:ascii="宋体" w:cs="宋体"/>
                <w:color w:val="auto"/>
                <w:kern w:val="0"/>
                <w:szCs w:val="21"/>
              </w:rPr>
              <w:fldChar w:fldCharType="separate"/>
            </w:r>
            <w:r>
              <w:rPr>
                <w:color w:val="auto"/>
              </w:rPr>
              <w:t>IV</w:t>
            </w:r>
            <w:r>
              <w:rPr>
                <w:rFonts w:hint="eastAsia" w:ascii="宋体" w:cs="宋体"/>
                <w:color w:val="auto"/>
                <w:kern w:val="0"/>
                <w:szCs w:val="21"/>
              </w:rPr>
              <w:fldChar w:fldCharType="end"/>
            </w:r>
            <w:r>
              <w:rPr>
                <w:rFonts w:hint="eastAsia" w:ascii="宋体" w:cs="宋体"/>
                <w:color w:val="auto"/>
                <w:kern w:val="0"/>
                <w:szCs w:val="21"/>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8" w:type="pct"/>
            <w:noWrap w:val="0"/>
            <w:vAlign w:val="center"/>
          </w:tcPr>
          <w:p>
            <w:pPr>
              <w:adjustRightInd w:val="0"/>
              <w:snapToGrid w:val="0"/>
              <w:jc w:val="center"/>
              <w:rPr>
                <w:color w:val="auto"/>
                <w:szCs w:val="21"/>
              </w:rPr>
            </w:pPr>
            <w:r>
              <w:rPr>
                <w:color w:val="auto"/>
                <w:szCs w:val="21"/>
              </w:rPr>
              <w:t>地下水及土壤环境</w:t>
            </w:r>
          </w:p>
        </w:tc>
        <w:tc>
          <w:tcPr>
            <w:tcW w:w="1304" w:type="pct"/>
            <w:noWrap w:val="0"/>
            <w:vAlign w:val="center"/>
          </w:tcPr>
          <w:p>
            <w:pPr>
              <w:adjustRightInd w:val="0"/>
              <w:snapToGrid w:val="0"/>
              <w:jc w:val="center"/>
              <w:rPr>
                <w:color w:val="auto"/>
                <w:szCs w:val="21"/>
              </w:rPr>
            </w:pPr>
            <w:r>
              <w:rPr>
                <w:rFonts w:hint="eastAsia"/>
                <w:color w:val="auto"/>
                <w:szCs w:val="21"/>
              </w:rPr>
              <w:t>/</w:t>
            </w:r>
          </w:p>
        </w:tc>
        <w:tc>
          <w:tcPr>
            <w:tcW w:w="731" w:type="pct"/>
            <w:noWrap w:val="0"/>
            <w:vAlign w:val="center"/>
          </w:tcPr>
          <w:p>
            <w:pPr>
              <w:adjustRightInd w:val="0"/>
              <w:snapToGrid w:val="0"/>
              <w:jc w:val="center"/>
              <w:rPr>
                <w:color w:val="auto"/>
                <w:szCs w:val="21"/>
              </w:rPr>
            </w:pPr>
            <w:r>
              <w:rPr>
                <w:rFonts w:hint="eastAsia"/>
                <w:color w:val="auto"/>
                <w:szCs w:val="21"/>
              </w:rPr>
              <w:t>/</w:t>
            </w:r>
          </w:p>
        </w:tc>
        <w:tc>
          <w:tcPr>
            <w:tcW w:w="1487" w:type="pct"/>
            <w:noWrap w:val="0"/>
            <w:vAlign w:val="center"/>
          </w:tcPr>
          <w:p>
            <w:pPr>
              <w:adjustRightInd w:val="0"/>
              <w:snapToGrid w:val="0"/>
              <w:jc w:val="center"/>
              <w:rPr>
                <w:color w:val="auto"/>
                <w:szCs w:val="21"/>
              </w:rPr>
            </w:pPr>
            <w:r>
              <w:rPr>
                <w:rFonts w:hint="eastAsia"/>
                <w:color w:val="auto"/>
                <w:szCs w:val="21"/>
              </w:rPr>
              <w:t>/</w:t>
            </w:r>
          </w:p>
        </w:tc>
        <w:tc>
          <w:tcPr>
            <w:tcW w:w="840" w:type="pct"/>
            <w:noWrap w:val="0"/>
            <w:vAlign w:val="center"/>
          </w:tcPr>
          <w:p>
            <w:pPr>
              <w:adjustRightInd w:val="0"/>
              <w:snapToGrid w:val="0"/>
              <w:jc w:val="center"/>
              <w:rPr>
                <w:color w:val="auto"/>
                <w:szCs w:val="21"/>
              </w:rPr>
            </w:pPr>
            <w:r>
              <w:rPr>
                <w:rFonts w:hint="eastAsia"/>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8" w:type="pct"/>
            <w:noWrap w:val="0"/>
            <w:vAlign w:val="center"/>
          </w:tcPr>
          <w:p>
            <w:pPr>
              <w:adjustRightInd w:val="0"/>
              <w:snapToGrid w:val="0"/>
              <w:jc w:val="center"/>
              <w:rPr>
                <w:color w:val="auto"/>
                <w:szCs w:val="21"/>
              </w:rPr>
            </w:pPr>
            <w:r>
              <w:rPr>
                <w:color w:val="auto"/>
                <w:szCs w:val="21"/>
              </w:rPr>
              <w:t>声环境</w:t>
            </w:r>
          </w:p>
        </w:tc>
        <w:tc>
          <w:tcPr>
            <w:tcW w:w="1304" w:type="pct"/>
            <w:noWrap w:val="0"/>
            <w:vAlign w:val="center"/>
          </w:tcPr>
          <w:p>
            <w:pPr>
              <w:autoSpaceDE w:val="0"/>
              <w:autoSpaceDN w:val="0"/>
              <w:adjustRightInd w:val="0"/>
              <w:jc w:val="left"/>
              <w:rPr>
                <w:color w:val="auto"/>
                <w:kern w:val="0"/>
                <w:szCs w:val="21"/>
              </w:rPr>
            </w:pPr>
            <w:r>
              <w:rPr>
                <w:color w:val="auto"/>
                <w:kern w:val="0"/>
                <w:szCs w:val="21"/>
              </w:rPr>
              <w:t>选用低噪声施工机械、并进行维护保养，施工车辆的运行线路运输时间尽量避开噪声敏感区域和时段，合理安排施工作业时间，禁止夜间施工，文明施工，定期监测施工现场噪声</w:t>
            </w:r>
          </w:p>
        </w:tc>
        <w:tc>
          <w:tcPr>
            <w:tcW w:w="731" w:type="pct"/>
            <w:noWrap w:val="0"/>
            <w:vAlign w:val="center"/>
          </w:tcPr>
          <w:p>
            <w:pPr>
              <w:autoSpaceDE w:val="0"/>
              <w:autoSpaceDN w:val="0"/>
              <w:adjustRightInd w:val="0"/>
              <w:jc w:val="left"/>
              <w:rPr>
                <w:color w:val="auto"/>
                <w:kern w:val="0"/>
                <w:szCs w:val="21"/>
              </w:rPr>
            </w:pPr>
            <w:r>
              <w:rPr>
                <w:color w:val="auto"/>
                <w:kern w:val="0"/>
                <w:szCs w:val="21"/>
              </w:rPr>
              <w:t>落实相关措施，达《建筑施工场界环境噪声排放标准》（</w:t>
            </w:r>
            <w:r>
              <w:rPr>
                <w:rFonts w:eastAsia="TimesNewRomanPSMT"/>
                <w:color w:val="auto"/>
                <w:kern w:val="0"/>
                <w:szCs w:val="21"/>
              </w:rPr>
              <w:t>GB12523-2011</w:t>
            </w:r>
            <w:r>
              <w:rPr>
                <w:color w:val="auto"/>
                <w:kern w:val="0"/>
                <w:szCs w:val="21"/>
              </w:rPr>
              <w:t>）限值要求</w:t>
            </w:r>
          </w:p>
        </w:tc>
        <w:tc>
          <w:tcPr>
            <w:tcW w:w="1487" w:type="pct"/>
            <w:noWrap w:val="0"/>
            <w:vAlign w:val="center"/>
          </w:tcPr>
          <w:p>
            <w:pPr>
              <w:autoSpaceDE w:val="0"/>
              <w:autoSpaceDN w:val="0"/>
              <w:adjustRightInd w:val="0"/>
              <w:jc w:val="left"/>
              <w:rPr>
                <w:color w:val="auto"/>
                <w:kern w:val="0"/>
                <w:szCs w:val="21"/>
              </w:rPr>
            </w:pPr>
            <w:r>
              <w:rPr>
                <w:color w:val="auto"/>
                <w:kern w:val="0"/>
                <w:szCs w:val="21"/>
              </w:rPr>
              <w:t>实施绿化降噪、配合设置</w:t>
            </w:r>
          </w:p>
          <w:p>
            <w:pPr>
              <w:autoSpaceDE w:val="0"/>
              <w:autoSpaceDN w:val="0"/>
              <w:adjustRightInd w:val="0"/>
              <w:jc w:val="left"/>
              <w:rPr>
                <w:color w:val="auto"/>
                <w:kern w:val="0"/>
                <w:szCs w:val="21"/>
              </w:rPr>
            </w:pPr>
            <w:r>
              <w:rPr>
                <w:color w:val="auto"/>
                <w:kern w:val="0"/>
                <w:szCs w:val="21"/>
              </w:rPr>
              <w:t>限速和禁鸣标志；禁止超载车辆上路</w:t>
            </w:r>
          </w:p>
        </w:tc>
        <w:tc>
          <w:tcPr>
            <w:tcW w:w="840" w:type="pct"/>
            <w:noWrap w:val="0"/>
            <w:vAlign w:val="center"/>
          </w:tcPr>
          <w:p>
            <w:pPr>
              <w:jc w:val="center"/>
              <w:rPr>
                <w:color w:val="auto"/>
              </w:rPr>
            </w:pPr>
            <w:r>
              <w:rPr>
                <w:color w:val="auto"/>
                <w:szCs w:val="21"/>
              </w:rPr>
              <w:t>敏感点处满足《声环境质量标准》（GB3096-2008）相应限值要求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8" w:type="pct"/>
            <w:noWrap w:val="0"/>
            <w:vAlign w:val="center"/>
          </w:tcPr>
          <w:p>
            <w:pPr>
              <w:adjustRightInd w:val="0"/>
              <w:snapToGrid w:val="0"/>
              <w:jc w:val="center"/>
              <w:rPr>
                <w:color w:val="auto"/>
                <w:szCs w:val="21"/>
              </w:rPr>
            </w:pPr>
            <w:r>
              <w:rPr>
                <w:color w:val="auto"/>
                <w:szCs w:val="21"/>
              </w:rPr>
              <w:t>振动</w:t>
            </w:r>
          </w:p>
        </w:tc>
        <w:tc>
          <w:tcPr>
            <w:tcW w:w="1304" w:type="pct"/>
            <w:noWrap w:val="0"/>
            <w:vAlign w:val="center"/>
          </w:tcPr>
          <w:p>
            <w:pPr>
              <w:adjustRightInd w:val="0"/>
              <w:snapToGrid w:val="0"/>
              <w:jc w:val="center"/>
              <w:rPr>
                <w:color w:val="auto"/>
                <w:szCs w:val="21"/>
              </w:rPr>
            </w:pPr>
            <w:r>
              <w:rPr>
                <w:rFonts w:hint="eastAsia"/>
                <w:color w:val="auto"/>
                <w:szCs w:val="21"/>
              </w:rPr>
              <w:t>/</w:t>
            </w:r>
          </w:p>
        </w:tc>
        <w:tc>
          <w:tcPr>
            <w:tcW w:w="731" w:type="pct"/>
            <w:noWrap w:val="0"/>
            <w:vAlign w:val="center"/>
          </w:tcPr>
          <w:p>
            <w:pPr>
              <w:adjustRightInd w:val="0"/>
              <w:snapToGrid w:val="0"/>
              <w:jc w:val="center"/>
              <w:rPr>
                <w:color w:val="auto"/>
                <w:szCs w:val="21"/>
              </w:rPr>
            </w:pPr>
            <w:r>
              <w:rPr>
                <w:rFonts w:hint="eastAsia"/>
                <w:color w:val="auto"/>
                <w:szCs w:val="21"/>
              </w:rPr>
              <w:t>/</w:t>
            </w:r>
          </w:p>
        </w:tc>
        <w:tc>
          <w:tcPr>
            <w:tcW w:w="1487" w:type="pct"/>
            <w:noWrap w:val="0"/>
            <w:vAlign w:val="center"/>
          </w:tcPr>
          <w:p>
            <w:pPr>
              <w:adjustRightInd w:val="0"/>
              <w:snapToGrid w:val="0"/>
              <w:jc w:val="center"/>
              <w:rPr>
                <w:color w:val="auto"/>
                <w:szCs w:val="21"/>
              </w:rPr>
            </w:pPr>
            <w:r>
              <w:rPr>
                <w:rFonts w:hint="eastAsia"/>
                <w:color w:val="auto"/>
                <w:szCs w:val="21"/>
              </w:rPr>
              <w:t>/</w:t>
            </w:r>
          </w:p>
        </w:tc>
        <w:tc>
          <w:tcPr>
            <w:tcW w:w="840" w:type="pct"/>
            <w:noWrap w:val="0"/>
            <w:vAlign w:val="center"/>
          </w:tcPr>
          <w:p>
            <w:pPr>
              <w:adjustRightInd w:val="0"/>
              <w:snapToGrid w:val="0"/>
              <w:jc w:val="center"/>
              <w:rPr>
                <w:color w:val="auto"/>
                <w:szCs w:val="21"/>
              </w:rPr>
            </w:pPr>
            <w:r>
              <w:rPr>
                <w:rFonts w:hint="eastAsia"/>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8" w:type="pct"/>
            <w:noWrap w:val="0"/>
            <w:vAlign w:val="center"/>
          </w:tcPr>
          <w:p>
            <w:pPr>
              <w:adjustRightInd w:val="0"/>
              <w:snapToGrid w:val="0"/>
              <w:jc w:val="center"/>
              <w:rPr>
                <w:color w:val="auto"/>
                <w:szCs w:val="21"/>
              </w:rPr>
            </w:pPr>
            <w:r>
              <w:rPr>
                <w:color w:val="auto"/>
                <w:szCs w:val="21"/>
              </w:rPr>
              <w:t>大气环境</w:t>
            </w:r>
          </w:p>
        </w:tc>
        <w:tc>
          <w:tcPr>
            <w:tcW w:w="1304" w:type="pct"/>
            <w:noWrap w:val="0"/>
            <w:vAlign w:val="center"/>
          </w:tcPr>
          <w:p>
            <w:pPr>
              <w:autoSpaceDE w:val="0"/>
              <w:autoSpaceDN w:val="0"/>
              <w:adjustRightInd w:val="0"/>
              <w:jc w:val="left"/>
              <w:rPr>
                <w:rFonts w:ascii="宋体" w:cs="宋体"/>
                <w:color w:val="auto"/>
                <w:kern w:val="0"/>
                <w:szCs w:val="21"/>
              </w:rPr>
            </w:pPr>
            <w:r>
              <w:rPr>
                <w:rFonts w:hint="eastAsia" w:ascii="宋体" w:cs="宋体"/>
                <w:color w:val="auto"/>
                <w:kern w:val="0"/>
                <w:szCs w:val="21"/>
              </w:rPr>
              <w:t>①在施工区域周围设置围挡；</w:t>
            </w:r>
          </w:p>
          <w:p>
            <w:pPr>
              <w:autoSpaceDE w:val="0"/>
              <w:autoSpaceDN w:val="0"/>
              <w:adjustRightInd w:val="0"/>
              <w:jc w:val="left"/>
              <w:rPr>
                <w:rFonts w:ascii="宋体" w:cs="宋体"/>
                <w:color w:val="auto"/>
                <w:kern w:val="0"/>
                <w:szCs w:val="21"/>
              </w:rPr>
            </w:pPr>
            <w:r>
              <w:rPr>
                <w:rFonts w:hint="eastAsia" w:ascii="宋体" w:cs="宋体"/>
                <w:color w:val="auto"/>
                <w:kern w:val="0"/>
                <w:szCs w:val="21"/>
              </w:rPr>
              <w:t>②出场车辆冲洗；</w:t>
            </w:r>
          </w:p>
          <w:p>
            <w:pPr>
              <w:autoSpaceDE w:val="0"/>
              <w:autoSpaceDN w:val="0"/>
              <w:adjustRightInd w:val="0"/>
              <w:jc w:val="left"/>
              <w:rPr>
                <w:rFonts w:ascii="宋体" w:cs="宋体"/>
                <w:color w:val="auto"/>
                <w:kern w:val="0"/>
                <w:szCs w:val="21"/>
              </w:rPr>
            </w:pPr>
            <w:r>
              <w:rPr>
                <w:rFonts w:hint="eastAsia" w:ascii="宋体" w:cs="宋体"/>
                <w:color w:val="auto"/>
                <w:kern w:val="0"/>
                <w:szCs w:val="21"/>
              </w:rPr>
              <w:t>③防风遮盖措施；</w:t>
            </w:r>
          </w:p>
          <w:p>
            <w:pPr>
              <w:autoSpaceDE w:val="0"/>
              <w:autoSpaceDN w:val="0"/>
              <w:adjustRightInd w:val="0"/>
              <w:jc w:val="left"/>
              <w:rPr>
                <w:rFonts w:ascii="宋体" w:cs="宋体"/>
                <w:color w:val="auto"/>
                <w:kern w:val="0"/>
                <w:szCs w:val="21"/>
              </w:rPr>
            </w:pPr>
            <w:r>
              <w:rPr>
                <w:rFonts w:hint="eastAsia" w:ascii="宋体" w:cs="宋体"/>
                <w:color w:val="auto"/>
                <w:kern w:val="0"/>
                <w:szCs w:val="21"/>
              </w:rPr>
              <w:t>④拆除湿法作业；</w:t>
            </w:r>
          </w:p>
          <w:p>
            <w:pPr>
              <w:autoSpaceDE w:val="0"/>
              <w:autoSpaceDN w:val="0"/>
              <w:adjustRightInd w:val="0"/>
              <w:jc w:val="left"/>
              <w:rPr>
                <w:rFonts w:ascii="宋体" w:cs="宋体"/>
                <w:color w:val="auto"/>
                <w:kern w:val="0"/>
                <w:szCs w:val="21"/>
              </w:rPr>
            </w:pPr>
            <w:r>
              <w:rPr>
                <w:rFonts w:hint="eastAsia" w:ascii="宋体" w:cs="宋体"/>
                <w:color w:val="auto"/>
                <w:kern w:val="0"/>
                <w:szCs w:val="21"/>
              </w:rPr>
              <w:t>⑤现场不进行砂浆及沥青搅拌；</w:t>
            </w:r>
          </w:p>
          <w:p>
            <w:pPr>
              <w:autoSpaceDE w:val="0"/>
              <w:autoSpaceDN w:val="0"/>
              <w:adjustRightInd w:val="0"/>
              <w:jc w:val="left"/>
              <w:rPr>
                <w:rFonts w:ascii="宋体" w:cs="宋体"/>
                <w:color w:val="auto"/>
                <w:kern w:val="0"/>
                <w:szCs w:val="21"/>
              </w:rPr>
            </w:pPr>
            <w:r>
              <w:rPr>
                <w:rFonts w:hint="eastAsia" w:ascii="宋体" w:cs="宋体"/>
                <w:color w:val="auto"/>
                <w:kern w:val="0"/>
                <w:szCs w:val="21"/>
              </w:rPr>
              <w:t>⑥使用符合国家标准的设备和燃油</w:t>
            </w:r>
          </w:p>
          <w:p>
            <w:pPr>
              <w:autoSpaceDE w:val="0"/>
              <w:autoSpaceDN w:val="0"/>
              <w:adjustRightInd w:val="0"/>
              <w:jc w:val="left"/>
              <w:rPr>
                <w:rFonts w:ascii="宋体" w:cs="宋体"/>
                <w:color w:val="auto"/>
                <w:kern w:val="0"/>
                <w:szCs w:val="21"/>
              </w:rPr>
            </w:pPr>
            <w:r>
              <w:rPr>
                <w:rFonts w:hint="eastAsia" w:ascii="宋体" w:cs="宋体"/>
                <w:color w:val="auto"/>
                <w:kern w:val="0"/>
                <w:szCs w:val="21"/>
              </w:rPr>
              <w:t>⑦对施工器械和运输车辆及时保养；</w:t>
            </w:r>
          </w:p>
          <w:p>
            <w:pPr>
              <w:autoSpaceDE w:val="0"/>
              <w:autoSpaceDN w:val="0"/>
              <w:adjustRightInd w:val="0"/>
              <w:jc w:val="left"/>
              <w:rPr>
                <w:rFonts w:hint="eastAsia" w:ascii="宋体" w:cs="宋体"/>
                <w:color w:val="auto"/>
                <w:kern w:val="0"/>
                <w:szCs w:val="21"/>
              </w:rPr>
            </w:pPr>
            <w:r>
              <w:rPr>
                <w:rFonts w:hint="eastAsia" w:ascii="宋体" w:cs="宋体"/>
                <w:color w:val="auto"/>
                <w:kern w:val="0"/>
                <w:szCs w:val="21"/>
              </w:rPr>
              <w:t>⑧沥青摊铺施选择合适天气，缩短作业时间</w:t>
            </w:r>
          </w:p>
        </w:tc>
        <w:tc>
          <w:tcPr>
            <w:tcW w:w="731" w:type="pct"/>
            <w:noWrap w:val="0"/>
            <w:vAlign w:val="center"/>
          </w:tcPr>
          <w:p>
            <w:pPr>
              <w:autoSpaceDE w:val="0"/>
              <w:autoSpaceDN w:val="0"/>
              <w:adjustRightInd w:val="0"/>
              <w:jc w:val="left"/>
              <w:rPr>
                <w:rFonts w:ascii="宋体" w:cs="宋体"/>
                <w:color w:val="auto"/>
                <w:kern w:val="0"/>
                <w:szCs w:val="21"/>
              </w:rPr>
            </w:pPr>
            <w:r>
              <w:rPr>
                <w:rFonts w:hint="eastAsia" w:ascii="宋体" w:cs="宋体"/>
                <w:color w:val="auto"/>
                <w:kern w:val="0"/>
                <w:szCs w:val="21"/>
              </w:rPr>
              <w:t>环境空气质量执行《环境空气质量标准》及其修改单二级标准。</w:t>
            </w:r>
          </w:p>
        </w:tc>
        <w:tc>
          <w:tcPr>
            <w:tcW w:w="1487" w:type="pct"/>
            <w:noWrap w:val="0"/>
            <w:vAlign w:val="center"/>
          </w:tcPr>
          <w:p>
            <w:pPr>
              <w:autoSpaceDE w:val="0"/>
              <w:autoSpaceDN w:val="0"/>
              <w:adjustRightInd w:val="0"/>
              <w:jc w:val="left"/>
              <w:rPr>
                <w:rFonts w:ascii="宋体" w:cs="宋体"/>
                <w:color w:val="auto"/>
                <w:kern w:val="0"/>
                <w:szCs w:val="21"/>
              </w:rPr>
            </w:pPr>
            <w:r>
              <w:rPr>
                <w:rFonts w:hint="eastAsia" w:ascii="宋体" w:cs="宋体"/>
                <w:color w:val="auto"/>
                <w:kern w:val="0"/>
                <w:szCs w:val="21"/>
              </w:rPr>
              <w:t>禁止尾气超标车辆运输；强道路的清扫，保持道路的整洁；做好沿线绿化带</w:t>
            </w:r>
          </w:p>
          <w:p>
            <w:pPr>
              <w:autoSpaceDE w:val="0"/>
              <w:autoSpaceDN w:val="0"/>
              <w:adjustRightInd w:val="0"/>
              <w:jc w:val="left"/>
              <w:rPr>
                <w:rFonts w:ascii="宋体" w:cs="宋体"/>
                <w:color w:val="auto"/>
                <w:kern w:val="0"/>
                <w:szCs w:val="21"/>
              </w:rPr>
            </w:pPr>
            <w:r>
              <w:rPr>
                <w:rFonts w:hint="eastAsia" w:ascii="宋体" w:cs="宋体"/>
                <w:color w:val="auto"/>
                <w:kern w:val="0"/>
                <w:szCs w:val="21"/>
              </w:rPr>
              <w:t>的绿化工作，并做好绿化工程的维护；加强运</w:t>
            </w:r>
          </w:p>
          <w:p>
            <w:pPr>
              <w:autoSpaceDE w:val="0"/>
              <w:autoSpaceDN w:val="0"/>
              <w:adjustRightInd w:val="0"/>
              <w:jc w:val="left"/>
              <w:rPr>
                <w:rFonts w:ascii="宋体" w:cs="宋体"/>
                <w:color w:val="auto"/>
                <w:kern w:val="0"/>
                <w:szCs w:val="21"/>
              </w:rPr>
            </w:pPr>
            <w:r>
              <w:rPr>
                <w:rFonts w:hint="eastAsia" w:ascii="宋体" w:cs="宋体"/>
                <w:color w:val="auto"/>
                <w:kern w:val="0"/>
                <w:szCs w:val="21"/>
              </w:rPr>
              <w:t>载散体材料的车辆管理工作，明确要求其采取加盖蓬布等封闭运输措施</w:t>
            </w:r>
          </w:p>
        </w:tc>
        <w:tc>
          <w:tcPr>
            <w:tcW w:w="840" w:type="pct"/>
            <w:noWrap w:val="0"/>
            <w:vAlign w:val="center"/>
          </w:tcPr>
          <w:p>
            <w:pPr>
              <w:jc w:val="center"/>
              <w:rPr>
                <w:rFonts w:hint="eastAsia"/>
                <w:color w:val="auto"/>
              </w:rPr>
            </w:pPr>
            <w:r>
              <w:rPr>
                <w:rFonts w:hint="eastAsia" w:ascii="宋体" w:cs="宋体"/>
                <w:color w:val="auto"/>
                <w:kern w:val="0"/>
                <w:szCs w:val="21"/>
              </w:rPr>
              <w:t>环境空气质量执行《环境空气质量标准》及其修改单二级标准。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8" w:type="pct"/>
            <w:noWrap w:val="0"/>
            <w:vAlign w:val="center"/>
          </w:tcPr>
          <w:p>
            <w:pPr>
              <w:adjustRightInd w:val="0"/>
              <w:snapToGrid w:val="0"/>
              <w:jc w:val="center"/>
              <w:rPr>
                <w:color w:val="auto"/>
                <w:szCs w:val="21"/>
              </w:rPr>
            </w:pPr>
            <w:r>
              <w:rPr>
                <w:color w:val="auto"/>
                <w:szCs w:val="21"/>
              </w:rPr>
              <w:t>固体废物</w:t>
            </w:r>
          </w:p>
        </w:tc>
        <w:tc>
          <w:tcPr>
            <w:tcW w:w="1304" w:type="pct"/>
            <w:noWrap w:val="0"/>
            <w:vAlign w:val="center"/>
          </w:tcPr>
          <w:p>
            <w:pPr>
              <w:autoSpaceDE w:val="0"/>
              <w:autoSpaceDN w:val="0"/>
              <w:adjustRightInd w:val="0"/>
              <w:jc w:val="left"/>
              <w:rPr>
                <w:color w:val="auto"/>
                <w:kern w:val="0"/>
                <w:szCs w:val="21"/>
              </w:rPr>
            </w:pPr>
            <w:r>
              <w:rPr>
                <w:color w:val="auto"/>
                <w:kern w:val="0"/>
                <w:szCs w:val="21"/>
              </w:rPr>
              <w:t>建筑垃圾运至住建部门指定位置进行处置，可回收的外售至垃圾回收站；废弃土方产生量较少，用于沿线路面平整；生活垃圾由环卫部门统一清运</w:t>
            </w:r>
          </w:p>
        </w:tc>
        <w:tc>
          <w:tcPr>
            <w:tcW w:w="731" w:type="pct"/>
            <w:noWrap w:val="0"/>
            <w:vAlign w:val="center"/>
          </w:tcPr>
          <w:p>
            <w:pPr>
              <w:autoSpaceDE w:val="0"/>
              <w:autoSpaceDN w:val="0"/>
              <w:adjustRightInd w:val="0"/>
              <w:jc w:val="left"/>
              <w:rPr>
                <w:color w:val="auto"/>
                <w:kern w:val="0"/>
                <w:szCs w:val="21"/>
              </w:rPr>
            </w:pPr>
            <w:r>
              <w:rPr>
                <w:color w:val="auto"/>
                <w:kern w:val="0"/>
                <w:szCs w:val="21"/>
              </w:rPr>
              <w:t>按要求落实，各类固体废物均能得到妥善处置满足《一般工业固体废物贮存和填埋污染控制标准》</w:t>
            </w:r>
            <w:r>
              <w:rPr>
                <w:rFonts w:eastAsia="TimesNewRomanPSMT"/>
                <w:color w:val="auto"/>
                <w:kern w:val="0"/>
                <w:szCs w:val="21"/>
              </w:rPr>
              <w:t>(GB18599-2</w:t>
            </w:r>
          </w:p>
          <w:p>
            <w:pPr>
              <w:adjustRightInd w:val="0"/>
              <w:snapToGrid w:val="0"/>
              <w:jc w:val="center"/>
              <w:rPr>
                <w:color w:val="auto"/>
                <w:szCs w:val="21"/>
              </w:rPr>
            </w:pPr>
            <w:r>
              <w:rPr>
                <w:rFonts w:eastAsia="TimesNewRomanPSMT"/>
                <w:color w:val="auto"/>
                <w:kern w:val="0"/>
                <w:szCs w:val="21"/>
              </w:rPr>
              <w:t>020)</w:t>
            </w:r>
          </w:p>
        </w:tc>
        <w:tc>
          <w:tcPr>
            <w:tcW w:w="1487" w:type="pct"/>
            <w:noWrap w:val="0"/>
            <w:vAlign w:val="center"/>
          </w:tcPr>
          <w:p>
            <w:pPr>
              <w:autoSpaceDE w:val="0"/>
              <w:autoSpaceDN w:val="0"/>
              <w:adjustRightInd w:val="0"/>
              <w:jc w:val="left"/>
              <w:rPr>
                <w:rFonts w:ascii="宋体" w:cs="宋体"/>
                <w:color w:val="auto"/>
                <w:kern w:val="0"/>
                <w:szCs w:val="21"/>
              </w:rPr>
            </w:pPr>
            <w:r>
              <w:rPr>
                <w:rFonts w:hint="eastAsia" w:ascii="宋体" w:cs="宋体"/>
                <w:color w:val="auto"/>
                <w:kern w:val="0"/>
                <w:szCs w:val="21"/>
              </w:rPr>
              <w:t>道路产生的垃圾由环卫部门定期清运</w:t>
            </w:r>
          </w:p>
        </w:tc>
        <w:tc>
          <w:tcPr>
            <w:tcW w:w="840" w:type="pct"/>
            <w:noWrap w:val="0"/>
            <w:vAlign w:val="center"/>
          </w:tcPr>
          <w:p>
            <w:pPr>
              <w:autoSpaceDE w:val="0"/>
              <w:autoSpaceDN w:val="0"/>
              <w:adjustRightInd w:val="0"/>
              <w:jc w:val="left"/>
              <w:rPr>
                <w:color w:val="auto"/>
                <w:kern w:val="0"/>
                <w:szCs w:val="21"/>
              </w:rPr>
            </w:pPr>
            <w:r>
              <w:rPr>
                <w:color w:val="auto"/>
                <w:kern w:val="0"/>
                <w:szCs w:val="21"/>
              </w:rPr>
              <w:t>《一般工业固体废物贮存和填埋污染控制标准》</w:t>
            </w:r>
            <w:r>
              <w:rPr>
                <w:rFonts w:eastAsia="TimesNewRomanPSMT"/>
                <w:color w:val="auto"/>
                <w:kern w:val="0"/>
                <w:szCs w:val="21"/>
              </w:rPr>
              <w:t>(GB18599-2020)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8" w:type="pct"/>
            <w:noWrap w:val="0"/>
            <w:vAlign w:val="center"/>
          </w:tcPr>
          <w:p>
            <w:pPr>
              <w:adjustRightInd w:val="0"/>
              <w:snapToGrid w:val="0"/>
              <w:jc w:val="center"/>
              <w:rPr>
                <w:color w:val="auto"/>
                <w:szCs w:val="21"/>
              </w:rPr>
            </w:pPr>
            <w:r>
              <w:rPr>
                <w:color w:val="auto"/>
                <w:szCs w:val="21"/>
              </w:rPr>
              <w:t>电磁环境</w:t>
            </w:r>
          </w:p>
        </w:tc>
        <w:tc>
          <w:tcPr>
            <w:tcW w:w="1304" w:type="pct"/>
            <w:noWrap w:val="0"/>
            <w:vAlign w:val="center"/>
          </w:tcPr>
          <w:p>
            <w:pPr>
              <w:adjustRightInd w:val="0"/>
              <w:snapToGrid w:val="0"/>
              <w:jc w:val="center"/>
              <w:rPr>
                <w:color w:val="auto"/>
                <w:szCs w:val="21"/>
              </w:rPr>
            </w:pPr>
            <w:r>
              <w:rPr>
                <w:rFonts w:hint="eastAsia"/>
                <w:color w:val="auto"/>
                <w:szCs w:val="21"/>
              </w:rPr>
              <w:t>/</w:t>
            </w:r>
          </w:p>
        </w:tc>
        <w:tc>
          <w:tcPr>
            <w:tcW w:w="731" w:type="pct"/>
            <w:noWrap w:val="0"/>
            <w:vAlign w:val="center"/>
          </w:tcPr>
          <w:p>
            <w:pPr>
              <w:adjustRightInd w:val="0"/>
              <w:snapToGrid w:val="0"/>
              <w:jc w:val="center"/>
              <w:rPr>
                <w:color w:val="auto"/>
                <w:szCs w:val="21"/>
              </w:rPr>
            </w:pPr>
            <w:r>
              <w:rPr>
                <w:rFonts w:hint="eastAsia"/>
                <w:color w:val="auto"/>
                <w:szCs w:val="21"/>
              </w:rPr>
              <w:t>/</w:t>
            </w:r>
          </w:p>
        </w:tc>
        <w:tc>
          <w:tcPr>
            <w:tcW w:w="1487" w:type="pct"/>
            <w:noWrap w:val="0"/>
            <w:vAlign w:val="center"/>
          </w:tcPr>
          <w:p>
            <w:pPr>
              <w:adjustRightInd w:val="0"/>
              <w:snapToGrid w:val="0"/>
              <w:jc w:val="center"/>
              <w:rPr>
                <w:color w:val="auto"/>
                <w:szCs w:val="21"/>
              </w:rPr>
            </w:pPr>
            <w:r>
              <w:rPr>
                <w:rFonts w:hint="eastAsia"/>
                <w:color w:val="auto"/>
                <w:szCs w:val="21"/>
              </w:rPr>
              <w:t>/</w:t>
            </w:r>
          </w:p>
        </w:tc>
        <w:tc>
          <w:tcPr>
            <w:tcW w:w="840" w:type="pct"/>
            <w:noWrap w:val="0"/>
            <w:vAlign w:val="center"/>
          </w:tcPr>
          <w:p>
            <w:pPr>
              <w:adjustRightInd w:val="0"/>
              <w:snapToGrid w:val="0"/>
              <w:jc w:val="center"/>
              <w:rPr>
                <w:color w:val="auto"/>
                <w:szCs w:val="21"/>
              </w:rPr>
            </w:pPr>
            <w:r>
              <w:rPr>
                <w:rFonts w:hint="eastAsia"/>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8" w:type="pct"/>
            <w:noWrap w:val="0"/>
            <w:vAlign w:val="center"/>
          </w:tcPr>
          <w:p>
            <w:pPr>
              <w:adjustRightInd w:val="0"/>
              <w:snapToGrid w:val="0"/>
              <w:jc w:val="center"/>
              <w:rPr>
                <w:color w:val="auto"/>
                <w:szCs w:val="21"/>
              </w:rPr>
            </w:pPr>
            <w:r>
              <w:rPr>
                <w:color w:val="auto"/>
                <w:szCs w:val="21"/>
              </w:rPr>
              <w:t>环境风险</w:t>
            </w:r>
          </w:p>
        </w:tc>
        <w:tc>
          <w:tcPr>
            <w:tcW w:w="1304" w:type="pct"/>
            <w:noWrap w:val="0"/>
            <w:vAlign w:val="center"/>
          </w:tcPr>
          <w:p>
            <w:pPr>
              <w:adjustRightInd w:val="0"/>
              <w:snapToGrid w:val="0"/>
              <w:jc w:val="center"/>
              <w:rPr>
                <w:color w:val="auto"/>
                <w:szCs w:val="21"/>
              </w:rPr>
            </w:pPr>
            <w:r>
              <w:rPr>
                <w:rFonts w:hint="eastAsia"/>
                <w:color w:val="auto"/>
                <w:szCs w:val="21"/>
              </w:rPr>
              <w:t>设置</w:t>
            </w:r>
            <w:r>
              <w:rPr>
                <w:color w:val="auto"/>
                <w:szCs w:val="21"/>
              </w:rPr>
              <w:t>警示标志牌</w:t>
            </w:r>
            <w:r>
              <w:rPr>
                <w:rFonts w:hint="eastAsia"/>
                <w:color w:val="auto"/>
                <w:szCs w:val="21"/>
              </w:rPr>
              <w:t>、规范安全施工作业</w:t>
            </w:r>
          </w:p>
        </w:tc>
        <w:tc>
          <w:tcPr>
            <w:tcW w:w="731" w:type="pct"/>
            <w:noWrap w:val="0"/>
            <w:vAlign w:val="center"/>
          </w:tcPr>
          <w:p>
            <w:pPr>
              <w:adjustRightInd w:val="0"/>
              <w:snapToGrid w:val="0"/>
              <w:jc w:val="center"/>
              <w:rPr>
                <w:color w:val="auto"/>
                <w:szCs w:val="21"/>
              </w:rPr>
            </w:pPr>
            <w:r>
              <w:rPr>
                <w:rFonts w:hint="eastAsia"/>
                <w:color w:val="auto"/>
                <w:szCs w:val="21"/>
              </w:rPr>
              <w:t>/</w:t>
            </w:r>
          </w:p>
        </w:tc>
        <w:tc>
          <w:tcPr>
            <w:tcW w:w="1487" w:type="pct"/>
            <w:noWrap w:val="0"/>
            <w:vAlign w:val="center"/>
          </w:tcPr>
          <w:p>
            <w:pPr>
              <w:autoSpaceDE w:val="0"/>
              <w:autoSpaceDN w:val="0"/>
              <w:adjustRightInd w:val="0"/>
              <w:jc w:val="left"/>
              <w:rPr>
                <w:rFonts w:hint="eastAsia" w:ascii="宋体" w:cs="宋体"/>
                <w:color w:val="auto"/>
                <w:kern w:val="0"/>
                <w:szCs w:val="21"/>
              </w:rPr>
            </w:pPr>
            <w:r>
              <w:rPr>
                <w:rFonts w:hint="eastAsia" w:ascii="宋体" w:cs="宋体"/>
                <w:color w:val="auto"/>
                <w:kern w:val="0"/>
                <w:szCs w:val="21"/>
              </w:rPr>
              <w:t>设加固护栏，设警示标志。桥梁路段设置危险品车辆限速标志和警示牌，加强道路维护管理，加强区域联动</w:t>
            </w:r>
          </w:p>
        </w:tc>
        <w:tc>
          <w:tcPr>
            <w:tcW w:w="840" w:type="pct"/>
            <w:noWrap w:val="0"/>
            <w:vAlign w:val="center"/>
          </w:tcPr>
          <w:p>
            <w:pPr>
              <w:adjustRightInd w:val="0"/>
              <w:snapToGrid w:val="0"/>
              <w:jc w:val="center"/>
              <w:rPr>
                <w:rFonts w:hint="eastAsia"/>
                <w:color w:val="auto"/>
                <w:szCs w:val="21"/>
              </w:rPr>
            </w:pPr>
            <w:r>
              <w:rPr>
                <w:rFonts w:hint="eastAsia"/>
                <w:color w:val="auto"/>
                <w:szCs w:val="21"/>
              </w:rPr>
              <w:t>确保环境风险最小化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8" w:type="pct"/>
            <w:noWrap w:val="0"/>
            <w:vAlign w:val="center"/>
          </w:tcPr>
          <w:p>
            <w:pPr>
              <w:adjustRightInd w:val="0"/>
              <w:snapToGrid w:val="0"/>
              <w:jc w:val="center"/>
              <w:rPr>
                <w:color w:val="auto"/>
                <w:szCs w:val="21"/>
              </w:rPr>
            </w:pPr>
            <w:r>
              <w:rPr>
                <w:color w:val="auto"/>
                <w:szCs w:val="21"/>
              </w:rPr>
              <w:t>环境监测</w:t>
            </w:r>
          </w:p>
        </w:tc>
        <w:tc>
          <w:tcPr>
            <w:tcW w:w="1304" w:type="pct"/>
            <w:noWrap w:val="0"/>
            <w:vAlign w:val="center"/>
          </w:tcPr>
          <w:p>
            <w:pPr>
              <w:adjustRightInd w:val="0"/>
              <w:snapToGrid w:val="0"/>
              <w:jc w:val="center"/>
              <w:rPr>
                <w:color w:val="auto"/>
                <w:szCs w:val="21"/>
              </w:rPr>
            </w:pPr>
            <w:r>
              <w:rPr>
                <w:rFonts w:hint="eastAsia"/>
                <w:color w:val="auto"/>
                <w:szCs w:val="21"/>
              </w:rPr>
              <w:t>施工期按要求进行环境监测</w:t>
            </w:r>
          </w:p>
        </w:tc>
        <w:tc>
          <w:tcPr>
            <w:tcW w:w="731" w:type="pct"/>
            <w:noWrap w:val="0"/>
            <w:vAlign w:val="center"/>
          </w:tcPr>
          <w:p>
            <w:pPr>
              <w:adjustRightInd w:val="0"/>
              <w:snapToGrid w:val="0"/>
              <w:jc w:val="center"/>
              <w:rPr>
                <w:color w:val="auto"/>
                <w:szCs w:val="21"/>
              </w:rPr>
            </w:pPr>
            <w:r>
              <w:rPr>
                <w:rFonts w:hint="eastAsia"/>
                <w:color w:val="auto"/>
                <w:szCs w:val="21"/>
              </w:rPr>
              <w:t>落实监测要求</w:t>
            </w:r>
          </w:p>
        </w:tc>
        <w:tc>
          <w:tcPr>
            <w:tcW w:w="1487" w:type="pct"/>
            <w:noWrap w:val="0"/>
            <w:vAlign w:val="center"/>
          </w:tcPr>
          <w:p>
            <w:pPr>
              <w:jc w:val="center"/>
              <w:rPr>
                <w:color w:val="auto"/>
              </w:rPr>
            </w:pPr>
            <w:r>
              <w:rPr>
                <w:color w:val="auto"/>
                <w:szCs w:val="21"/>
                <w:lang w:val="zh-CN"/>
              </w:rPr>
              <w:t>按照《排污单位自行监测技术指南  总则》（HJ819-2017）</w:t>
            </w:r>
            <w:r>
              <w:rPr>
                <w:color w:val="auto"/>
                <w:szCs w:val="21"/>
              </w:rPr>
              <w:t>制定本</w:t>
            </w:r>
            <w:r>
              <w:rPr>
                <w:rFonts w:hint="eastAsia"/>
                <w:color w:val="auto"/>
                <w:szCs w:val="21"/>
              </w:rPr>
              <w:t>检测计划并实施</w:t>
            </w:r>
          </w:p>
        </w:tc>
        <w:tc>
          <w:tcPr>
            <w:tcW w:w="840" w:type="pct"/>
            <w:noWrap w:val="0"/>
            <w:vAlign w:val="center"/>
          </w:tcPr>
          <w:p>
            <w:pPr>
              <w:jc w:val="center"/>
              <w:rPr>
                <w:color w:val="auto"/>
                <w:szCs w:val="21"/>
              </w:rPr>
            </w:pPr>
            <w:r>
              <w:rPr>
                <w:rFonts w:ascii="宋体" w:hAnsi="宋体"/>
                <w:color w:val="auto"/>
                <w:szCs w:val="21"/>
              </w:rPr>
              <w:t>《固定源废气监测技术规范》</w:t>
            </w:r>
            <w:r>
              <w:rPr>
                <w:color w:val="auto"/>
                <w:szCs w:val="21"/>
              </w:rPr>
              <w:t>(HJ/T397-2007)</w:t>
            </w:r>
            <w:r>
              <w:rPr>
                <w:rFonts w:ascii="宋体" w:hAnsi="宋体"/>
                <w:color w:val="auto"/>
                <w:szCs w:val="21"/>
              </w:rPr>
              <w:t>，《环境空气质量自动监测技术规范》</w:t>
            </w:r>
            <w:r>
              <w:rPr>
                <w:color w:val="auto"/>
                <w:szCs w:val="21"/>
              </w:rPr>
              <w:t>(HJ/T193-2005)</w:t>
            </w:r>
            <w:r>
              <w:rPr>
                <w:rFonts w:ascii="宋体" w:hAnsi="宋体"/>
                <w:color w:val="auto"/>
                <w:szCs w:val="21"/>
              </w:rPr>
              <w:t>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8" w:type="pct"/>
            <w:noWrap w:val="0"/>
            <w:vAlign w:val="center"/>
          </w:tcPr>
          <w:p>
            <w:pPr>
              <w:adjustRightInd w:val="0"/>
              <w:snapToGrid w:val="0"/>
              <w:jc w:val="center"/>
              <w:rPr>
                <w:color w:val="auto"/>
                <w:szCs w:val="21"/>
              </w:rPr>
            </w:pPr>
            <w:r>
              <w:rPr>
                <w:color w:val="auto"/>
                <w:szCs w:val="21"/>
              </w:rPr>
              <w:t>其他</w:t>
            </w:r>
          </w:p>
        </w:tc>
        <w:tc>
          <w:tcPr>
            <w:tcW w:w="1304" w:type="pct"/>
            <w:noWrap w:val="0"/>
            <w:vAlign w:val="center"/>
          </w:tcPr>
          <w:p>
            <w:pPr>
              <w:adjustRightInd w:val="0"/>
              <w:snapToGrid w:val="0"/>
              <w:jc w:val="center"/>
              <w:rPr>
                <w:color w:val="auto"/>
                <w:szCs w:val="21"/>
              </w:rPr>
            </w:pPr>
            <w:r>
              <w:rPr>
                <w:rFonts w:hint="eastAsia"/>
                <w:color w:val="auto"/>
                <w:szCs w:val="21"/>
              </w:rPr>
              <w:t>/</w:t>
            </w:r>
          </w:p>
        </w:tc>
        <w:tc>
          <w:tcPr>
            <w:tcW w:w="731" w:type="pct"/>
            <w:noWrap w:val="0"/>
            <w:vAlign w:val="center"/>
          </w:tcPr>
          <w:p>
            <w:pPr>
              <w:adjustRightInd w:val="0"/>
              <w:snapToGrid w:val="0"/>
              <w:jc w:val="center"/>
              <w:rPr>
                <w:color w:val="auto"/>
                <w:szCs w:val="21"/>
              </w:rPr>
            </w:pPr>
            <w:r>
              <w:rPr>
                <w:rFonts w:hint="eastAsia"/>
                <w:color w:val="auto"/>
                <w:szCs w:val="21"/>
              </w:rPr>
              <w:t>/</w:t>
            </w:r>
          </w:p>
        </w:tc>
        <w:tc>
          <w:tcPr>
            <w:tcW w:w="1487" w:type="pct"/>
            <w:noWrap w:val="0"/>
            <w:vAlign w:val="center"/>
          </w:tcPr>
          <w:p>
            <w:pPr>
              <w:adjustRightInd w:val="0"/>
              <w:snapToGrid w:val="0"/>
              <w:jc w:val="center"/>
              <w:rPr>
                <w:color w:val="auto"/>
                <w:szCs w:val="21"/>
              </w:rPr>
            </w:pPr>
            <w:r>
              <w:rPr>
                <w:rFonts w:hint="eastAsia"/>
                <w:color w:val="auto"/>
                <w:szCs w:val="21"/>
              </w:rPr>
              <w:t>/</w:t>
            </w:r>
          </w:p>
        </w:tc>
        <w:tc>
          <w:tcPr>
            <w:tcW w:w="840" w:type="pct"/>
            <w:noWrap w:val="0"/>
            <w:vAlign w:val="center"/>
          </w:tcPr>
          <w:p>
            <w:pPr>
              <w:adjustRightInd w:val="0"/>
              <w:snapToGrid w:val="0"/>
              <w:jc w:val="center"/>
              <w:rPr>
                <w:color w:val="auto"/>
                <w:szCs w:val="21"/>
              </w:rPr>
            </w:pPr>
            <w:r>
              <w:rPr>
                <w:rFonts w:hint="eastAsia"/>
                <w:color w:val="auto"/>
                <w:szCs w:val="21"/>
              </w:rPr>
              <w:t>/</w:t>
            </w:r>
          </w:p>
        </w:tc>
      </w:tr>
    </w:tbl>
    <w:p>
      <w:pPr>
        <w:pStyle w:val="21"/>
        <w:widowControl/>
        <w:numPr>
          <w:ilvl w:val="0"/>
          <w:numId w:val="0"/>
        </w:numPr>
        <w:spacing w:before="0" w:beforeAutospacing="0" w:after="0" w:afterAutospacing="0"/>
        <w:jc w:val="center"/>
        <w:outlineLvl w:val="0"/>
        <w:rPr>
          <w:rFonts w:ascii="Times New Roman" w:hAnsi="Times New Roman"/>
          <w:b/>
          <w:bCs/>
          <w:snapToGrid w:val="0"/>
          <w:color w:val="auto"/>
          <w:sz w:val="30"/>
          <w:szCs w:val="30"/>
        </w:rPr>
        <w:sectPr>
          <w:pgSz w:w="11906" w:h="16838"/>
          <w:pgMar w:top="1440" w:right="1800" w:bottom="1440" w:left="1800" w:header="851" w:footer="992" w:gutter="0"/>
          <w:cols w:space="0" w:num="1"/>
          <w:rtlGutter w:val="0"/>
          <w:docGrid w:type="lines" w:linePitch="312" w:charSpace="0"/>
        </w:sectPr>
      </w:pPr>
    </w:p>
    <w:p>
      <w:pPr>
        <w:pStyle w:val="21"/>
        <w:jc w:val="center"/>
        <w:outlineLvl w:val="0"/>
        <w:rPr>
          <w:rFonts w:ascii="Times New Roman" w:hAnsi="Times New Roman"/>
          <w:snapToGrid w:val="0"/>
          <w:color w:val="auto"/>
          <w:sz w:val="30"/>
          <w:szCs w:val="30"/>
        </w:rPr>
      </w:pPr>
      <w:r>
        <w:rPr>
          <w:rFonts w:ascii="Times New Roman" w:hAnsi="Times New Roman"/>
          <w:snapToGrid w:val="0"/>
          <w:color w:val="auto"/>
          <w:sz w:val="30"/>
          <w:szCs w:val="30"/>
        </w:rPr>
        <w:t>七、结论</w:t>
      </w:r>
    </w:p>
    <w:tbl>
      <w:tblPr>
        <w:tblStyle w:val="26"/>
        <w:tblW w:w="85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69" w:hRule="atLeast"/>
          <w:jc w:val="center"/>
        </w:trPr>
        <w:tc>
          <w:tcPr>
            <w:tcW w:w="8522" w:type="dxa"/>
          </w:tcPr>
          <w:p>
            <w:pPr>
              <w:pStyle w:val="61"/>
              <w:rPr>
                <w:rFonts w:cs="Times New Roman"/>
                <w:color w:val="auto"/>
              </w:rPr>
            </w:pPr>
          </w:p>
          <w:p>
            <w:pPr>
              <w:pStyle w:val="61"/>
              <w:rPr>
                <w:rFonts w:cs="Times New Roman"/>
                <w:color w:val="auto"/>
              </w:rPr>
            </w:pPr>
          </w:p>
          <w:p>
            <w:pPr>
              <w:pStyle w:val="61"/>
              <w:rPr>
                <w:rFonts w:cs="Times New Roman"/>
                <w:color w:val="auto"/>
              </w:rPr>
            </w:pPr>
          </w:p>
          <w:p>
            <w:pPr>
              <w:pStyle w:val="61"/>
              <w:rPr>
                <w:rFonts w:cs="Times New Roman"/>
                <w:color w:val="auto"/>
              </w:rPr>
            </w:pPr>
            <w:bookmarkStart w:id="47" w:name="_GoBack"/>
            <w:bookmarkEnd w:id="47"/>
          </w:p>
          <w:p>
            <w:pPr>
              <w:pStyle w:val="61"/>
              <w:rPr>
                <w:rFonts w:cs="Times New Roman"/>
                <w:color w:val="auto"/>
              </w:rPr>
            </w:pPr>
          </w:p>
          <w:p>
            <w:pPr>
              <w:pStyle w:val="61"/>
              <w:rPr>
                <w:rFonts w:cs="Times New Roman"/>
                <w:color w:val="auto"/>
              </w:rPr>
            </w:pPr>
          </w:p>
          <w:p>
            <w:pPr>
              <w:pStyle w:val="61"/>
              <w:rPr>
                <w:rFonts w:cs="Times New Roman"/>
                <w:color w:val="auto"/>
              </w:rPr>
            </w:pPr>
          </w:p>
          <w:p>
            <w:pPr>
              <w:pStyle w:val="61"/>
              <w:rPr>
                <w:rFonts w:cs="Times New Roman"/>
                <w:color w:val="auto"/>
              </w:rPr>
            </w:pPr>
          </w:p>
          <w:p>
            <w:pPr>
              <w:pStyle w:val="61"/>
              <w:rPr>
                <w:rFonts w:cs="Times New Roman"/>
                <w:color w:val="auto"/>
              </w:rPr>
            </w:pPr>
          </w:p>
          <w:p>
            <w:pPr>
              <w:pStyle w:val="61"/>
              <w:rPr>
                <w:rFonts w:cs="Times New Roman"/>
                <w:color w:val="auto"/>
                <w:szCs w:val="21"/>
              </w:rPr>
            </w:pPr>
            <w:r>
              <w:rPr>
                <w:rFonts w:cs="Times New Roman"/>
                <w:color w:val="auto"/>
              </w:rPr>
              <w:t>本项目符合国家和地方产业政策，</w:t>
            </w:r>
            <w:r>
              <w:rPr>
                <w:rFonts w:ascii="Times New Roman" w:hAnsi="Times New Roman" w:cs="Times New Roman"/>
                <w:bCs/>
                <w:color w:val="auto"/>
                <w:sz w:val="24"/>
              </w:rPr>
              <w:t>对于本区域今后社会、经济发展具有明显的促进意义。</w:t>
            </w:r>
            <w:r>
              <w:rPr>
                <w:rFonts w:ascii="宋体" w:hAnsi="宋体" w:cs="宋体"/>
                <w:color w:val="auto"/>
                <w:sz w:val="24"/>
                <w:szCs w:val="24"/>
              </w:rPr>
              <w:t>项目在施工期及营运期对沿线生态环境、水环境、声环境及空气环境产生不同程度的影响，</w:t>
            </w:r>
            <w:r>
              <w:rPr>
                <w:rFonts w:ascii="Times New Roman" w:hAnsi="Times New Roman" w:cs="Times New Roman"/>
                <w:bCs/>
                <w:color w:val="auto"/>
                <w:sz w:val="24"/>
              </w:rPr>
              <w:t>施工期及运营期严格</w:t>
            </w:r>
            <w:r>
              <w:rPr>
                <w:rFonts w:ascii="宋体" w:hAnsi="宋体" w:cs="宋体"/>
                <w:color w:val="auto"/>
                <w:sz w:val="24"/>
                <w:szCs w:val="24"/>
              </w:rPr>
              <w:t>落实本报告中提出的防治措施并加强生态环境管理，规范施工行为，服从生态环境部门的监督管理，落实项目生态环境“三同时"制度，</w:t>
            </w:r>
            <w:r>
              <w:rPr>
                <w:rFonts w:hint="eastAsia" w:ascii="宋体" w:hAnsi="宋体" w:cs="宋体"/>
                <w:color w:val="auto"/>
                <w:sz w:val="24"/>
                <w:szCs w:val="24"/>
              </w:rPr>
              <w:t>可</w:t>
            </w:r>
            <w:r>
              <w:rPr>
                <w:rFonts w:ascii="宋体" w:hAnsi="宋体" w:cs="宋体"/>
                <w:color w:val="auto"/>
                <w:sz w:val="24"/>
                <w:szCs w:val="24"/>
              </w:rPr>
              <w:t>将工程对环境的影响降低到最低程度</w:t>
            </w:r>
            <w:r>
              <w:rPr>
                <w:rFonts w:hint="eastAsia" w:ascii="宋体" w:hAnsi="宋体" w:cs="宋体"/>
                <w:color w:val="auto"/>
                <w:sz w:val="24"/>
                <w:szCs w:val="24"/>
              </w:rPr>
              <w:t>，</w:t>
            </w:r>
            <w:r>
              <w:rPr>
                <w:rFonts w:ascii="Times New Roman" w:hAnsi="Times New Roman" w:cs="Times New Roman"/>
                <w:bCs/>
                <w:color w:val="auto"/>
                <w:sz w:val="24"/>
              </w:rPr>
              <w:t>项目的建设对环境的负面影响在可接受范围内。在此基础上，从环境保护角度而言，本项目的建设是可行的</w:t>
            </w:r>
            <w:r>
              <w:rPr>
                <w:rFonts w:cs="Times New Roman"/>
                <w:color w:val="auto"/>
              </w:rPr>
              <w:t>。</w:t>
            </w:r>
          </w:p>
        </w:tc>
      </w:tr>
    </w:tbl>
    <w:p>
      <w:pPr>
        <w:pStyle w:val="58"/>
        <w:ind w:firstLine="0" w:firstLineChars="0"/>
        <w:rPr>
          <w:color w:val="auto"/>
        </w:rPr>
      </w:pP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b/>
          <w:bCs/>
          <w:color w:val="auto"/>
          <w:sz w:val="30"/>
          <w:szCs w:val="30"/>
        </w:rPr>
      </w:pPr>
      <w:r>
        <w:rPr>
          <w:rFonts w:hint="eastAsia"/>
          <w:b/>
          <w:bCs/>
          <w:color w:val="auto"/>
          <w:sz w:val="30"/>
          <w:szCs w:val="30"/>
        </w:rPr>
        <w:t>八、</w:t>
      </w:r>
      <w:r>
        <w:rPr>
          <w:b/>
          <w:bCs/>
          <w:color w:val="auto"/>
          <w:sz w:val="30"/>
          <w:szCs w:val="30"/>
        </w:rPr>
        <w:t>噪声环境影响专</w:t>
      </w:r>
      <w:r>
        <w:rPr>
          <w:rFonts w:hint="eastAsia"/>
          <w:b/>
          <w:bCs/>
          <w:color w:val="auto"/>
          <w:sz w:val="30"/>
          <w:szCs w:val="30"/>
        </w:rPr>
        <w:t>项评价</w:t>
      </w:r>
    </w:p>
    <w:tbl>
      <w:tblPr>
        <w:tblStyle w:val="26"/>
        <w:tblW w:w="84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9" w:type="dxa"/>
            <w:shd w:val="clear" w:color="auto" w:fill="auto"/>
            <w:noWrap w:val="0"/>
            <w:vAlign w:val="top"/>
          </w:tcPr>
          <w:p>
            <w:pPr>
              <w:pStyle w:val="111"/>
              <w:keepNext w:val="0"/>
              <w:keepLines w:val="0"/>
              <w:pageBreakBefore w:val="0"/>
              <w:widowControl w:val="0"/>
              <w:kinsoku/>
              <w:wordWrap/>
              <w:overflowPunct/>
              <w:topLinePunct w:val="0"/>
              <w:autoSpaceDE/>
              <w:autoSpaceDN/>
              <w:bidi w:val="0"/>
              <w:adjustRightInd w:val="0"/>
              <w:snapToGrid w:val="0"/>
              <w:spacing w:before="157" w:beforeLines="50"/>
              <w:ind w:left="0" w:leftChars="0" w:firstLine="0" w:firstLineChars="0"/>
              <w:textAlignment w:val="auto"/>
              <w:rPr>
                <w:b/>
                <w:bCs/>
                <w:color w:val="auto"/>
                <w:szCs w:val="24"/>
              </w:rPr>
            </w:pPr>
            <w:r>
              <w:rPr>
                <w:rFonts w:hint="eastAsia"/>
                <w:b/>
                <w:bCs/>
                <w:color w:val="auto"/>
                <w:szCs w:val="24"/>
              </w:rPr>
              <w:t>1、</w:t>
            </w:r>
            <w:r>
              <w:rPr>
                <w:b/>
                <w:bCs/>
                <w:color w:val="auto"/>
                <w:szCs w:val="24"/>
              </w:rPr>
              <w:t>编制目的与依据</w:t>
            </w:r>
          </w:p>
          <w:p>
            <w:pPr>
              <w:pStyle w:val="111"/>
              <w:adjustRightInd w:val="0"/>
              <w:snapToGrid w:val="0"/>
              <w:rPr>
                <w:b/>
                <w:bCs/>
                <w:color w:val="auto"/>
                <w:szCs w:val="24"/>
              </w:rPr>
            </w:pPr>
            <w:r>
              <w:rPr>
                <w:b/>
                <w:bCs/>
                <w:color w:val="auto"/>
                <w:szCs w:val="24"/>
              </w:rPr>
              <w:t>1.1编制目的</w:t>
            </w:r>
          </w:p>
          <w:p>
            <w:pPr>
              <w:pStyle w:val="111"/>
              <w:adjustRightInd w:val="0"/>
              <w:snapToGrid w:val="0"/>
              <w:ind w:firstLine="480"/>
              <w:rPr>
                <w:color w:val="auto"/>
                <w:szCs w:val="24"/>
              </w:rPr>
            </w:pPr>
            <w:r>
              <w:rPr>
                <w:color w:val="auto"/>
                <w:szCs w:val="24"/>
              </w:rPr>
              <w:t>本项目进入运营期后，对声环境的影响主要来自于</w:t>
            </w:r>
            <w:r>
              <w:rPr>
                <w:rFonts w:hint="eastAsia"/>
                <w:color w:val="auto"/>
                <w:szCs w:val="24"/>
                <w:lang w:val="en-US" w:eastAsia="zh-CN"/>
              </w:rPr>
              <w:t>道</w:t>
            </w:r>
            <w:r>
              <w:rPr>
                <w:color w:val="auto"/>
                <w:szCs w:val="24"/>
              </w:rPr>
              <w:t>路上运行车辆辐射的交通噪声，</w:t>
            </w:r>
            <w:r>
              <w:rPr>
                <w:rFonts w:hint="eastAsia"/>
                <w:color w:val="auto"/>
                <w:szCs w:val="24"/>
                <w:lang w:val="en-US" w:eastAsia="zh-CN"/>
              </w:rPr>
              <w:t>道</w:t>
            </w:r>
            <w:r>
              <w:rPr>
                <w:color w:val="auto"/>
                <w:szCs w:val="24"/>
              </w:rPr>
              <w:t>路运营期间路两侧敏感点会受一定程度的影响。因此，对该</w:t>
            </w:r>
            <w:r>
              <w:rPr>
                <w:rFonts w:hint="eastAsia"/>
                <w:color w:val="auto"/>
                <w:szCs w:val="24"/>
                <w:lang w:val="en-US" w:eastAsia="zh-CN"/>
              </w:rPr>
              <w:t>道</w:t>
            </w:r>
            <w:r>
              <w:rPr>
                <w:color w:val="auto"/>
                <w:szCs w:val="24"/>
              </w:rPr>
              <w:t>路建成后在近期、中期和远期的噪声总体水平及其对周围评价范围内的敏感点噪声影响做出预测和评价，以便根据噪声影响的实际情况因地制宜的制定合理的降噪措施，并结合今后在项目沿线的相关规划提供科学的依据。</w:t>
            </w:r>
          </w:p>
          <w:p>
            <w:pPr>
              <w:pStyle w:val="111"/>
              <w:adjustRightInd w:val="0"/>
              <w:snapToGrid w:val="0"/>
              <w:ind w:firstLine="482"/>
              <w:rPr>
                <w:b/>
                <w:bCs/>
                <w:color w:val="auto"/>
                <w:szCs w:val="24"/>
              </w:rPr>
            </w:pPr>
            <w:r>
              <w:rPr>
                <w:b/>
                <w:bCs/>
                <w:color w:val="auto"/>
                <w:szCs w:val="24"/>
              </w:rPr>
              <w:t>1.2编制依据</w:t>
            </w:r>
          </w:p>
          <w:p>
            <w:pPr>
              <w:pStyle w:val="111"/>
              <w:adjustRightInd w:val="0"/>
              <w:snapToGrid w:val="0"/>
              <w:ind w:firstLine="482"/>
              <w:rPr>
                <w:b/>
                <w:bCs/>
                <w:color w:val="auto"/>
                <w:szCs w:val="24"/>
              </w:rPr>
            </w:pPr>
            <w:r>
              <w:rPr>
                <w:b/>
                <w:bCs/>
                <w:color w:val="auto"/>
                <w:szCs w:val="24"/>
              </w:rPr>
              <w:t>1.</w:t>
            </w:r>
            <w:r>
              <w:rPr>
                <w:rFonts w:hint="eastAsia"/>
                <w:b/>
                <w:bCs/>
                <w:color w:val="auto"/>
                <w:szCs w:val="24"/>
                <w:lang w:val="en-US" w:eastAsia="zh-CN"/>
              </w:rPr>
              <w:t>2</w:t>
            </w:r>
            <w:r>
              <w:rPr>
                <w:b/>
                <w:bCs/>
                <w:color w:val="auto"/>
                <w:szCs w:val="24"/>
              </w:rPr>
              <w:t>.1法律、法规</w:t>
            </w:r>
          </w:p>
          <w:p>
            <w:pPr>
              <w:pStyle w:val="111"/>
              <w:adjustRightInd w:val="0"/>
              <w:snapToGrid w:val="0"/>
              <w:ind w:left="480" w:firstLine="0" w:firstLineChars="0"/>
              <w:rPr>
                <w:color w:val="auto"/>
                <w:szCs w:val="24"/>
              </w:rPr>
            </w:pPr>
            <w:r>
              <w:rPr>
                <w:rFonts w:hint="eastAsia" w:ascii="宋体" w:hAnsi="宋体"/>
                <w:color w:val="auto"/>
                <w:szCs w:val="24"/>
              </w:rPr>
              <w:t>⑴</w:t>
            </w:r>
            <w:r>
              <w:rPr>
                <w:color w:val="auto"/>
                <w:szCs w:val="24"/>
              </w:rPr>
              <w:t>《中华人民共和国环境保护法(修订)》2015年1月1日；</w:t>
            </w:r>
          </w:p>
          <w:p>
            <w:pPr>
              <w:pStyle w:val="111"/>
              <w:adjustRightInd w:val="0"/>
              <w:snapToGrid w:val="0"/>
              <w:ind w:left="480" w:firstLine="0" w:firstLineChars="0"/>
              <w:rPr>
                <w:color w:val="auto"/>
                <w:szCs w:val="24"/>
              </w:rPr>
            </w:pPr>
            <w:r>
              <w:rPr>
                <w:rFonts w:hint="eastAsia" w:ascii="宋体" w:hAnsi="宋体"/>
                <w:color w:val="auto"/>
                <w:szCs w:val="24"/>
              </w:rPr>
              <w:t>⑵</w:t>
            </w:r>
            <w:r>
              <w:rPr>
                <w:color w:val="auto"/>
                <w:szCs w:val="24"/>
              </w:rPr>
              <w:t>《中华人民共和国环境影响评价法》2018年12月29日；</w:t>
            </w:r>
          </w:p>
          <w:p>
            <w:pPr>
              <w:pStyle w:val="111"/>
              <w:adjustRightInd w:val="0"/>
              <w:snapToGrid w:val="0"/>
              <w:ind w:left="480" w:firstLine="0" w:firstLineChars="0"/>
              <w:rPr>
                <w:color w:val="auto"/>
                <w:szCs w:val="24"/>
              </w:rPr>
            </w:pPr>
            <w:r>
              <w:rPr>
                <w:rFonts w:hint="eastAsia" w:ascii="宋体" w:hAnsi="宋体"/>
                <w:color w:val="auto"/>
                <w:szCs w:val="24"/>
              </w:rPr>
              <w:t>⑶</w:t>
            </w:r>
            <w:r>
              <w:rPr>
                <w:color w:val="auto"/>
                <w:szCs w:val="24"/>
              </w:rPr>
              <w:t>《中华人民共和国噪声污染防治法》2020年9月1日；</w:t>
            </w:r>
          </w:p>
          <w:p>
            <w:pPr>
              <w:pStyle w:val="111"/>
              <w:adjustRightInd w:val="0"/>
              <w:snapToGrid w:val="0"/>
              <w:ind w:left="480" w:firstLine="0" w:firstLineChars="0"/>
              <w:rPr>
                <w:color w:val="auto"/>
                <w:szCs w:val="24"/>
              </w:rPr>
            </w:pPr>
            <w:r>
              <w:rPr>
                <w:rFonts w:hint="eastAsia" w:ascii="宋体" w:hAnsi="宋体"/>
                <w:color w:val="auto"/>
                <w:szCs w:val="24"/>
              </w:rPr>
              <w:t>⑷</w:t>
            </w:r>
            <w:r>
              <w:rPr>
                <w:color w:val="auto"/>
                <w:szCs w:val="24"/>
              </w:rPr>
              <w:t>《建设项目环境保护管理条例》(国务院第682号令)，2017年10月1日；</w:t>
            </w:r>
          </w:p>
          <w:p>
            <w:pPr>
              <w:pStyle w:val="111"/>
              <w:adjustRightInd w:val="0"/>
              <w:snapToGrid w:val="0"/>
              <w:ind w:left="480" w:firstLine="0" w:firstLineChars="0"/>
              <w:rPr>
                <w:color w:val="auto"/>
                <w:szCs w:val="24"/>
              </w:rPr>
            </w:pPr>
            <w:r>
              <w:rPr>
                <w:rFonts w:hint="eastAsia" w:ascii="宋体" w:hAnsi="宋体"/>
                <w:color w:val="auto"/>
                <w:szCs w:val="24"/>
              </w:rPr>
              <w:t>⑸</w:t>
            </w:r>
            <w:r>
              <w:rPr>
                <w:color w:val="auto"/>
                <w:szCs w:val="24"/>
              </w:rPr>
              <w:t>《建设项目环境影响评价分类管理名录》，2021年1月1日</w:t>
            </w:r>
            <w:r>
              <w:rPr>
                <w:rFonts w:hint="eastAsia"/>
                <w:color w:val="auto"/>
                <w:szCs w:val="24"/>
              </w:rPr>
              <w:t>。</w:t>
            </w:r>
          </w:p>
          <w:p>
            <w:pPr>
              <w:pStyle w:val="111"/>
              <w:adjustRightInd w:val="0"/>
              <w:snapToGrid w:val="0"/>
              <w:ind w:firstLine="482"/>
              <w:rPr>
                <w:b/>
                <w:bCs/>
                <w:color w:val="auto"/>
                <w:szCs w:val="24"/>
              </w:rPr>
            </w:pPr>
            <w:r>
              <w:rPr>
                <w:b/>
                <w:bCs/>
                <w:color w:val="auto"/>
                <w:szCs w:val="24"/>
              </w:rPr>
              <w:t>1.</w:t>
            </w:r>
            <w:r>
              <w:rPr>
                <w:rFonts w:hint="eastAsia"/>
                <w:b/>
                <w:bCs/>
                <w:color w:val="auto"/>
                <w:szCs w:val="24"/>
                <w:lang w:val="en-US" w:eastAsia="zh-CN"/>
              </w:rPr>
              <w:t>2</w:t>
            </w:r>
            <w:r>
              <w:rPr>
                <w:b/>
                <w:bCs/>
                <w:color w:val="auto"/>
                <w:szCs w:val="24"/>
              </w:rPr>
              <w:t>.2相关技术导则、规范及标准</w:t>
            </w:r>
          </w:p>
          <w:p>
            <w:pPr>
              <w:pStyle w:val="111"/>
              <w:adjustRightInd w:val="0"/>
              <w:snapToGrid w:val="0"/>
              <w:ind w:left="480" w:firstLine="0" w:firstLineChars="0"/>
              <w:rPr>
                <w:color w:val="auto"/>
                <w:szCs w:val="24"/>
              </w:rPr>
            </w:pPr>
            <w:r>
              <w:rPr>
                <w:rFonts w:hint="eastAsia" w:ascii="宋体" w:hAnsi="宋体"/>
                <w:color w:val="auto"/>
                <w:szCs w:val="24"/>
              </w:rPr>
              <w:t>⑴</w:t>
            </w:r>
            <w:r>
              <w:rPr>
                <w:color w:val="auto"/>
                <w:szCs w:val="24"/>
              </w:rPr>
              <w:t>《建设项目环境影响评价技术导则一总纲》(HJ21-2016)；</w:t>
            </w:r>
          </w:p>
          <w:p>
            <w:pPr>
              <w:pStyle w:val="111"/>
              <w:adjustRightInd w:val="0"/>
              <w:snapToGrid w:val="0"/>
              <w:ind w:left="480" w:firstLine="0" w:firstLineChars="0"/>
              <w:rPr>
                <w:rFonts w:hint="eastAsia" w:eastAsia="宋体"/>
                <w:color w:val="auto"/>
                <w:szCs w:val="24"/>
                <w:lang w:eastAsia="zh-CN"/>
              </w:rPr>
            </w:pPr>
            <w:r>
              <w:rPr>
                <w:rFonts w:hint="eastAsia" w:ascii="宋体" w:hAnsi="宋体"/>
                <w:color w:val="auto"/>
                <w:szCs w:val="24"/>
              </w:rPr>
              <w:t>⑵</w:t>
            </w:r>
            <w:r>
              <w:rPr>
                <w:color w:val="auto"/>
                <w:szCs w:val="24"/>
              </w:rPr>
              <w:t>《环境影响评价技术导则-声环境》(H2.4-2021)</w:t>
            </w:r>
            <w:r>
              <w:rPr>
                <w:rFonts w:hint="eastAsia"/>
                <w:color w:val="auto"/>
                <w:szCs w:val="24"/>
                <w:lang w:eastAsia="zh-CN"/>
              </w:rPr>
              <w:t>。</w:t>
            </w:r>
          </w:p>
          <w:p>
            <w:pPr>
              <w:pStyle w:val="111"/>
              <w:adjustRightInd w:val="0"/>
              <w:snapToGrid w:val="0"/>
              <w:ind w:left="0" w:leftChars="0" w:firstLine="0" w:firstLineChars="0"/>
              <w:rPr>
                <w:b/>
                <w:bCs/>
                <w:color w:val="auto"/>
                <w:szCs w:val="24"/>
              </w:rPr>
            </w:pPr>
            <w:r>
              <w:rPr>
                <w:rFonts w:hint="eastAsia"/>
                <w:b/>
                <w:bCs/>
                <w:color w:val="auto"/>
                <w:szCs w:val="24"/>
              </w:rPr>
              <w:t>2、</w:t>
            </w:r>
            <w:r>
              <w:rPr>
                <w:b/>
                <w:bCs/>
                <w:color w:val="auto"/>
                <w:szCs w:val="24"/>
              </w:rPr>
              <w:t>环境功能区划</w:t>
            </w:r>
          </w:p>
          <w:p>
            <w:pPr>
              <w:pStyle w:val="111"/>
              <w:adjustRightInd w:val="0"/>
              <w:snapToGrid w:val="0"/>
              <w:ind w:firstLine="480"/>
              <w:rPr>
                <w:rFonts w:hint="eastAsia" w:ascii="宋体" w:hAnsi="宋体" w:eastAsia="宋体" w:cs="宋体"/>
                <w:color w:val="auto"/>
                <w:szCs w:val="24"/>
              </w:rPr>
            </w:pPr>
            <w:r>
              <w:rPr>
                <w:color w:val="auto"/>
                <w:szCs w:val="24"/>
              </w:rPr>
              <w:t>根据《声环境质量标准》</w:t>
            </w:r>
            <w:r>
              <w:rPr>
                <w:rFonts w:hint="eastAsia"/>
                <w:color w:val="auto"/>
                <w:szCs w:val="24"/>
                <w:lang w:eastAsia="zh-CN"/>
              </w:rPr>
              <w:t>（</w:t>
            </w:r>
            <w:r>
              <w:rPr>
                <w:color w:val="auto"/>
                <w:szCs w:val="24"/>
              </w:rPr>
              <w:t>GB3096-2008</w:t>
            </w:r>
            <w:r>
              <w:rPr>
                <w:rFonts w:hint="eastAsia"/>
                <w:color w:val="auto"/>
                <w:szCs w:val="24"/>
                <w:lang w:eastAsia="zh-CN"/>
              </w:rPr>
              <w:t>）</w:t>
            </w:r>
            <w:r>
              <w:rPr>
                <w:color w:val="auto"/>
                <w:szCs w:val="24"/>
              </w:rPr>
              <w:t>及《声环境功能区划分技术规范》(GB/T15190-2014)，本项目运营期线路两侧执行《声环境质量标准》(GB3096-2008)中执行2类标准。具体见表</w:t>
            </w:r>
            <w:r>
              <w:rPr>
                <w:rFonts w:hint="eastAsia"/>
                <w:color w:val="auto"/>
                <w:szCs w:val="24"/>
              </w:rPr>
              <w:t>8</w:t>
            </w:r>
            <w:r>
              <w:rPr>
                <w:color w:val="auto"/>
                <w:szCs w:val="24"/>
              </w:rPr>
              <w:t>-1。</w:t>
            </w:r>
          </w:p>
          <w:p>
            <w:pPr>
              <w:pStyle w:val="111"/>
              <w:adjustRightInd w:val="0"/>
              <w:snapToGrid w:val="0"/>
              <w:spacing w:line="240" w:lineRule="auto"/>
              <w:ind w:firstLine="482"/>
              <w:jc w:val="center"/>
              <w:rPr>
                <w:color w:val="auto"/>
                <w:sz w:val="21"/>
                <w:szCs w:val="21"/>
              </w:rPr>
            </w:pPr>
            <w:r>
              <w:rPr>
                <w:b/>
                <w:bCs/>
                <w:color w:val="auto"/>
                <w:sz w:val="21"/>
                <w:szCs w:val="21"/>
              </w:rPr>
              <w:t>表</w:t>
            </w:r>
            <w:r>
              <w:rPr>
                <w:rFonts w:hint="eastAsia"/>
                <w:b/>
                <w:bCs/>
                <w:color w:val="auto"/>
                <w:sz w:val="21"/>
                <w:szCs w:val="21"/>
              </w:rPr>
              <w:t>8</w:t>
            </w:r>
            <w:r>
              <w:rPr>
                <w:b/>
                <w:bCs/>
                <w:color w:val="auto"/>
                <w:sz w:val="21"/>
                <w:szCs w:val="21"/>
              </w:rPr>
              <w:t>-1           道路两侧声环境功能区划分一览表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6"/>
              <w:gridCol w:w="1758"/>
              <w:gridCol w:w="1411"/>
              <w:gridCol w:w="3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486" w:type="dxa"/>
                  <w:vMerge w:val="restart"/>
                  <w:shd w:val="clear" w:color="auto" w:fill="auto"/>
                  <w:noWrap w:val="0"/>
                  <w:vAlign w:val="center"/>
                </w:tcPr>
                <w:p>
                  <w:pPr>
                    <w:pStyle w:val="111"/>
                    <w:adjustRightInd w:val="0"/>
                    <w:snapToGrid w:val="0"/>
                    <w:spacing w:line="240" w:lineRule="auto"/>
                    <w:ind w:firstLine="0" w:firstLineChars="0"/>
                    <w:jc w:val="center"/>
                    <w:rPr>
                      <w:color w:val="auto"/>
                      <w:sz w:val="21"/>
                      <w:szCs w:val="21"/>
                    </w:rPr>
                  </w:pPr>
                  <w:r>
                    <w:rPr>
                      <w:color w:val="auto"/>
                      <w:sz w:val="21"/>
                      <w:szCs w:val="21"/>
                    </w:rPr>
                    <w:t>类型</w:t>
                  </w:r>
                </w:p>
              </w:tc>
              <w:tc>
                <w:tcPr>
                  <w:tcW w:w="3169" w:type="dxa"/>
                  <w:gridSpan w:val="2"/>
                  <w:shd w:val="clear" w:color="auto" w:fill="auto"/>
                  <w:noWrap w:val="0"/>
                  <w:vAlign w:val="center"/>
                </w:tcPr>
                <w:p>
                  <w:pPr>
                    <w:pStyle w:val="111"/>
                    <w:adjustRightInd w:val="0"/>
                    <w:snapToGrid w:val="0"/>
                    <w:spacing w:line="240" w:lineRule="auto"/>
                    <w:ind w:firstLine="0" w:firstLineChars="0"/>
                    <w:jc w:val="center"/>
                    <w:rPr>
                      <w:color w:val="auto"/>
                      <w:sz w:val="21"/>
                      <w:szCs w:val="21"/>
                    </w:rPr>
                  </w:pPr>
                  <w:r>
                    <w:rPr>
                      <w:color w:val="auto"/>
                      <w:sz w:val="21"/>
                      <w:szCs w:val="21"/>
                    </w:rPr>
                    <w:t>标准值LAe（dB）</w:t>
                  </w:r>
                </w:p>
              </w:tc>
              <w:tc>
                <w:tcPr>
                  <w:tcW w:w="3604" w:type="dxa"/>
                  <w:vMerge w:val="restart"/>
                  <w:shd w:val="clear" w:color="auto" w:fill="auto"/>
                  <w:noWrap w:val="0"/>
                  <w:vAlign w:val="center"/>
                </w:tcPr>
                <w:p>
                  <w:pPr>
                    <w:pStyle w:val="111"/>
                    <w:adjustRightInd w:val="0"/>
                    <w:snapToGrid w:val="0"/>
                    <w:spacing w:line="240" w:lineRule="auto"/>
                    <w:ind w:firstLine="0" w:firstLineChars="0"/>
                    <w:jc w:val="center"/>
                    <w:rPr>
                      <w:color w:val="auto"/>
                      <w:sz w:val="21"/>
                      <w:szCs w:val="21"/>
                    </w:rPr>
                  </w:pPr>
                  <w:r>
                    <w:rPr>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486" w:type="dxa"/>
                  <w:vMerge w:val="continue"/>
                  <w:shd w:val="clear" w:color="auto" w:fill="auto"/>
                  <w:noWrap w:val="0"/>
                  <w:vAlign w:val="center"/>
                </w:tcPr>
                <w:p>
                  <w:pPr>
                    <w:pStyle w:val="111"/>
                    <w:adjustRightInd w:val="0"/>
                    <w:snapToGrid w:val="0"/>
                    <w:spacing w:line="240" w:lineRule="auto"/>
                    <w:ind w:firstLine="0" w:firstLineChars="0"/>
                    <w:jc w:val="center"/>
                    <w:rPr>
                      <w:color w:val="auto"/>
                      <w:sz w:val="21"/>
                      <w:szCs w:val="21"/>
                    </w:rPr>
                  </w:pPr>
                </w:p>
              </w:tc>
              <w:tc>
                <w:tcPr>
                  <w:tcW w:w="1758" w:type="dxa"/>
                  <w:shd w:val="clear" w:color="auto" w:fill="auto"/>
                  <w:noWrap w:val="0"/>
                  <w:vAlign w:val="center"/>
                </w:tcPr>
                <w:p>
                  <w:pPr>
                    <w:pStyle w:val="111"/>
                    <w:adjustRightInd w:val="0"/>
                    <w:snapToGrid w:val="0"/>
                    <w:spacing w:line="240" w:lineRule="auto"/>
                    <w:ind w:firstLine="0" w:firstLineChars="0"/>
                    <w:jc w:val="center"/>
                    <w:rPr>
                      <w:color w:val="auto"/>
                      <w:sz w:val="21"/>
                      <w:szCs w:val="21"/>
                    </w:rPr>
                  </w:pPr>
                  <w:r>
                    <w:rPr>
                      <w:color w:val="auto"/>
                      <w:sz w:val="21"/>
                      <w:szCs w:val="21"/>
                    </w:rPr>
                    <w:t>昼间</w:t>
                  </w:r>
                </w:p>
              </w:tc>
              <w:tc>
                <w:tcPr>
                  <w:tcW w:w="1411" w:type="dxa"/>
                  <w:shd w:val="clear" w:color="auto" w:fill="auto"/>
                  <w:noWrap w:val="0"/>
                  <w:vAlign w:val="center"/>
                </w:tcPr>
                <w:p>
                  <w:pPr>
                    <w:pStyle w:val="111"/>
                    <w:adjustRightInd w:val="0"/>
                    <w:snapToGrid w:val="0"/>
                    <w:spacing w:line="240" w:lineRule="auto"/>
                    <w:ind w:firstLine="0" w:firstLineChars="0"/>
                    <w:jc w:val="center"/>
                    <w:rPr>
                      <w:color w:val="auto"/>
                      <w:sz w:val="21"/>
                      <w:szCs w:val="21"/>
                    </w:rPr>
                  </w:pPr>
                  <w:r>
                    <w:rPr>
                      <w:color w:val="auto"/>
                      <w:sz w:val="21"/>
                      <w:szCs w:val="21"/>
                    </w:rPr>
                    <w:t>夜间</w:t>
                  </w:r>
                </w:p>
              </w:tc>
              <w:tc>
                <w:tcPr>
                  <w:tcW w:w="3604" w:type="dxa"/>
                  <w:vMerge w:val="continue"/>
                  <w:shd w:val="clear" w:color="auto" w:fill="auto"/>
                  <w:noWrap w:val="0"/>
                  <w:vAlign w:val="center"/>
                </w:tcPr>
                <w:p>
                  <w:pPr>
                    <w:pStyle w:val="111"/>
                    <w:adjustRightInd w:val="0"/>
                    <w:snapToGrid w:val="0"/>
                    <w:spacing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486" w:type="dxa"/>
                  <w:shd w:val="clear" w:color="auto" w:fill="auto"/>
                  <w:noWrap w:val="0"/>
                  <w:vAlign w:val="center"/>
                </w:tcPr>
                <w:p>
                  <w:pPr>
                    <w:pStyle w:val="111"/>
                    <w:adjustRightInd w:val="0"/>
                    <w:snapToGrid w:val="0"/>
                    <w:spacing w:line="240" w:lineRule="auto"/>
                    <w:ind w:firstLine="0" w:firstLineChars="0"/>
                    <w:jc w:val="center"/>
                    <w:rPr>
                      <w:color w:val="auto"/>
                      <w:sz w:val="21"/>
                      <w:szCs w:val="21"/>
                    </w:rPr>
                  </w:pPr>
                  <w:r>
                    <w:rPr>
                      <w:color w:val="auto"/>
                      <w:sz w:val="21"/>
                      <w:szCs w:val="21"/>
                    </w:rPr>
                    <w:t>2类</w:t>
                  </w:r>
                </w:p>
              </w:tc>
              <w:tc>
                <w:tcPr>
                  <w:tcW w:w="1758" w:type="dxa"/>
                  <w:shd w:val="clear" w:color="auto" w:fill="auto"/>
                  <w:noWrap w:val="0"/>
                  <w:vAlign w:val="center"/>
                </w:tcPr>
                <w:p>
                  <w:pPr>
                    <w:pStyle w:val="111"/>
                    <w:adjustRightInd w:val="0"/>
                    <w:snapToGrid w:val="0"/>
                    <w:spacing w:line="240" w:lineRule="auto"/>
                    <w:ind w:firstLine="0" w:firstLineChars="0"/>
                    <w:jc w:val="center"/>
                    <w:rPr>
                      <w:color w:val="auto"/>
                      <w:sz w:val="21"/>
                      <w:szCs w:val="21"/>
                    </w:rPr>
                  </w:pPr>
                  <w:r>
                    <w:rPr>
                      <w:color w:val="auto"/>
                      <w:sz w:val="21"/>
                      <w:szCs w:val="21"/>
                    </w:rPr>
                    <w:t>60</w:t>
                  </w:r>
                </w:p>
              </w:tc>
              <w:tc>
                <w:tcPr>
                  <w:tcW w:w="1411" w:type="dxa"/>
                  <w:shd w:val="clear" w:color="auto" w:fill="auto"/>
                  <w:noWrap w:val="0"/>
                  <w:vAlign w:val="center"/>
                </w:tcPr>
                <w:p>
                  <w:pPr>
                    <w:pStyle w:val="111"/>
                    <w:adjustRightInd w:val="0"/>
                    <w:snapToGrid w:val="0"/>
                    <w:spacing w:line="240" w:lineRule="auto"/>
                    <w:ind w:firstLine="0" w:firstLineChars="0"/>
                    <w:jc w:val="center"/>
                    <w:rPr>
                      <w:color w:val="auto"/>
                      <w:sz w:val="21"/>
                      <w:szCs w:val="21"/>
                    </w:rPr>
                  </w:pPr>
                  <w:r>
                    <w:rPr>
                      <w:color w:val="auto"/>
                      <w:sz w:val="21"/>
                      <w:szCs w:val="21"/>
                    </w:rPr>
                    <w:t>50</w:t>
                  </w:r>
                </w:p>
              </w:tc>
              <w:tc>
                <w:tcPr>
                  <w:tcW w:w="3604" w:type="dxa"/>
                  <w:shd w:val="clear" w:color="auto" w:fill="auto"/>
                  <w:noWrap w:val="0"/>
                  <w:vAlign w:val="center"/>
                </w:tcPr>
                <w:p>
                  <w:pPr>
                    <w:pStyle w:val="111"/>
                    <w:adjustRightInd w:val="0"/>
                    <w:snapToGrid w:val="0"/>
                    <w:spacing w:line="240" w:lineRule="auto"/>
                    <w:ind w:firstLine="0" w:firstLineChars="0"/>
                    <w:jc w:val="center"/>
                    <w:rPr>
                      <w:color w:val="auto"/>
                      <w:sz w:val="21"/>
                      <w:szCs w:val="21"/>
                    </w:rPr>
                  </w:pPr>
                  <w:r>
                    <w:rPr>
                      <w:color w:val="auto"/>
                      <w:sz w:val="21"/>
                      <w:szCs w:val="21"/>
                    </w:rPr>
                    <w:t>道路两侧距离红</w:t>
                  </w:r>
                  <w:r>
                    <w:rPr>
                      <w:color w:val="FF0000"/>
                      <w:sz w:val="21"/>
                      <w:szCs w:val="21"/>
                    </w:rPr>
                    <w:t>线</w:t>
                  </w:r>
                  <w:r>
                    <w:rPr>
                      <w:rFonts w:hint="eastAsia"/>
                      <w:color w:val="FF0000"/>
                      <w:sz w:val="21"/>
                      <w:szCs w:val="21"/>
                      <w:lang w:val="en-US" w:eastAsia="zh-CN"/>
                    </w:rPr>
                    <w:t>35</w:t>
                  </w:r>
                  <w:r>
                    <w:rPr>
                      <w:rFonts w:hint="eastAsia" w:ascii="宋体" w:hAnsi="宋体" w:eastAsia="宋体" w:cs="宋体"/>
                      <w:color w:val="FF0000"/>
                      <w:szCs w:val="24"/>
                    </w:rPr>
                    <w:t>±</w:t>
                  </w:r>
                  <w:r>
                    <w:rPr>
                      <w:rFonts w:hint="eastAsia"/>
                      <w:color w:val="FF0000"/>
                      <w:sz w:val="21"/>
                      <w:szCs w:val="21"/>
                      <w:lang w:val="en-US" w:eastAsia="zh-CN"/>
                    </w:rPr>
                    <w:t>5</w:t>
                  </w:r>
                  <w:r>
                    <w:rPr>
                      <w:color w:val="FF0000"/>
                      <w:sz w:val="21"/>
                      <w:szCs w:val="21"/>
                    </w:rPr>
                    <w:t>m</w:t>
                  </w:r>
                  <w:r>
                    <w:rPr>
                      <w:color w:val="auto"/>
                      <w:sz w:val="21"/>
                      <w:szCs w:val="21"/>
                    </w:rPr>
                    <w:t>以外区域</w:t>
                  </w:r>
                </w:p>
              </w:tc>
            </w:tr>
          </w:tbl>
          <w:p>
            <w:pPr>
              <w:pStyle w:val="111"/>
              <w:adjustRightInd w:val="0"/>
              <w:snapToGrid w:val="0"/>
              <w:spacing w:before="120" w:beforeLines="50"/>
              <w:ind w:left="0" w:leftChars="0" w:firstLine="0" w:firstLineChars="0"/>
              <w:rPr>
                <w:rFonts w:hint="eastAsia"/>
                <w:b/>
                <w:bCs/>
                <w:color w:val="auto"/>
              </w:rPr>
            </w:pPr>
            <w:r>
              <w:rPr>
                <w:rFonts w:hint="eastAsia"/>
                <w:b/>
                <w:bCs/>
                <w:color w:val="auto"/>
              </w:rPr>
              <w:t>3、评价工作等级及范围</w:t>
            </w:r>
          </w:p>
          <w:p>
            <w:pPr>
              <w:pStyle w:val="111"/>
              <w:adjustRightInd w:val="0"/>
              <w:snapToGrid w:val="0"/>
              <w:ind w:firstLine="480"/>
              <w:rPr>
                <w:rFonts w:hint="eastAsia"/>
                <w:color w:val="auto"/>
              </w:rPr>
            </w:pPr>
            <w:r>
              <w:rPr>
                <w:color w:val="auto"/>
              </w:rPr>
              <w:t>结合本项目的建设性质和周围环境分布特点，对本项目的噪声影响评价将从以下三方面进行，一是项目所在区域的声环境功能区类别；二是项目建设前后所在区域的声环境质量变化程度；三是受建设项目影响的人口数量。本项目处于声环境功能2类区，建成后敏感目标噪</w:t>
            </w:r>
            <w:r>
              <w:rPr>
                <w:color w:val="FF0000"/>
              </w:rPr>
              <w:t>声级增</w:t>
            </w:r>
            <w:r>
              <w:rPr>
                <w:rFonts w:hint="eastAsia"/>
                <w:color w:val="FF0000"/>
                <w:lang w:val="en-US" w:eastAsia="zh-CN"/>
              </w:rPr>
              <w:t>量达</w:t>
            </w:r>
            <w:r>
              <w:rPr>
                <w:rFonts w:hint="eastAsia"/>
                <w:color w:val="FF0000"/>
              </w:rPr>
              <w:t>3~5dB(A)</w:t>
            </w:r>
            <w:r>
              <w:rPr>
                <w:color w:val="FF0000"/>
              </w:rPr>
              <w:t>，</w:t>
            </w:r>
            <w:r>
              <w:rPr>
                <w:color w:val="auto"/>
              </w:rPr>
              <w:t>受影响的人口增加较多，因此根据导则将噪声评价等级定为二级。声环境评价范围为拟建道路两侧200m的范围。</w:t>
            </w:r>
            <w:r>
              <w:rPr>
                <w:rFonts w:hint="eastAsia"/>
                <w:color w:val="auto"/>
              </w:rPr>
              <w:t>评价等级划分见表8-2。</w:t>
            </w:r>
          </w:p>
          <w:p>
            <w:pPr>
              <w:pStyle w:val="111"/>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color w:val="auto"/>
                <w:sz w:val="21"/>
                <w:szCs w:val="21"/>
              </w:rPr>
            </w:pPr>
            <w:r>
              <w:rPr>
                <w:b/>
                <w:bCs/>
                <w:color w:val="auto"/>
                <w:sz w:val="21"/>
                <w:szCs w:val="21"/>
              </w:rPr>
              <w:t>表</w:t>
            </w:r>
            <w:r>
              <w:rPr>
                <w:rFonts w:hint="eastAsia"/>
                <w:b/>
                <w:bCs/>
                <w:color w:val="auto"/>
                <w:sz w:val="21"/>
                <w:szCs w:val="21"/>
              </w:rPr>
              <w:t>8</w:t>
            </w:r>
            <w:r>
              <w:rPr>
                <w:b/>
                <w:bCs/>
                <w:color w:val="auto"/>
                <w:sz w:val="21"/>
                <w:szCs w:val="21"/>
              </w:rPr>
              <w:t xml:space="preserve">-2     </w:t>
            </w:r>
            <w:r>
              <w:rPr>
                <w:rFonts w:hint="eastAsia"/>
                <w:b/>
                <w:bCs/>
                <w:color w:val="auto"/>
                <w:sz w:val="21"/>
                <w:szCs w:val="21"/>
              </w:rPr>
              <w:t xml:space="preserve">  </w:t>
            </w:r>
            <w:r>
              <w:rPr>
                <w:b/>
                <w:bCs/>
                <w:color w:val="auto"/>
                <w:sz w:val="21"/>
                <w:szCs w:val="21"/>
              </w:rPr>
              <w:t xml:space="preserve">   评价等级判别表</w:t>
            </w:r>
          </w:p>
          <w:tbl>
            <w:tblPr>
              <w:tblStyle w:val="26"/>
              <w:tblW w:w="49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9"/>
              <w:gridCol w:w="2807"/>
              <w:gridCol w:w="2899"/>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696" w:type="pct"/>
                  <w:shd w:val="clear" w:color="auto" w:fill="auto"/>
                  <w:noWrap w:val="0"/>
                  <w:vAlign w:val="center"/>
                </w:tcPr>
                <w:p>
                  <w:pPr>
                    <w:pStyle w:val="111"/>
                    <w:adjustRightInd w:val="0"/>
                    <w:snapToGrid w:val="0"/>
                    <w:spacing w:line="240" w:lineRule="auto"/>
                    <w:ind w:firstLine="0" w:firstLineChars="0"/>
                    <w:jc w:val="center"/>
                    <w:rPr>
                      <w:snapToGrid w:val="0"/>
                      <w:color w:val="auto"/>
                      <w:sz w:val="21"/>
                      <w:szCs w:val="21"/>
                    </w:rPr>
                  </w:pPr>
                  <w:r>
                    <w:rPr>
                      <w:snapToGrid w:val="0"/>
                      <w:color w:val="auto"/>
                      <w:sz w:val="21"/>
                      <w:szCs w:val="21"/>
                    </w:rPr>
                    <w:t>项目</w:t>
                  </w:r>
                </w:p>
              </w:tc>
              <w:tc>
                <w:tcPr>
                  <w:tcW w:w="1716" w:type="pct"/>
                  <w:shd w:val="clear" w:color="auto" w:fill="auto"/>
                  <w:noWrap w:val="0"/>
                  <w:vAlign w:val="center"/>
                </w:tcPr>
                <w:p>
                  <w:pPr>
                    <w:pStyle w:val="111"/>
                    <w:adjustRightInd w:val="0"/>
                    <w:snapToGrid w:val="0"/>
                    <w:spacing w:line="240" w:lineRule="auto"/>
                    <w:ind w:firstLine="0" w:firstLineChars="0"/>
                    <w:jc w:val="center"/>
                    <w:rPr>
                      <w:snapToGrid w:val="0"/>
                      <w:color w:val="auto"/>
                      <w:sz w:val="21"/>
                      <w:szCs w:val="21"/>
                    </w:rPr>
                  </w:pPr>
                  <w:r>
                    <w:rPr>
                      <w:snapToGrid w:val="0"/>
                      <w:color w:val="auto"/>
                      <w:sz w:val="21"/>
                      <w:szCs w:val="21"/>
                    </w:rPr>
                    <w:t>声环境功能区</w:t>
                  </w:r>
                </w:p>
              </w:tc>
              <w:tc>
                <w:tcPr>
                  <w:tcW w:w="1772" w:type="pct"/>
                  <w:shd w:val="clear" w:color="auto" w:fill="auto"/>
                  <w:noWrap w:val="0"/>
                  <w:vAlign w:val="center"/>
                </w:tcPr>
                <w:p>
                  <w:pPr>
                    <w:pStyle w:val="111"/>
                    <w:adjustRightInd w:val="0"/>
                    <w:snapToGrid w:val="0"/>
                    <w:spacing w:line="240" w:lineRule="auto"/>
                    <w:ind w:firstLine="0" w:firstLineChars="0"/>
                    <w:jc w:val="center"/>
                    <w:rPr>
                      <w:snapToGrid w:val="0"/>
                      <w:color w:val="auto"/>
                      <w:sz w:val="21"/>
                      <w:szCs w:val="21"/>
                    </w:rPr>
                  </w:pPr>
                  <w:r>
                    <w:rPr>
                      <w:snapToGrid w:val="0"/>
                      <w:color w:val="auto"/>
                      <w:sz w:val="21"/>
                      <w:szCs w:val="21"/>
                    </w:rPr>
                    <w:t>项目建设前后评价范围内敏感目标噪声级的变化程度</w:t>
                  </w:r>
                </w:p>
              </w:tc>
              <w:tc>
                <w:tcPr>
                  <w:tcW w:w="814" w:type="pct"/>
                  <w:shd w:val="clear" w:color="auto" w:fill="auto"/>
                  <w:noWrap w:val="0"/>
                  <w:vAlign w:val="center"/>
                </w:tcPr>
                <w:p>
                  <w:pPr>
                    <w:pStyle w:val="111"/>
                    <w:adjustRightInd w:val="0"/>
                    <w:snapToGrid w:val="0"/>
                    <w:spacing w:line="240" w:lineRule="auto"/>
                    <w:ind w:firstLine="0" w:firstLineChars="0"/>
                    <w:jc w:val="center"/>
                    <w:rPr>
                      <w:snapToGrid w:val="0"/>
                      <w:color w:val="auto"/>
                      <w:sz w:val="21"/>
                      <w:szCs w:val="21"/>
                    </w:rPr>
                  </w:pPr>
                  <w:r>
                    <w:rPr>
                      <w:snapToGrid w:val="0"/>
                      <w:color w:val="auto"/>
                      <w:sz w:val="21"/>
                      <w:szCs w:val="21"/>
                    </w:rPr>
                    <w:t>人口数量变化程度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696" w:type="pct"/>
                  <w:shd w:val="clear" w:color="auto" w:fill="auto"/>
                  <w:noWrap w:val="0"/>
                  <w:vAlign w:val="center"/>
                </w:tcPr>
                <w:p>
                  <w:pPr>
                    <w:pStyle w:val="111"/>
                    <w:adjustRightInd w:val="0"/>
                    <w:snapToGrid w:val="0"/>
                    <w:spacing w:line="240" w:lineRule="auto"/>
                    <w:ind w:firstLine="0" w:firstLineChars="0"/>
                    <w:jc w:val="center"/>
                    <w:rPr>
                      <w:snapToGrid w:val="0"/>
                      <w:color w:val="auto"/>
                      <w:sz w:val="21"/>
                      <w:szCs w:val="21"/>
                    </w:rPr>
                  </w:pPr>
                  <w:r>
                    <w:rPr>
                      <w:snapToGrid w:val="0"/>
                      <w:color w:val="auto"/>
                      <w:sz w:val="21"/>
                      <w:szCs w:val="21"/>
                    </w:rPr>
                    <w:t>一级评价</w:t>
                  </w:r>
                </w:p>
              </w:tc>
              <w:tc>
                <w:tcPr>
                  <w:tcW w:w="1716" w:type="pct"/>
                  <w:shd w:val="clear" w:color="auto" w:fill="auto"/>
                  <w:noWrap w:val="0"/>
                  <w:vAlign w:val="center"/>
                </w:tcPr>
                <w:p>
                  <w:pPr>
                    <w:pStyle w:val="111"/>
                    <w:adjustRightInd w:val="0"/>
                    <w:snapToGrid w:val="0"/>
                    <w:spacing w:line="240" w:lineRule="auto"/>
                    <w:ind w:firstLine="0" w:firstLineChars="0"/>
                    <w:jc w:val="center"/>
                    <w:rPr>
                      <w:snapToGrid w:val="0"/>
                      <w:color w:val="auto"/>
                      <w:sz w:val="21"/>
                      <w:szCs w:val="21"/>
                    </w:rPr>
                  </w:pPr>
                  <w:r>
                    <w:rPr>
                      <w:snapToGrid w:val="0"/>
                      <w:color w:val="auto"/>
                      <w:sz w:val="21"/>
                      <w:szCs w:val="21"/>
                    </w:rPr>
                    <w:t>0类区以及对噪声有特别限制要求的保护区等敏感目标</w:t>
                  </w:r>
                </w:p>
              </w:tc>
              <w:tc>
                <w:tcPr>
                  <w:tcW w:w="1772" w:type="pct"/>
                  <w:shd w:val="clear" w:color="auto" w:fill="auto"/>
                  <w:noWrap w:val="0"/>
                  <w:vAlign w:val="center"/>
                </w:tcPr>
                <w:p>
                  <w:pPr>
                    <w:pStyle w:val="111"/>
                    <w:adjustRightInd w:val="0"/>
                    <w:snapToGrid w:val="0"/>
                    <w:spacing w:line="240" w:lineRule="auto"/>
                    <w:ind w:firstLine="0" w:firstLineChars="0"/>
                    <w:jc w:val="center"/>
                    <w:rPr>
                      <w:snapToGrid w:val="0"/>
                      <w:color w:val="auto"/>
                      <w:sz w:val="21"/>
                      <w:szCs w:val="21"/>
                    </w:rPr>
                  </w:pPr>
                  <w:r>
                    <w:rPr>
                      <w:snapToGrid w:val="0"/>
                      <w:color w:val="auto"/>
                      <w:sz w:val="21"/>
                      <w:szCs w:val="21"/>
                    </w:rPr>
                    <w:t>噪声增高量</w:t>
                  </w:r>
                  <w:r>
                    <w:rPr>
                      <w:rFonts w:hint="eastAsia"/>
                      <w:snapToGrid w:val="0"/>
                      <w:color w:val="auto"/>
                      <w:sz w:val="21"/>
                      <w:szCs w:val="21"/>
                    </w:rPr>
                    <w:t>：</w:t>
                  </w:r>
                  <w:r>
                    <w:rPr>
                      <w:snapToGrid w:val="0"/>
                      <w:color w:val="auto"/>
                      <w:sz w:val="21"/>
                      <w:szCs w:val="21"/>
                    </w:rPr>
                    <w:t>&gt;5dB(A)</w:t>
                  </w:r>
                </w:p>
              </w:tc>
              <w:tc>
                <w:tcPr>
                  <w:tcW w:w="814" w:type="pct"/>
                  <w:shd w:val="clear" w:color="auto" w:fill="auto"/>
                  <w:noWrap w:val="0"/>
                  <w:vAlign w:val="center"/>
                </w:tcPr>
                <w:p>
                  <w:pPr>
                    <w:pStyle w:val="111"/>
                    <w:adjustRightInd w:val="0"/>
                    <w:snapToGrid w:val="0"/>
                    <w:spacing w:line="240" w:lineRule="auto"/>
                    <w:ind w:firstLine="0" w:firstLineChars="0"/>
                    <w:jc w:val="center"/>
                    <w:rPr>
                      <w:snapToGrid w:val="0"/>
                      <w:color w:val="auto"/>
                      <w:sz w:val="21"/>
                      <w:szCs w:val="21"/>
                    </w:rPr>
                  </w:pPr>
                  <w:r>
                    <w:rPr>
                      <w:snapToGrid w:val="0"/>
                      <w:color w:val="auto"/>
                      <w:sz w:val="21"/>
                      <w:szCs w:val="21"/>
                    </w:rPr>
                    <w:t>显著增多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696" w:type="pct"/>
                  <w:shd w:val="clear" w:color="auto" w:fill="auto"/>
                  <w:noWrap w:val="0"/>
                  <w:vAlign w:val="center"/>
                </w:tcPr>
                <w:p>
                  <w:pPr>
                    <w:pStyle w:val="111"/>
                    <w:adjustRightInd w:val="0"/>
                    <w:snapToGrid w:val="0"/>
                    <w:spacing w:line="240" w:lineRule="auto"/>
                    <w:ind w:firstLine="0" w:firstLineChars="0"/>
                    <w:jc w:val="center"/>
                    <w:rPr>
                      <w:snapToGrid w:val="0"/>
                      <w:color w:val="auto"/>
                      <w:sz w:val="21"/>
                      <w:szCs w:val="21"/>
                    </w:rPr>
                  </w:pPr>
                  <w:r>
                    <w:rPr>
                      <w:snapToGrid w:val="0"/>
                      <w:color w:val="auto"/>
                      <w:sz w:val="21"/>
                      <w:szCs w:val="21"/>
                    </w:rPr>
                    <w:t>二级评价</w:t>
                  </w:r>
                </w:p>
              </w:tc>
              <w:tc>
                <w:tcPr>
                  <w:tcW w:w="1716" w:type="pct"/>
                  <w:shd w:val="clear" w:color="auto" w:fill="auto"/>
                  <w:noWrap w:val="0"/>
                  <w:vAlign w:val="center"/>
                </w:tcPr>
                <w:p>
                  <w:pPr>
                    <w:pStyle w:val="111"/>
                    <w:adjustRightInd w:val="0"/>
                    <w:snapToGrid w:val="0"/>
                    <w:spacing w:line="240" w:lineRule="auto"/>
                    <w:ind w:firstLine="0" w:firstLineChars="0"/>
                    <w:jc w:val="center"/>
                    <w:rPr>
                      <w:snapToGrid w:val="0"/>
                      <w:color w:val="auto"/>
                      <w:sz w:val="21"/>
                      <w:szCs w:val="21"/>
                    </w:rPr>
                  </w:pPr>
                  <w:r>
                    <w:rPr>
                      <w:snapToGrid w:val="0"/>
                      <w:color w:val="auto"/>
                      <w:sz w:val="21"/>
                      <w:szCs w:val="21"/>
                    </w:rPr>
                    <w:t>1类、</w:t>
                  </w:r>
                  <w:r>
                    <w:rPr>
                      <w:b/>
                      <w:bCs/>
                      <w:snapToGrid w:val="0"/>
                      <w:color w:val="auto"/>
                      <w:sz w:val="21"/>
                      <w:szCs w:val="21"/>
                    </w:rPr>
                    <w:t>2类区</w:t>
                  </w:r>
                </w:p>
              </w:tc>
              <w:tc>
                <w:tcPr>
                  <w:tcW w:w="1772" w:type="pct"/>
                  <w:shd w:val="clear" w:color="auto" w:fill="auto"/>
                  <w:noWrap w:val="0"/>
                  <w:vAlign w:val="center"/>
                </w:tcPr>
                <w:p>
                  <w:pPr>
                    <w:pStyle w:val="111"/>
                    <w:adjustRightInd w:val="0"/>
                    <w:snapToGrid w:val="0"/>
                    <w:spacing w:line="240" w:lineRule="auto"/>
                    <w:ind w:firstLine="0" w:firstLineChars="0"/>
                    <w:jc w:val="center"/>
                    <w:rPr>
                      <w:b/>
                      <w:bCs/>
                      <w:snapToGrid w:val="0"/>
                      <w:color w:val="auto"/>
                      <w:sz w:val="21"/>
                      <w:szCs w:val="21"/>
                    </w:rPr>
                  </w:pPr>
                  <w:r>
                    <w:rPr>
                      <w:b/>
                      <w:bCs/>
                      <w:snapToGrid w:val="0"/>
                      <w:color w:val="auto"/>
                      <w:sz w:val="21"/>
                      <w:szCs w:val="21"/>
                    </w:rPr>
                    <w:t>噪声</w:t>
                  </w:r>
                  <w:r>
                    <w:rPr>
                      <w:rFonts w:hint="eastAsia"/>
                      <w:b/>
                      <w:bCs/>
                      <w:snapToGrid w:val="0"/>
                      <w:color w:val="auto"/>
                      <w:sz w:val="21"/>
                      <w:szCs w:val="21"/>
                    </w:rPr>
                    <w:t>增高量：</w:t>
                  </w:r>
                  <w:r>
                    <w:rPr>
                      <w:b/>
                      <w:bCs/>
                      <w:snapToGrid w:val="0"/>
                      <w:color w:val="auto"/>
                      <w:sz w:val="21"/>
                      <w:szCs w:val="21"/>
                    </w:rPr>
                    <w:t>3dB(A)</w:t>
                  </w:r>
                  <w:r>
                    <w:rPr>
                      <w:rFonts w:hint="eastAsia"/>
                      <w:b/>
                      <w:bCs/>
                      <w:snapToGrid w:val="0"/>
                      <w:color w:val="auto"/>
                      <w:sz w:val="21"/>
                      <w:szCs w:val="21"/>
                    </w:rPr>
                    <w:t>~</w:t>
                  </w:r>
                  <w:r>
                    <w:rPr>
                      <w:b/>
                      <w:bCs/>
                      <w:snapToGrid w:val="0"/>
                      <w:color w:val="auto"/>
                      <w:sz w:val="21"/>
                      <w:szCs w:val="21"/>
                    </w:rPr>
                    <w:t>5dB(A)之间(含</w:t>
                  </w:r>
                  <w:r>
                    <w:rPr>
                      <w:rFonts w:hint="eastAsia"/>
                      <w:b/>
                      <w:bCs/>
                      <w:snapToGrid w:val="0"/>
                      <w:color w:val="auto"/>
                      <w:sz w:val="21"/>
                      <w:szCs w:val="21"/>
                    </w:rPr>
                    <w:t>5</w:t>
                  </w:r>
                  <w:r>
                    <w:rPr>
                      <w:b/>
                      <w:bCs/>
                      <w:snapToGrid w:val="0"/>
                      <w:color w:val="auto"/>
                      <w:sz w:val="21"/>
                      <w:szCs w:val="21"/>
                    </w:rPr>
                    <w:t>dB(A)增加较多</w:t>
                  </w:r>
                </w:p>
              </w:tc>
              <w:tc>
                <w:tcPr>
                  <w:tcW w:w="814" w:type="pct"/>
                  <w:shd w:val="clear" w:color="auto" w:fill="auto"/>
                  <w:noWrap w:val="0"/>
                  <w:vAlign w:val="center"/>
                </w:tcPr>
                <w:p>
                  <w:pPr>
                    <w:pStyle w:val="111"/>
                    <w:adjustRightInd w:val="0"/>
                    <w:snapToGrid w:val="0"/>
                    <w:spacing w:line="240" w:lineRule="auto"/>
                    <w:ind w:firstLine="0" w:firstLineChars="0"/>
                    <w:jc w:val="center"/>
                    <w:rPr>
                      <w:b/>
                      <w:bCs/>
                      <w:snapToGrid w:val="0"/>
                      <w:color w:val="auto"/>
                      <w:sz w:val="21"/>
                      <w:szCs w:val="21"/>
                    </w:rPr>
                  </w:pPr>
                  <w:r>
                    <w:rPr>
                      <w:b/>
                      <w:bCs/>
                      <w:snapToGrid w:val="0"/>
                      <w:color w:val="auto"/>
                      <w:sz w:val="21"/>
                      <w:szCs w:val="21"/>
                    </w:rPr>
                    <w:t>增加较多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696" w:type="pct"/>
                  <w:shd w:val="clear" w:color="auto" w:fill="auto"/>
                  <w:noWrap w:val="0"/>
                  <w:vAlign w:val="center"/>
                </w:tcPr>
                <w:p>
                  <w:pPr>
                    <w:pStyle w:val="111"/>
                    <w:adjustRightInd w:val="0"/>
                    <w:snapToGrid w:val="0"/>
                    <w:spacing w:line="240" w:lineRule="auto"/>
                    <w:ind w:firstLine="0" w:firstLineChars="0"/>
                    <w:jc w:val="center"/>
                    <w:rPr>
                      <w:snapToGrid w:val="0"/>
                      <w:color w:val="auto"/>
                      <w:sz w:val="21"/>
                      <w:szCs w:val="21"/>
                    </w:rPr>
                  </w:pPr>
                  <w:r>
                    <w:rPr>
                      <w:snapToGrid w:val="0"/>
                      <w:color w:val="auto"/>
                      <w:sz w:val="21"/>
                      <w:szCs w:val="21"/>
                    </w:rPr>
                    <w:t>三级评价</w:t>
                  </w:r>
                </w:p>
              </w:tc>
              <w:tc>
                <w:tcPr>
                  <w:tcW w:w="1716" w:type="pct"/>
                  <w:shd w:val="clear" w:color="auto" w:fill="auto"/>
                  <w:noWrap w:val="0"/>
                  <w:vAlign w:val="center"/>
                </w:tcPr>
                <w:p>
                  <w:pPr>
                    <w:pStyle w:val="111"/>
                    <w:adjustRightInd w:val="0"/>
                    <w:snapToGrid w:val="0"/>
                    <w:spacing w:line="240" w:lineRule="auto"/>
                    <w:ind w:firstLine="0" w:firstLineChars="0"/>
                    <w:jc w:val="center"/>
                    <w:rPr>
                      <w:snapToGrid w:val="0"/>
                      <w:color w:val="auto"/>
                      <w:sz w:val="21"/>
                      <w:szCs w:val="21"/>
                    </w:rPr>
                  </w:pPr>
                  <w:r>
                    <w:rPr>
                      <w:snapToGrid w:val="0"/>
                      <w:color w:val="auto"/>
                      <w:sz w:val="21"/>
                      <w:szCs w:val="21"/>
                    </w:rPr>
                    <w:t>3类区、</w:t>
                  </w:r>
                  <w:r>
                    <w:rPr>
                      <w:bCs/>
                      <w:snapToGrid w:val="0"/>
                      <w:color w:val="auto"/>
                      <w:sz w:val="21"/>
                      <w:szCs w:val="21"/>
                    </w:rPr>
                    <w:t>4类区</w:t>
                  </w:r>
                </w:p>
              </w:tc>
              <w:tc>
                <w:tcPr>
                  <w:tcW w:w="1772" w:type="pct"/>
                  <w:shd w:val="clear" w:color="auto" w:fill="auto"/>
                  <w:noWrap w:val="0"/>
                  <w:vAlign w:val="center"/>
                </w:tcPr>
                <w:p>
                  <w:pPr>
                    <w:pStyle w:val="111"/>
                    <w:adjustRightInd w:val="0"/>
                    <w:snapToGrid w:val="0"/>
                    <w:spacing w:line="240" w:lineRule="auto"/>
                    <w:ind w:firstLine="0" w:firstLineChars="0"/>
                    <w:jc w:val="center"/>
                    <w:rPr>
                      <w:snapToGrid w:val="0"/>
                      <w:color w:val="auto"/>
                      <w:sz w:val="21"/>
                      <w:szCs w:val="21"/>
                    </w:rPr>
                  </w:pPr>
                  <w:r>
                    <w:rPr>
                      <w:snapToGrid w:val="0"/>
                      <w:color w:val="auto"/>
                      <w:sz w:val="21"/>
                      <w:szCs w:val="21"/>
                    </w:rPr>
                    <w:t>噪声增高量</w:t>
                  </w:r>
                  <w:r>
                    <w:rPr>
                      <w:rFonts w:hint="eastAsia"/>
                      <w:snapToGrid w:val="0"/>
                      <w:color w:val="auto"/>
                      <w:sz w:val="21"/>
                      <w:szCs w:val="21"/>
                    </w:rPr>
                    <w:t>：</w:t>
                  </w:r>
                  <w:r>
                    <w:rPr>
                      <w:snapToGrid w:val="0"/>
                      <w:color w:val="auto"/>
                      <w:sz w:val="21"/>
                      <w:szCs w:val="21"/>
                    </w:rPr>
                    <w:t>在3dB(A)以下，不含3dB(A)</w:t>
                  </w:r>
                </w:p>
              </w:tc>
              <w:tc>
                <w:tcPr>
                  <w:tcW w:w="814" w:type="pct"/>
                  <w:shd w:val="clear" w:color="auto" w:fill="auto"/>
                  <w:noWrap w:val="0"/>
                  <w:vAlign w:val="center"/>
                </w:tcPr>
                <w:p>
                  <w:pPr>
                    <w:pStyle w:val="111"/>
                    <w:adjustRightInd w:val="0"/>
                    <w:snapToGrid w:val="0"/>
                    <w:spacing w:line="240" w:lineRule="auto"/>
                    <w:ind w:firstLine="0" w:firstLineChars="0"/>
                    <w:jc w:val="center"/>
                    <w:rPr>
                      <w:snapToGrid w:val="0"/>
                      <w:color w:val="auto"/>
                      <w:sz w:val="21"/>
                      <w:szCs w:val="21"/>
                    </w:rPr>
                  </w:pPr>
                  <w:r>
                    <w:rPr>
                      <w:snapToGrid w:val="0"/>
                      <w:color w:val="auto"/>
                      <w:sz w:val="21"/>
                      <w:szCs w:val="21"/>
                    </w:rPr>
                    <w:t>变化不大</w:t>
                  </w:r>
                </w:p>
              </w:tc>
            </w:tr>
          </w:tbl>
          <w:p>
            <w:pPr>
              <w:pStyle w:val="111"/>
              <w:adjustRightInd w:val="0"/>
              <w:snapToGrid w:val="0"/>
              <w:spacing w:before="120" w:beforeLines="50"/>
              <w:ind w:left="0" w:leftChars="0" w:firstLine="0" w:firstLineChars="0"/>
              <w:rPr>
                <w:b/>
                <w:bCs/>
                <w:color w:val="auto"/>
                <w:szCs w:val="24"/>
              </w:rPr>
            </w:pPr>
            <w:r>
              <w:rPr>
                <w:rFonts w:hint="eastAsia"/>
                <w:b/>
                <w:bCs/>
                <w:color w:val="auto"/>
                <w:szCs w:val="24"/>
              </w:rPr>
              <w:t>4、</w:t>
            </w:r>
            <w:r>
              <w:rPr>
                <w:b/>
                <w:bCs/>
                <w:color w:val="auto"/>
                <w:szCs w:val="24"/>
              </w:rPr>
              <w:t>噪声源强</w:t>
            </w:r>
          </w:p>
          <w:p>
            <w:pPr>
              <w:pStyle w:val="111"/>
              <w:adjustRightInd w:val="0"/>
              <w:snapToGrid w:val="0"/>
              <w:ind w:firstLine="480"/>
              <w:rPr>
                <w:color w:val="auto"/>
                <w:szCs w:val="24"/>
              </w:rPr>
            </w:pPr>
            <w:r>
              <w:rPr>
                <w:color w:val="auto"/>
                <w:szCs w:val="24"/>
              </w:rPr>
              <w:t>根据《公路建设项目环境影响评价规范》(JTGB-2006)中第i种车型车辆在参照点(7.5m处)的平均辐射噪声级(dB)Loi按下式计算：</w:t>
            </w:r>
          </w:p>
          <w:p>
            <w:pPr>
              <w:pStyle w:val="111"/>
              <w:adjustRightInd w:val="0"/>
              <w:snapToGrid w:val="0"/>
              <w:ind w:firstLine="480"/>
              <w:rPr>
                <w:color w:val="auto"/>
                <w:szCs w:val="24"/>
              </w:rPr>
            </w:pPr>
            <w:r>
              <w:rPr>
                <w:color w:val="auto"/>
                <w:szCs w:val="24"/>
              </w:rPr>
              <w:t>小型车</w:t>
            </w:r>
            <w:r>
              <w:rPr>
                <w:rFonts w:hint="eastAsia"/>
                <w:color w:val="auto"/>
                <w:szCs w:val="24"/>
              </w:rPr>
              <w:t>：</w:t>
            </w:r>
            <w:r>
              <w:rPr>
                <w:color w:val="auto"/>
                <w:szCs w:val="24"/>
              </w:rPr>
              <w:t>Loi=12.6+34.73LgVS+△L路面</w:t>
            </w:r>
          </w:p>
          <w:p>
            <w:pPr>
              <w:pStyle w:val="111"/>
              <w:adjustRightInd w:val="0"/>
              <w:snapToGrid w:val="0"/>
              <w:ind w:firstLine="480"/>
              <w:rPr>
                <w:color w:val="auto"/>
                <w:szCs w:val="24"/>
              </w:rPr>
            </w:pPr>
            <w:r>
              <w:rPr>
                <w:color w:val="auto"/>
                <w:szCs w:val="24"/>
              </w:rPr>
              <w:t>中型车</w:t>
            </w:r>
            <w:r>
              <w:rPr>
                <w:rFonts w:hint="eastAsia"/>
                <w:color w:val="auto"/>
                <w:szCs w:val="24"/>
              </w:rPr>
              <w:t>：</w:t>
            </w:r>
            <w:r>
              <w:rPr>
                <w:color w:val="auto"/>
                <w:szCs w:val="24"/>
              </w:rPr>
              <w:t>Loi=8.8+40.48LgVM+△L纵坡</w:t>
            </w:r>
          </w:p>
          <w:p>
            <w:pPr>
              <w:pStyle w:val="111"/>
              <w:adjustRightInd w:val="0"/>
              <w:snapToGrid w:val="0"/>
              <w:ind w:firstLine="480"/>
              <w:rPr>
                <w:color w:val="auto"/>
                <w:szCs w:val="24"/>
              </w:rPr>
            </w:pPr>
            <w:r>
              <w:rPr>
                <w:color w:val="auto"/>
                <w:szCs w:val="24"/>
              </w:rPr>
              <w:t>大型车</w:t>
            </w:r>
            <w:r>
              <w:rPr>
                <w:rFonts w:hint="eastAsia"/>
                <w:color w:val="auto"/>
                <w:szCs w:val="24"/>
              </w:rPr>
              <w:t>：</w:t>
            </w:r>
            <w:r>
              <w:rPr>
                <w:color w:val="auto"/>
                <w:szCs w:val="24"/>
              </w:rPr>
              <w:t>Loi=22.0+36.32LgVL+△L纵坡</w:t>
            </w:r>
          </w:p>
          <w:p>
            <w:pPr>
              <w:pStyle w:val="111"/>
              <w:adjustRightInd w:val="0"/>
              <w:snapToGrid w:val="0"/>
              <w:ind w:firstLine="480"/>
              <w:rPr>
                <w:color w:val="auto"/>
                <w:szCs w:val="24"/>
              </w:rPr>
            </w:pPr>
            <w:r>
              <w:rPr>
                <w:color w:val="auto"/>
                <w:szCs w:val="24"/>
              </w:rPr>
              <w:t>式中：VS、VM、VL—表示小、中、大型车的速度。</w:t>
            </w:r>
          </w:p>
          <w:p>
            <w:pPr>
              <w:pStyle w:val="111"/>
              <w:adjustRightInd w:val="0"/>
              <w:snapToGrid w:val="0"/>
              <w:ind w:firstLine="480"/>
              <w:rPr>
                <w:color w:val="auto"/>
                <w:szCs w:val="24"/>
              </w:rPr>
            </w:pPr>
            <w:r>
              <w:rPr>
                <w:color w:val="auto"/>
                <w:szCs w:val="24"/>
              </w:rPr>
              <w:t>△L路面、△L纵坡源强修正如下：</w:t>
            </w:r>
          </w:p>
          <w:p>
            <w:pPr>
              <w:pStyle w:val="111"/>
              <w:adjustRightInd w:val="0"/>
              <w:snapToGrid w:val="0"/>
              <w:ind w:firstLine="480"/>
              <w:rPr>
                <w:color w:val="auto"/>
                <w:szCs w:val="24"/>
              </w:rPr>
            </w:pPr>
            <w:r>
              <w:rPr>
                <w:color w:val="auto"/>
                <w:szCs w:val="24"/>
              </w:rPr>
              <w:t>纵坡引起的交通噪声源强修正量△L纵坡计算按下表</w:t>
            </w:r>
            <w:r>
              <w:rPr>
                <w:rFonts w:hint="eastAsia"/>
                <w:color w:val="auto"/>
                <w:szCs w:val="24"/>
              </w:rPr>
              <w:t>8-3</w:t>
            </w:r>
            <w:r>
              <w:rPr>
                <w:color w:val="auto"/>
                <w:szCs w:val="24"/>
              </w:rPr>
              <w:t>取值。</w:t>
            </w:r>
          </w:p>
          <w:p>
            <w:pPr>
              <w:pStyle w:val="111"/>
              <w:adjustRightInd w:val="0"/>
              <w:snapToGrid w:val="0"/>
              <w:spacing w:line="240" w:lineRule="auto"/>
              <w:ind w:firstLine="0" w:firstLineChars="0"/>
              <w:jc w:val="center"/>
              <w:rPr>
                <w:b/>
                <w:bCs/>
                <w:color w:val="auto"/>
                <w:sz w:val="21"/>
                <w:szCs w:val="21"/>
              </w:rPr>
            </w:pPr>
            <w:r>
              <w:rPr>
                <w:b/>
                <w:bCs/>
                <w:color w:val="auto"/>
                <w:sz w:val="21"/>
                <w:szCs w:val="21"/>
              </w:rPr>
              <w:t>表</w:t>
            </w:r>
            <w:r>
              <w:rPr>
                <w:rFonts w:hint="eastAsia"/>
                <w:b/>
                <w:bCs/>
                <w:color w:val="auto"/>
                <w:sz w:val="21"/>
                <w:szCs w:val="21"/>
              </w:rPr>
              <w:t>8-</w:t>
            </w:r>
            <w:r>
              <w:rPr>
                <w:b/>
                <w:bCs/>
                <w:color w:val="auto"/>
                <w:sz w:val="21"/>
                <w:szCs w:val="21"/>
              </w:rPr>
              <w:t>3          路面纵坡噪南级修正值</w:t>
            </w:r>
          </w:p>
          <w:tbl>
            <w:tblPr>
              <w:tblStyle w:val="26"/>
              <w:tblW w:w="47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50"/>
              <w:gridCol w:w="3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2499" w:type="pct"/>
                  <w:shd w:val="clear" w:color="auto" w:fill="auto"/>
                  <w:noWrap w:val="0"/>
                  <w:vAlign w:val="top"/>
                </w:tcPr>
                <w:p>
                  <w:pPr>
                    <w:pStyle w:val="111"/>
                    <w:adjustRightInd w:val="0"/>
                    <w:snapToGrid w:val="0"/>
                    <w:spacing w:line="240" w:lineRule="auto"/>
                    <w:ind w:firstLine="0" w:firstLineChars="0"/>
                    <w:jc w:val="center"/>
                    <w:rPr>
                      <w:color w:val="auto"/>
                      <w:sz w:val="21"/>
                      <w:szCs w:val="21"/>
                    </w:rPr>
                  </w:pPr>
                  <w:r>
                    <w:rPr>
                      <w:color w:val="auto"/>
                      <w:sz w:val="21"/>
                      <w:szCs w:val="21"/>
                    </w:rPr>
                    <w:t>纵坡</w:t>
                  </w:r>
                </w:p>
              </w:tc>
              <w:tc>
                <w:tcPr>
                  <w:tcW w:w="2500" w:type="pct"/>
                  <w:shd w:val="clear" w:color="auto" w:fill="auto"/>
                  <w:noWrap w:val="0"/>
                  <w:vAlign w:val="top"/>
                </w:tcPr>
                <w:p>
                  <w:pPr>
                    <w:pStyle w:val="111"/>
                    <w:adjustRightInd w:val="0"/>
                    <w:snapToGrid w:val="0"/>
                    <w:spacing w:line="240" w:lineRule="auto"/>
                    <w:ind w:firstLine="0" w:firstLineChars="0"/>
                    <w:jc w:val="center"/>
                    <w:rPr>
                      <w:color w:val="auto"/>
                      <w:sz w:val="21"/>
                      <w:szCs w:val="21"/>
                    </w:rPr>
                  </w:pPr>
                  <w:r>
                    <w:rPr>
                      <w:color w:val="auto"/>
                      <w:sz w:val="21"/>
                      <w:szCs w:val="21"/>
                    </w:rPr>
                    <w:t>噪声级修正值（dB）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499" w:type="pct"/>
                  <w:shd w:val="clear" w:color="auto" w:fill="auto"/>
                  <w:noWrap w:val="0"/>
                  <w:vAlign w:val="top"/>
                </w:tcPr>
                <w:p>
                  <w:pPr>
                    <w:pStyle w:val="111"/>
                    <w:adjustRightInd w:val="0"/>
                    <w:snapToGrid w:val="0"/>
                    <w:spacing w:line="240" w:lineRule="auto"/>
                    <w:ind w:firstLine="0" w:firstLineChars="0"/>
                    <w:jc w:val="center"/>
                    <w:rPr>
                      <w:color w:val="auto"/>
                      <w:sz w:val="21"/>
                      <w:szCs w:val="21"/>
                    </w:rPr>
                  </w:pPr>
                  <w:r>
                    <w:rPr>
                      <w:color w:val="auto"/>
                      <w:sz w:val="21"/>
                      <w:szCs w:val="21"/>
                    </w:rPr>
                    <w:t>≤3</w:t>
                  </w:r>
                </w:p>
              </w:tc>
              <w:tc>
                <w:tcPr>
                  <w:tcW w:w="2500" w:type="pct"/>
                  <w:shd w:val="clear" w:color="auto" w:fill="auto"/>
                  <w:noWrap w:val="0"/>
                  <w:vAlign w:val="top"/>
                </w:tcPr>
                <w:p>
                  <w:pPr>
                    <w:pStyle w:val="111"/>
                    <w:adjustRightInd w:val="0"/>
                    <w:snapToGrid w:val="0"/>
                    <w:spacing w:line="240" w:lineRule="auto"/>
                    <w:ind w:firstLine="0" w:firstLineChars="0"/>
                    <w:jc w:val="center"/>
                    <w:rPr>
                      <w:color w:val="auto"/>
                      <w:sz w:val="21"/>
                      <w:szCs w:val="21"/>
                    </w:rPr>
                  </w:pPr>
                  <w:r>
                    <w:rPr>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499" w:type="pct"/>
                  <w:shd w:val="clear" w:color="auto" w:fill="auto"/>
                  <w:noWrap w:val="0"/>
                  <w:vAlign w:val="top"/>
                </w:tcPr>
                <w:p>
                  <w:pPr>
                    <w:pStyle w:val="111"/>
                    <w:adjustRightInd w:val="0"/>
                    <w:snapToGrid w:val="0"/>
                    <w:spacing w:line="240" w:lineRule="auto"/>
                    <w:ind w:firstLine="0" w:firstLineChars="0"/>
                    <w:jc w:val="center"/>
                    <w:rPr>
                      <w:color w:val="auto"/>
                      <w:sz w:val="21"/>
                      <w:szCs w:val="21"/>
                    </w:rPr>
                  </w:pPr>
                  <w:r>
                    <w:rPr>
                      <w:color w:val="auto"/>
                      <w:sz w:val="21"/>
                      <w:szCs w:val="21"/>
                    </w:rPr>
                    <w:t>4~5</w:t>
                  </w:r>
                </w:p>
              </w:tc>
              <w:tc>
                <w:tcPr>
                  <w:tcW w:w="2500" w:type="pct"/>
                  <w:shd w:val="clear" w:color="auto" w:fill="auto"/>
                  <w:noWrap w:val="0"/>
                  <w:vAlign w:val="top"/>
                </w:tcPr>
                <w:p>
                  <w:pPr>
                    <w:pStyle w:val="111"/>
                    <w:adjustRightInd w:val="0"/>
                    <w:snapToGrid w:val="0"/>
                    <w:spacing w:line="240" w:lineRule="auto"/>
                    <w:ind w:firstLine="0" w:firstLineChars="0"/>
                    <w:jc w:val="center"/>
                    <w:rPr>
                      <w:color w:val="auto"/>
                      <w:sz w:val="21"/>
                      <w:szCs w:val="21"/>
                    </w:rPr>
                  </w:pPr>
                  <w:r>
                    <w:rPr>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499" w:type="pct"/>
                  <w:shd w:val="clear" w:color="auto" w:fill="auto"/>
                  <w:noWrap w:val="0"/>
                  <w:vAlign w:val="top"/>
                </w:tcPr>
                <w:p>
                  <w:pPr>
                    <w:pStyle w:val="111"/>
                    <w:adjustRightInd w:val="0"/>
                    <w:snapToGrid w:val="0"/>
                    <w:spacing w:line="240" w:lineRule="auto"/>
                    <w:ind w:firstLine="0" w:firstLineChars="0"/>
                    <w:jc w:val="center"/>
                    <w:rPr>
                      <w:color w:val="auto"/>
                      <w:sz w:val="21"/>
                      <w:szCs w:val="21"/>
                    </w:rPr>
                  </w:pPr>
                  <w:r>
                    <w:rPr>
                      <w:color w:val="auto"/>
                      <w:sz w:val="21"/>
                      <w:szCs w:val="21"/>
                    </w:rPr>
                    <w:t>6~7</w:t>
                  </w:r>
                </w:p>
              </w:tc>
              <w:tc>
                <w:tcPr>
                  <w:tcW w:w="2500" w:type="pct"/>
                  <w:shd w:val="clear" w:color="auto" w:fill="auto"/>
                  <w:noWrap w:val="0"/>
                  <w:vAlign w:val="top"/>
                </w:tcPr>
                <w:p>
                  <w:pPr>
                    <w:pStyle w:val="111"/>
                    <w:adjustRightInd w:val="0"/>
                    <w:snapToGrid w:val="0"/>
                    <w:spacing w:line="240" w:lineRule="auto"/>
                    <w:ind w:firstLine="0" w:firstLineChars="0"/>
                    <w:jc w:val="center"/>
                    <w:rPr>
                      <w:color w:val="auto"/>
                      <w:sz w:val="21"/>
                      <w:szCs w:val="21"/>
                    </w:rPr>
                  </w:pPr>
                  <w:r>
                    <w:rPr>
                      <w:color w:val="auto"/>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499" w:type="pct"/>
                  <w:shd w:val="clear" w:color="auto" w:fill="auto"/>
                  <w:noWrap w:val="0"/>
                  <w:vAlign w:val="top"/>
                </w:tcPr>
                <w:p>
                  <w:pPr>
                    <w:pStyle w:val="111"/>
                    <w:adjustRightInd w:val="0"/>
                    <w:snapToGrid w:val="0"/>
                    <w:spacing w:line="240" w:lineRule="auto"/>
                    <w:ind w:firstLine="0" w:firstLineChars="0"/>
                    <w:jc w:val="center"/>
                    <w:rPr>
                      <w:color w:val="auto"/>
                      <w:sz w:val="21"/>
                      <w:szCs w:val="21"/>
                    </w:rPr>
                  </w:pPr>
                  <w:r>
                    <w:rPr>
                      <w:color w:val="auto"/>
                      <w:sz w:val="21"/>
                      <w:szCs w:val="21"/>
                    </w:rPr>
                    <w:t>＞7</w:t>
                  </w:r>
                </w:p>
              </w:tc>
              <w:tc>
                <w:tcPr>
                  <w:tcW w:w="2500" w:type="pct"/>
                  <w:shd w:val="clear" w:color="auto" w:fill="auto"/>
                  <w:noWrap w:val="0"/>
                  <w:vAlign w:val="top"/>
                </w:tcPr>
                <w:p>
                  <w:pPr>
                    <w:pStyle w:val="111"/>
                    <w:adjustRightInd w:val="0"/>
                    <w:snapToGrid w:val="0"/>
                    <w:spacing w:line="240" w:lineRule="auto"/>
                    <w:ind w:firstLine="0" w:firstLineChars="0"/>
                    <w:jc w:val="center"/>
                    <w:rPr>
                      <w:color w:val="auto"/>
                      <w:sz w:val="21"/>
                      <w:szCs w:val="21"/>
                    </w:rPr>
                  </w:pPr>
                  <w:r>
                    <w:rPr>
                      <w:color w:val="auto"/>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5000" w:type="pct"/>
                  <w:gridSpan w:val="2"/>
                  <w:shd w:val="clear" w:color="auto" w:fill="auto"/>
                  <w:noWrap w:val="0"/>
                  <w:vAlign w:val="top"/>
                </w:tcPr>
                <w:p>
                  <w:pPr>
                    <w:pStyle w:val="111"/>
                    <w:adjustRightInd w:val="0"/>
                    <w:snapToGrid w:val="0"/>
                    <w:spacing w:line="240" w:lineRule="auto"/>
                    <w:ind w:firstLine="0" w:firstLineChars="0"/>
                    <w:rPr>
                      <w:color w:val="auto"/>
                      <w:sz w:val="21"/>
                      <w:szCs w:val="21"/>
                    </w:rPr>
                  </w:pPr>
                  <w:r>
                    <w:rPr>
                      <w:color w:val="auto"/>
                      <w:sz w:val="21"/>
                      <w:szCs w:val="21"/>
                    </w:rPr>
                    <w:t>注：本表仅对大型车和中型车修正，小型车不做修正。</w:t>
                  </w:r>
                </w:p>
              </w:tc>
            </w:tr>
          </w:tbl>
          <w:p>
            <w:pPr>
              <w:pStyle w:val="111"/>
              <w:adjustRightInd w:val="0"/>
              <w:snapToGrid w:val="0"/>
              <w:spacing w:before="120" w:beforeLines="50"/>
              <w:ind w:firstLine="480"/>
              <w:rPr>
                <w:color w:val="auto"/>
                <w:szCs w:val="24"/>
              </w:rPr>
            </w:pPr>
            <w:r>
              <w:rPr>
                <w:color w:val="auto"/>
                <w:szCs w:val="24"/>
              </w:rPr>
              <w:t>本项目主线设计最大纵坡为1.</w:t>
            </w:r>
            <w:r>
              <w:rPr>
                <w:rFonts w:hint="eastAsia"/>
                <w:color w:val="auto"/>
                <w:szCs w:val="24"/>
                <w:lang w:val="en-US" w:eastAsia="zh-CN"/>
              </w:rPr>
              <w:t>38</w:t>
            </w:r>
            <w:r>
              <w:rPr>
                <w:color w:val="auto"/>
                <w:szCs w:val="24"/>
              </w:rPr>
              <w:t>，修正值△L纵坡取0；</w:t>
            </w:r>
          </w:p>
          <w:p>
            <w:pPr>
              <w:pStyle w:val="111"/>
              <w:adjustRightInd w:val="0"/>
              <w:snapToGrid w:val="0"/>
              <w:ind w:firstLine="480"/>
              <w:rPr>
                <w:color w:val="auto"/>
                <w:szCs w:val="24"/>
              </w:rPr>
            </w:pPr>
            <w:r>
              <w:rPr>
                <w:rFonts w:hint="eastAsia"/>
                <w:color w:val="auto"/>
                <w:szCs w:val="24"/>
                <w:lang w:val="en-US" w:eastAsia="zh-CN"/>
              </w:rPr>
              <w:t>道</w:t>
            </w:r>
            <w:r>
              <w:rPr>
                <w:color w:val="auto"/>
                <w:szCs w:val="24"/>
              </w:rPr>
              <w:t>路路面引起的交通噪声源强修正量△L路面取值按表</w:t>
            </w:r>
            <w:r>
              <w:rPr>
                <w:rFonts w:hint="eastAsia"/>
                <w:color w:val="auto"/>
                <w:szCs w:val="24"/>
              </w:rPr>
              <w:t>8</w:t>
            </w:r>
            <w:r>
              <w:rPr>
                <w:color w:val="auto"/>
                <w:szCs w:val="24"/>
              </w:rPr>
              <w:t>-4执行。</w:t>
            </w:r>
          </w:p>
          <w:p>
            <w:pPr>
              <w:pStyle w:val="111"/>
              <w:adjustRightInd w:val="0"/>
              <w:snapToGrid w:val="0"/>
              <w:spacing w:line="240" w:lineRule="auto"/>
              <w:ind w:firstLine="0" w:firstLineChars="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rPr>
              <w:t>8-4</w:t>
            </w:r>
            <w:r>
              <w:rPr>
                <w:rFonts w:ascii="Times New Roman" w:hAnsi="Times New Roman" w:eastAsia="宋体" w:cs="Times New Roman"/>
                <w:b/>
                <w:bCs/>
                <w:color w:val="auto"/>
                <w:sz w:val="21"/>
                <w:szCs w:val="21"/>
              </w:rPr>
              <w:t xml:space="preserve">    </w:t>
            </w:r>
            <w:r>
              <w:rPr>
                <w:rFonts w:hint="eastAsia" w:ascii="Times New Roman" w:hAnsi="Times New Roman" w:eastAsia="宋体" w:cs="Times New Roman"/>
                <w:b/>
                <w:bCs/>
                <w:color w:val="auto"/>
                <w:sz w:val="21"/>
                <w:szCs w:val="21"/>
              </w:rPr>
              <w:t xml:space="preserve">   </w:t>
            </w:r>
            <w:r>
              <w:rPr>
                <w:rFonts w:ascii="Times New Roman" w:hAnsi="Times New Roman" w:eastAsia="宋体" w:cs="Times New Roman"/>
                <w:b/>
                <w:bCs/>
                <w:color w:val="auto"/>
                <w:sz w:val="21"/>
                <w:szCs w:val="21"/>
              </w:rPr>
              <w:t xml:space="preserve">  常规路面修正值</w:t>
            </w:r>
          </w:p>
          <w:tbl>
            <w:tblPr>
              <w:tblStyle w:val="26"/>
              <w:tblW w:w="47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56"/>
              <w:gridCol w:w="4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2438" w:type="pct"/>
                  <w:shd w:val="clear" w:color="auto" w:fill="auto"/>
                  <w:noWrap w:val="0"/>
                  <w:vAlign w:val="center"/>
                </w:tcPr>
                <w:p>
                  <w:pPr>
                    <w:pStyle w:val="111"/>
                    <w:adjustRightInd w:val="0"/>
                    <w:snapToGrid w:val="0"/>
                    <w:spacing w:line="240" w:lineRule="auto"/>
                    <w:ind w:firstLine="0" w:firstLineChars="0"/>
                    <w:jc w:val="center"/>
                    <w:rPr>
                      <w:color w:val="auto"/>
                      <w:sz w:val="21"/>
                      <w:szCs w:val="21"/>
                    </w:rPr>
                  </w:pPr>
                  <w:r>
                    <w:rPr>
                      <w:color w:val="auto"/>
                      <w:sz w:val="21"/>
                      <w:szCs w:val="21"/>
                    </w:rPr>
                    <w:t>路面</w:t>
                  </w:r>
                </w:p>
              </w:tc>
              <w:tc>
                <w:tcPr>
                  <w:tcW w:w="2561" w:type="pct"/>
                  <w:shd w:val="clear" w:color="auto" w:fill="auto"/>
                  <w:noWrap w:val="0"/>
                  <w:vAlign w:val="center"/>
                </w:tcPr>
                <w:p>
                  <w:pPr>
                    <w:pStyle w:val="111"/>
                    <w:adjustRightInd w:val="0"/>
                    <w:snapToGrid w:val="0"/>
                    <w:spacing w:line="240" w:lineRule="auto"/>
                    <w:ind w:firstLine="0" w:firstLineChars="0"/>
                    <w:jc w:val="center"/>
                    <w:rPr>
                      <w:color w:val="auto"/>
                      <w:sz w:val="21"/>
                      <w:szCs w:val="21"/>
                    </w:rPr>
                  </w:pPr>
                  <w:r>
                    <w:rPr>
                      <w:color w:val="auto"/>
                      <w:sz w:val="21"/>
                      <w:szCs w:val="21"/>
                    </w:rPr>
                    <w:t>△L路面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2438" w:type="pct"/>
                  <w:shd w:val="clear" w:color="auto" w:fill="auto"/>
                  <w:noWrap w:val="0"/>
                  <w:vAlign w:val="center"/>
                </w:tcPr>
                <w:p>
                  <w:pPr>
                    <w:pStyle w:val="111"/>
                    <w:adjustRightInd w:val="0"/>
                    <w:snapToGrid w:val="0"/>
                    <w:spacing w:line="240" w:lineRule="auto"/>
                    <w:ind w:firstLine="0" w:firstLineChars="0"/>
                    <w:jc w:val="center"/>
                    <w:rPr>
                      <w:color w:val="auto"/>
                      <w:sz w:val="21"/>
                      <w:szCs w:val="21"/>
                    </w:rPr>
                  </w:pPr>
                  <w:r>
                    <w:rPr>
                      <w:color w:val="auto"/>
                      <w:sz w:val="21"/>
                      <w:szCs w:val="21"/>
                    </w:rPr>
                    <w:t>沥青混凝土路面</w:t>
                  </w:r>
                </w:p>
              </w:tc>
              <w:tc>
                <w:tcPr>
                  <w:tcW w:w="2561" w:type="pct"/>
                  <w:shd w:val="clear" w:color="auto" w:fill="auto"/>
                  <w:noWrap w:val="0"/>
                  <w:vAlign w:val="center"/>
                </w:tcPr>
                <w:p>
                  <w:pPr>
                    <w:pStyle w:val="111"/>
                    <w:adjustRightInd w:val="0"/>
                    <w:snapToGrid w:val="0"/>
                    <w:spacing w:line="240" w:lineRule="auto"/>
                    <w:ind w:firstLine="0" w:firstLineChars="0"/>
                    <w:jc w:val="center"/>
                    <w:rPr>
                      <w:color w:val="auto"/>
                      <w:sz w:val="21"/>
                      <w:szCs w:val="21"/>
                    </w:rPr>
                  </w:pPr>
                  <w:r>
                    <w:rPr>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2438" w:type="pct"/>
                  <w:shd w:val="clear" w:color="auto" w:fill="auto"/>
                  <w:noWrap w:val="0"/>
                  <w:vAlign w:val="center"/>
                </w:tcPr>
                <w:p>
                  <w:pPr>
                    <w:pStyle w:val="111"/>
                    <w:adjustRightInd w:val="0"/>
                    <w:snapToGrid w:val="0"/>
                    <w:spacing w:line="240" w:lineRule="auto"/>
                    <w:ind w:firstLine="0" w:firstLineChars="0"/>
                    <w:jc w:val="center"/>
                    <w:rPr>
                      <w:color w:val="auto"/>
                      <w:sz w:val="21"/>
                      <w:szCs w:val="21"/>
                    </w:rPr>
                  </w:pPr>
                  <w:r>
                    <w:rPr>
                      <w:color w:val="auto"/>
                      <w:sz w:val="21"/>
                      <w:szCs w:val="21"/>
                    </w:rPr>
                    <w:t>水泥混凝士路面</w:t>
                  </w:r>
                </w:p>
              </w:tc>
              <w:tc>
                <w:tcPr>
                  <w:tcW w:w="2561" w:type="pct"/>
                  <w:shd w:val="clear" w:color="auto" w:fill="auto"/>
                  <w:noWrap w:val="0"/>
                  <w:vAlign w:val="center"/>
                </w:tcPr>
                <w:p>
                  <w:pPr>
                    <w:pStyle w:val="111"/>
                    <w:adjustRightInd w:val="0"/>
                    <w:snapToGrid w:val="0"/>
                    <w:spacing w:line="240" w:lineRule="auto"/>
                    <w:ind w:firstLine="0" w:firstLineChars="0"/>
                    <w:jc w:val="center"/>
                    <w:rPr>
                      <w:color w:val="auto"/>
                      <w:sz w:val="21"/>
                      <w:szCs w:val="21"/>
                    </w:rPr>
                  </w:pPr>
                  <w:r>
                    <w:rPr>
                      <w:color w:val="auto"/>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000" w:type="pct"/>
                  <w:gridSpan w:val="2"/>
                  <w:shd w:val="clear" w:color="auto" w:fill="auto"/>
                  <w:noWrap w:val="0"/>
                  <w:vAlign w:val="center"/>
                </w:tcPr>
                <w:p>
                  <w:pPr>
                    <w:pStyle w:val="111"/>
                    <w:adjustRightInd w:val="0"/>
                    <w:snapToGrid w:val="0"/>
                    <w:spacing w:line="240" w:lineRule="auto"/>
                    <w:ind w:firstLine="0" w:firstLineChars="0"/>
                    <w:rPr>
                      <w:color w:val="auto"/>
                      <w:sz w:val="21"/>
                      <w:szCs w:val="21"/>
                    </w:rPr>
                  </w:pPr>
                  <w:r>
                    <w:rPr>
                      <w:color w:val="auto"/>
                      <w:sz w:val="21"/>
                      <w:szCs w:val="21"/>
                    </w:rPr>
                    <w:t>注</w:t>
                  </w:r>
                  <w:r>
                    <w:rPr>
                      <w:rFonts w:hint="eastAsia"/>
                      <w:color w:val="auto"/>
                      <w:sz w:val="21"/>
                      <w:szCs w:val="21"/>
                    </w:rPr>
                    <w:t>：</w:t>
                  </w:r>
                  <w:r>
                    <w:rPr>
                      <w:color w:val="auto"/>
                      <w:sz w:val="21"/>
                      <w:szCs w:val="21"/>
                    </w:rPr>
                    <w:t>本表仅对小型车修正，大型年和中型车不作修正</w:t>
                  </w:r>
                </w:p>
              </w:tc>
            </w:tr>
          </w:tbl>
          <w:p>
            <w:pPr>
              <w:pStyle w:val="111"/>
              <w:adjustRightInd w:val="0"/>
              <w:snapToGrid w:val="0"/>
              <w:spacing w:before="120" w:beforeLines="50"/>
              <w:ind w:firstLine="480"/>
              <w:rPr>
                <w:color w:val="auto"/>
                <w:szCs w:val="24"/>
              </w:rPr>
            </w:pPr>
            <w:r>
              <w:rPr>
                <w:color w:val="auto"/>
                <w:szCs w:val="24"/>
              </w:rPr>
              <w:t>本项目路面全为沥青混凝土路面，故△L路面为0。</w:t>
            </w:r>
          </w:p>
          <w:p>
            <w:pPr>
              <w:pStyle w:val="111"/>
              <w:adjustRightInd w:val="0"/>
              <w:snapToGrid w:val="0"/>
              <w:ind w:firstLine="480"/>
              <w:rPr>
                <w:color w:val="auto"/>
                <w:szCs w:val="24"/>
              </w:rPr>
            </w:pPr>
            <w:r>
              <w:rPr>
                <w:color w:val="auto"/>
                <w:szCs w:val="24"/>
              </w:rPr>
              <w:t>根据车流量表，本次环评大、中、小型车车速</w:t>
            </w:r>
            <w:r>
              <w:rPr>
                <w:rFonts w:hint="eastAsia"/>
                <w:color w:val="auto"/>
                <w:szCs w:val="24"/>
                <w:lang w:eastAsia="zh-CN"/>
              </w:rPr>
              <w:t>平均</w:t>
            </w:r>
            <w:r>
              <w:rPr>
                <w:color w:val="auto"/>
                <w:szCs w:val="24"/>
              </w:rPr>
              <w:t>时速</w:t>
            </w:r>
            <w:r>
              <w:rPr>
                <w:rFonts w:hint="eastAsia"/>
                <w:color w:val="auto"/>
                <w:szCs w:val="24"/>
                <w:lang w:val="en-US" w:eastAsia="zh-CN"/>
              </w:rPr>
              <w:t>4</w:t>
            </w:r>
            <w:r>
              <w:rPr>
                <w:color w:val="auto"/>
                <w:szCs w:val="24"/>
              </w:rPr>
              <w:t>0km/h计算，项目路段近、中、远期各种车型车速7.5m处噪声级见表</w:t>
            </w:r>
            <w:r>
              <w:rPr>
                <w:rFonts w:hint="eastAsia"/>
                <w:color w:val="auto"/>
                <w:szCs w:val="24"/>
              </w:rPr>
              <w:t>8</w:t>
            </w:r>
            <w:r>
              <w:rPr>
                <w:color w:val="auto"/>
                <w:szCs w:val="24"/>
              </w:rPr>
              <w:t>-5。</w:t>
            </w:r>
          </w:p>
          <w:p>
            <w:pPr>
              <w:pStyle w:val="111"/>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b/>
                <w:bCs/>
                <w:color w:val="FF0000"/>
                <w:sz w:val="21"/>
                <w:szCs w:val="21"/>
                <w:highlight w:val="none"/>
              </w:rPr>
            </w:pPr>
            <w:r>
              <w:rPr>
                <w:b/>
                <w:bCs/>
                <w:color w:val="FF0000"/>
                <w:sz w:val="21"/>
                <w:szCs w:val="21"/>
                <w:highlight w:val="none"/>
              </w:rPr>
              <w:t>表</w:t>
            </w:r>
            <w:r>
              <w:rPr>
                <w:rFonts w:hint="eastAsia"/>
                <w:b/>
                <w:bCs/>
                <w:color w:val="FF0000"/>
                <w:sz w:val="21"/>
                <w:szCs w:val="21"/>
                <w:highlight w:val="none"/>
              </w:rPr>
              <w:t>8-5</w:t>
            </w:r>
            <w:r>
              <w:rPr>
                <w:b/>
                <w:bCs/>
                <w:color w:val="FF0000"/>
                <w:sz w:val="21"/>
                <w:szCs w:val="21"/>
                <w:highlight w:val="none"/>
              </w:rPr>
              <w:t xml:space="preserve">       本项目车辆行驶辐射平均噪声级</w:t>
            </w:r>
            <w:r>
              <w:rPr>
                <w:rFonts w:hint="eastAsia"/>
                <w:b/>
                <w:bCs/>
                <w:color w:val="FF0000"/>
                <w:sz w:val="21"/>
                <w:szCs w:val="21"/>
                <w:highlight w:val="none"/>
                <w:lang w:val="en-US" w:eastAsia="zh-CN"/>
              </w:rPr>
              <w:t xml:space="preserve">     </w:t>
            </w:r>
            <w:r>
              <w:rPr>
                <w:b/>
                <w:bCs/>
                <w:color w:val="FF0000"/>
                <w:sz w:val="21"/>
                <w:szCs w:val="21"/>
                <w:highlight w:val="none"/>
              </w:rPr>
              <w:t>单位:dB(A)</w:t>
            </w:r>
          </w:p>
          <w:tbl>
            <w:tblPr>
              <w:tblStyle w:val="26"/>
              <w:tblW w:w="8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5"/>
              <w:gridCol w:w="1668"/>
              <w:gridCol w:w="1668"/>
              <w:gridCol w:w="1668"/>
              <w:gridCol w:w="1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998" w:type="pct"/>
                  <w:shd w:val="clear" w:color="auto" w:fill="auto"/>
                  <w:noWrap w:val="0"/>
                  <w:vAlign w:val="center"/>
                </w:tcPr>
                <w:p>
                  <w:pPr>
                    <w:pStyle w:val="111"/>
                    <w:adjustRightInd w:val="0"/>
                    <w:snapToGrid w:val="0"/>
                    <w:spacing w:line="240" w:lineRule="auto"/>
                    <w:ind w:firstLine="0" w:firstLineChars="0"/>
                    <w:jc w:val="center"/>
                    <w:rPr>
                      <w:color w:val="FF0000"/>
                      <w:sz w:val="21"/>
                      <w:szCs w:val="21"/>
                      <w:highlight w:val="none"/>
                    </w:rPr>
                  </w:pPr>
                  <w:r>
                    <w:rPr>
                      <w:color w:val="FF0000"/>
                      <w:sz w:val="21"/>
                      <w:szCs w:val="21"/>
                      <w:highlight w:val="none"/>
                    </w:rPr>
                    <w:t>路段</w:t>
                  </w:r>
                </w:p>
              </w:tc>
              <w:tc>
                <w:tcPr>
                  <w:tcW w:w="1000" w:type="pct"/>
                  <w:shd w:val="clear" w:color="auto" w:fill="auto"/>
                  <w:noWrap w:val="0"/>
                  <w:vAlign w:val="center"/>
                </w:tcPr>
                <w:p>
                  <w:pPr>
                    <w:pStyle w:val="111"/>
                    <w:adjustRightInd w:val="0"/>
                    <w:snapToGrid w:val="0"/>
                    <w:spacing w:line="240" w:lineRule="auto"/>
                    <w:ind w:firstLine="0" w:firstLineChars="0"/>
                    <w:jc w:val="center"/>
                    <w:rPr>
                      <w:rFonts w:hint="eastAsia" w:eastAsia="宋体"/>
                      <w:color w:val="FF0000"/>
                      <w:sz w:val="21"/>
                      <w:szCs w:val="21"/>
                      <w:highlight w:val="none"/>
                      <w:lang w:eastAsia="zh-CN"/>
                    </w:rPr>
                  </w:pPr>
                  <w:r>
                    <w:rPr>
                      <w:rFonts w:hint="eastAsia"/>
                      <w:color w:val="FF0000"/>
                      <w:sz w:val="21"/>
                      <w:szCs w:val="21"/>
                      <w:highlight w:val="none"/>
                      <w:lang w:eastAsia="zh-CN"/>
                    </w:rPr>
                    <w:t>特征年</w:t>
                  </w:r>
                </w:p>
              </w:tc>
              <w:tc>
                <w:tcPr>
                  <w:tcW w:w="1000" w:type="pct"/>
                  <w:shd w:val="clear" w:color="auto" w:fill="auto"/>
                  <w:noWrap w:val="0"/>
                  <w:vAlign w:val="center"/>
                </w:tcPr>
                <w:p>
                  <w:pPr>
                    <w:pStyle w:val="111"/>
                    <w:adjustRightInd w:val="0"/>
                    <w:snapToGrid w:val="0"/>
                    <w:spacing w:line="240" w:lineRule="auto"/>
                    <w:ind w:firstLine="0" w:firstLineChars="0"/>
                    <w:jc w:val="center"/>
                    <w:rPr>
                      <w:color w:val="FF0000"/>
                      <w:sz w:val="21"/>
                      <w:szCs w:val="21"/>
                      <w:highlight w:val="none"/>
                    </w:rPr>
                  </w:pPr>
                  <w:r>
                    <w:rPr>
                      <w:rFonts w:hint="eastAsia"/>
                      <w:color w:val="FF0000"/>
                      <w:sz w:val="21"/>
                      <w:szCs w:val="21"/>
                      <w:highlight w:val="none"/>
                      <w:lang w:eastAsia="zh-CN"/>
                    </w:rPr>
                    <w:t>车型</w:t>
                  </w:r>
                </w:p>
              </w:tc>
              <w:tc>
                <w:tcPr>
                  <w:tcW w:w="1000" w:type="pct"/>
                  <w:shd w:val="clear" w:color="auto" w:fill="auto"/>
                  <w:noWrap w:val="0"/>
                  <w:vAlign w:val="center"/>
                </w:tcPr>
                <w:p>
                  <w:pPr>
                    <w:pStyle w:val="111"/>
                    <w:adjustRightInd w:val="0"/>
                    <w:snapToGrid w:val="0"/>
                    <w:spacing w:line="240" w:lineRule="auto"/>
                    <w:ind w:firstLine="0" w:firstLineChars="0"/>
                    <w:jc w:val="center"/>
                    <w:rPr>
                      <w:rFonts w:hint="eastAsia" w:eastAsia="宋体"/>
                      <w:color w:val="FF0000"/>
                      <w:sz w:val="21"/>
                      <w:szCs w:val="21"/>
                      <w:highlight w:val="none"/>
                      <w:lang w:eastAsia="zh-CN"/>
                    </w:rPr>
                  </w:pPr>
                  <w:r>
                    <w:rPr>
                      <w:rFonts w:hint="eastAsia"/>
                      <w:color w:val="FF0000"/>
                      <w:sz w:val="21"/>
                      <w:szCs w:val="21"/>
                      <w:highlight w:val="none"/>
                      <w:lang w:eastAsia="zh-CN"/>
                    </w:rPr>
                    <w:t>昼间</w:t>
                  </w:r>
                </w:p>
              </w:tc>
              <w:tc>
                <w:tcPr>
                  <w:tcW w:w="1000" w:type="pct"/>
                  <w:shd w:val="clear" w:color="auto" w:fill="auto"/>
                  <w:noWrap w:val="0"/>
                  <w:vAlign w:val="center"/>
                </w:tcPr>
                <w:p>
                  <w:pPr>
                    <w:pStyle w:val="111"/>
                    <w:adjustRightInd w:val="0"/>
                    <w:snapToGrid w:val="0"/>
                    <w:spacing w:line="240" w:lineRule="auto"/>
                    <w:ind w:firstLine="0" w:firstLineChars="0"/>
                    <w:jc w:val="center"/>
                    <w:rPr>
                      <w:rFonts w:hint="eastAsia" w:eastAsia="宋体"/>
                      <w:color w:val="FF0000"/>
                      <w:sz w:val="21"/>
                      <w:szCs w:val="21"/>
                      <w:highlight w:val="none"/>
                      <w:lang w:eastAsia="zh-CN"/>
                    </w:rPr>
                  </w:pPr>
                  <w:r>
                    <w:rPr>
                      <w:rFonts w:hint="eastAsia"/>
                      <w:color w:val="FF0000"/>
                      <w:sz w:val="21"/>
                      <w:szCs w:val="21"/>
                      <w:highlight w:val="none"/>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998" w:type="pct"/>
                  <w:vMerge w:val="restart"/>
                  <w:shd w:val="clear" w:color="auto" w:fill="auto"/>
                  <w:noWrap w:val="0"/>
                  <w:vAlign w:val="center"/>
                </w:tcPr>
                <w:p>
                  <w:pPr>
                    <w:pStyle w:val="111"/>
                    <w:adjustRightInd w:val="0"/>
                    <w:snapToGrid w:val="0"/>
                    <w:spacing w:line="240" w:lineRule="auto"/>
                    <w:ind w:firstLine="0" w:firstLineChars="0"/>
                    <w:jc w:val="center"/>
                    <w:rPr>
                      <w:rFonts w:hint="default" w:eastAsia="宋体"/>
                      <w:color w:val="FF0000"/>
                      <w:sz w:val="21"/>
                      <w:szCs w:val="21"/>
                      <w:highlight w:val="none"/>
                      <w:lang w:val="en-US" w:eastAsia="zh-CN"/>
                    </w:rPr>
                  </w:pPr>
                  <w:r>
                    <w:rPr>
                      <w:rFonts w:hint="eastAsia"/>
                      <w:color w:val="FF0000"/>
                      <w:sz w:val="21"/>
                      <w:szCs w:val="21"/>
                      <w:highlight w:val="none"/>
                      <w:lang w:eastAsia="zh-CN"/>
                    </w:rPr>
                    <w:t>滨河</w:t>
                  </w:r>
                  <w:r>
                    <w:rPr>
                      <w:rFonts w:hint="eastAsia"/>
                      <w:color w:val="FF0000"/>
                      <w:sz w:val="21"/>
                      <w:szCs w:val="21"/>
                      <w:highlight w:val="none"/>
                      <w:lang w:val="en-US" w:eastAsia="zh-CN"/>
                    </w:rPr>
                    <w:t>大桥及附属的</w:t>
                  </w:r>
                  <w:r>
                    <w:rPr>
                      <w:rFonts w:hint="eastAsia" w:ascii="Times New Roman" w:hAnsi="Times New Roman" w:eastAsia="宋体" w:cs="Times New Roman"/>
                      <w:color w:val="FF0000"/>
                      <w:sz w:val="21"/>
                      <w:szCs w:val="21"/>
                      <w:lang w:val="en-US" w:eastAsia="zh-CN"/>
                    </w:rPr>
                    <w:t>滨河</w:t>
                  </w:r>
                  <w:r>
                    <w:rPr>
                      <w:rFonts w:hint="eastAsia" w:cs="Times New Roman"/>
                      <w:color w:val="FF0000"/>
                      <w:sz w:val="21"/>
                      <w:szCs w:val="21"/>
                      <w:lang w:val="en-US" w:eastAsia="zh-CN"/>
                    </w:rPr>
                    <w:t>东、</w:t>
                  </w:r>
                  <w:r>
                    <w:rPr>
                      <w:rFonts w:hint="eastAsia" w:ascii="Times New Roman" w:hAnsi="Times New Roman" w:eastAsia="宋体" w:cs="Times New Roman"/>
                      <w:color w:val="FF0000"/>
                      <w:sz w:val="21"/>
                      <w:szCs w:val="21"/>
                      <w:lang w:val="en-US" w:eastAsia="zh-CN"/>
                    </w:rPr>
                    <w:t>西路</w:t>
                  </w:r>
                  <w:r>
                    <w:rPr>
                      <w:rFonts w:hint="eastAsia" w:cs="Times New Roman"/>
                      <w:color w:val="FF0000"/>
                      <w:sz w:val="21"/>
                      <w:szCs w:val="21"/>
                      <w:lang w:val="en-US" w:eastAsia="zh-CN"/>
                    </w:rPr>
                    <w:t>改造段</w:t>
                  </w:r>
                </w:p>
              </w:tc>
              <w:tc>
                <w:tcPr>
                  <w:tcW w:w="1000" w:type="pct"/>
                  <w:vMerge w:val="restart"/>
                  <w:shd w:val="clear" w:color="auto" w:fill="auto"/>
                  <w:noWrap w:val="0"/>
                  <w:vAlign w:val="center"/>
                </w:tcPr>
                <w:p>
                  <w:pPr>
                    <w:pStyle w:val="111"/>
                    <w:adjustRightInd w:val="0"/>
                    <w:snapToGrid w:val="0"/>
                    <w:spacing w:line="240" w:lineRule="auto"/>
                    <w:ind w:firstLine="0" w:firstLineChars="0"/>
                    <w:jc w:val="center"/>
                    <w:rPr>
                      <w:rFonts w:hint="eastAsia" w:eastAsia="宋体"/>
                      <w:color w:val="FF0000"/>
                      <w:sz w:val="21"/>
                      <w:szCs w:val="21"/>
                      <w:highlight w:val="none"/>
                      <w:lang w:eastAsia="zh-CN"/>
                    </w:rPr>
                  </w:pPr>
                  <w:r>
                    <w:rPr>
                      <w:rFonts w:hint="eastAsia"/>
                      <w:color w:val="FF0000"/>
                      <w:sz w:val="21"/>
                      <w:szCs w:val="21"/>
                      <w:highlight w:val="none"/>
                      <w:lang w:eastAsia="zh-CN"/>
                    </w:rPr>
                    <w:t>近期（</w:t>
                  </w:r>
                  <w:r>
                    <w:rPr>
                      <w:rFonts w:hint="eastAsia"/>
                      <w:color w:val="FF0000"/>
                      <w:sz w:val="21"/>
                      <w:szCs w:val="21"/>
                      <w:highlight w:val="none"/>
                      <w:lang w:val="en-US" w:eastAsia="zh-CN"/>
                    </w:rPr>
                    <w:t>2024年</w:t>
                  </w:r>
                  <w:r>
                    <w:rPr>
                      <w:rFonts w:hint="eastAsia"/>
                      <w:color w:val="FF0000"/>
                      <w:sz w:val="21"/>
                      <w:szCs w:val="21"/>
                      <w:highlight w:val="none"/>
                      <w:lang w:eastAsia="zh-CN"/>
                    </w:rPr>
                    <w:t>）</w:t>
                  </w:r>
                </w:p>
              </w:tc>
              <w:tc>
                <w:tcPr>
                  <w:tcW w:w="1000" w:type="pct"/>
                  <w:shd w:val="clear" w:color="auto" w:fill="auto"/>
                  <w:noWrap w:val="0"/>
                  <w:vAlign w:val="center"/>
                </w:tcPr>
                <w:p>
                  <w:pPr>
                    <w:pStyle w:val="111"/>
                    <w:adjustRightInd w:val="0"/>
                    <w:snapToGrid w:val="0"/>
                    <w:spacing w:line="240" w:lineRule="auto"/>
                    <w:ind w:firstLine="0" w:firstLineChars="0"/>
                    <w:jc w:val="center"/>
                    <w:rPr>
                      <w:rFonts w:hint="default" w:eastAsia="宋体"/>
                      <w:color w:val="FF0000"/>
                      <w:sz w:val="21"/>
                      <w:szCs w:val="21"/>
                      <w:highlight w:val="none"/>
                      <w:lang w:val="en-US" w:eastAsia="zh-CN"/>
                    </w:rPr>
                  </w:pPr>
                  <w:r>
                    <w:rPr>
                      <w:rFonts w:hint="eastAsia"/>
                      <w:color w:val="FF0000"/>
                      <w:sz w:val="21"/>
                      <w:szCs w:val="21"/>
                      <w:lang w:val="en-US" w:eastAsia="zh-CN"/>
                    </w:rPr>
                    <w:t>小型车</w:t>
                  </w:r>
                </w:p>
              </w:tc>
              <w:tc>
                <w:tcPr>
                  <w:tcW w:w="1000" w:type="pct"/>
                  <w:shd w:val="clear" w:color="auto" w:fill="auto"/>
                  <w:noWrap w:val="0"/>
                  <w:vAlign w:val="center"/>
                </w:tcPr>
                <w:p>
                  <w:pPr>
                    <w:pStyle w:val="111"/>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65.71</w:t>
                  </w:r>
                </w:p>
              </w:tc>
              <w:tc>
                <w:tcPr>
                  <w:tcW w:w="1000" w:type="pct"/>
                  <w:shd w:val="clear" w:color="auto" w:fill="auto"/>
                  <w:noWrap w:val="0"/>
                  <w:vAlign w:val="center"/>
                </w:tcPr>
                <w:p>
                  <w:pPr>
                    <w:pStyle w:val="111"/>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65.77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998" w:type="pct"/>
                  <w:vMerge w:val="continue"/>
                  <w:shd w:val="clear" w:color="auto" w:fill="auto"/>
                  <w:noWrap w:val="0"/>
                  <w:vAlign w:val="center"/>
                </w:tcPr>
                <w:p>
                  <w:pPr>
                    <w:pStyle w:val="111"/>
                    <w:adjustRightInd w:val="0"/>
                    <w:snapToGrid w:val="0"/>
                    <w:spacing w:line="240" w:lineRule="auto"/>
                    <w:ind w:firstLine="0" w:firstLineChars="0"/>
                    <w:jc w:val="center"/>
                    <w:rPr>
                      <w:color w:val="FF0000"/>
                      <w:sz w:val="21"/>
                      <w:szCs w:val="21"/>
                      <w:highlight w:val="none"/>
                    </w:rPr>
                  </w:pPr>
                </w:p>
              </w:tc>
              <w:tc>
                <w:tcPr>
                  <w:tcW w:w="1000" w:type="pct"/>
                  <w:vMerge w:val="continue"/>
                  <w:shd w:val="clear" w:color="auto" w:fill="auto"/>
                  <w:noWrap w:val="0"/>
                  <w:vAlign w:val="center"/>
                </w:tcPr>
                <w:p>
                  <w:pPr>
                    <w:pStyle w:val="111"/>
                    <w:adjustRightInd w:val="0"/>
                    <w:snapToGrid w:val="0"/>
                    <w:spacing w:line="240" w:lineRule="auto"/>
                    <w:ind w:firstLine="0" w:firstLineChars="0"/>
                    <w:jc w:val="center"/>
                    <w:rPr>
                      <w:color w:val="FF0000"/>
                      <w:sz w:val="21"/>
                      <w:szCs w:val="21"/>
                      <w:highlight w:val="none"/>
                    </w:rPr>
                  </w:pPr>
                </w:p>
              </w:tc>
              <w:tc>
                <w:tcPr>
                  <w:tcW w:w="1000" w:type="pct"/>
                  <w:shd w:val="clear" w:color="auto" w:fill="auto"/>
                  <w:noWrap w:val="0"/>
                  <w:vAlign w:val="center"/>
                </w:tcPr>
                <w:p>
                  <w:pPr>
                    <w:pStyle w:val="111"/>
                    <w:adjustRightInd w:val="0"/>
                    <w:snapToGrid w:val="0"/>
                    <w:spacing w:line="240" w:lineRule="auto"/>
                    <w:ind w:firstLine="0" w:firstLineChars="0"/>
                    <w:jc w:val="center"/>
                    <w:rPr>
                      <w:rFonts w:hint="default" w:eastAsia="宋体"/>
                      <w:color w:val="FF0000"/>
                      <w:sz w:val="21"/>
                      <w:szCs w:val="21"/>
                      <w:highlight w:val="none"/>
                      <w:lang w:val="en-US" w:eastAsia="zh-CN"/>
                    </w:rPr>
                  </w:pPr>
                  <w:r>
                    <w:rPr>
                      <w:rFonts w:hint="eastAsia"/>
                      <w:color w:val="FF0000"/>
                      <w:sz w:val="21"/>
                      <w:szCs w:val="21"/>
                      <w:lang w:val="en-US" w:eastAsia="zh-CN"/>
                    </w:rPr>
                    <w:t>中型车</w:t>
                  </w:r>
                </w:p>
              </w:tc>
              <w:tc>
                <w:tcPr>
                  <w:tcW w:w="1000" w:type="pct"/>
                  <w:shd w:val="clear" w:color="auto" w:fill="auto"/>
                  <w:noWrap w:val="0"/>
                  <w:vAlign w:val="center"/>
                </w:tcPr>
                <w:p>
                  <w:pPr>
                    <w:pStyle w:val="111"/>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64.35</w:t>
                  </w:r>
                </w:p>
              </w:tc>
              <w:tc>
                <w:tcPr>
                  <w:tcW w:w="1000" w:type="pct"/>
                  <w:shd w:val="clear" w:color="auto" w:fill="auto"/>
                  <w:noWrap w:val="0"/>
                  <w:vAlign w:val="center"/>
                </w:tcPr>
                <w:p>
                  <w:pPr>
                    <w:pStyle w:val="111"/>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64.05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998" w:type="pct"/>
                  <w:vMerge w:val="continue"/>
                  <w:shd w:val="clear" w:color="auto" w:fill="auto"/>
                  <w:noWrap w:val="0"/>
                  <w:vAlign w:val="center"/>
                </w:tcPr>
                <w:p>
                  <w:pPr>
                    <w:pStyle w:val="111"/>
                    <w:adjustRightInd w:val="0"/>
                    <w:snapToGrid w:val="0"/>
                    <w:spacing w:line="240" w:lineRule="auto"/>
                    <w:ind w:firstLine="0" w:firstLineChars="0"/>
                    <w:jc w:val="center"/>
                    <w:rPr>
                      <w:color w:val="FF0000"/>
                      <w:sz w:val="21"/>
                      <w:szCs w:val="21"/>
                      <w:highlight w:val="none"/>
                    </w:rPr>
                  </w:pPr>
                </w:p>
              </w:tc>
              <w:tc>
                <w:tcPr>
                  <w:tcW w:w="1000" w:type="pct"/>
                  <w:vMerge w:val="continue"/>
                  <w:shd w:val="clear" w:color="auto" w:fill="auto"/>
                  <w:noWrap w:val="0"/>
                  <w:vAlign w:val="center"/>
                </w:tcPr>
                <w:p>
                  <w:pPr>
                    <w:pStyle w:val="111"/>
                    <w:adjustRightInd w:val="0"/>
                    <w:snapToGrid w:val="0"/>
                    <w:spacing w:line="240" w:lineRule="auto"/>
                    <w:ind w:firstLine="0" w:firstLineChars="0"/>
                    <w:jc w:val="center"/>
                    <w:rPr>
                      <w:color w:val="FF0000"/>
                      <w:sz w:val="21"/>
                      <w:szCs w:val="21"/>
                      <w:highlight w:val="none"/>
                    </w:rPr>
                  </w:pPr>
                </w:p>
              </w:tc>
              <w:tc>
                <w:tcPr>
                  <w:tcW w:w="1000" w:type="pct"/>
                  <w:shd w:val="clear" w:color="auto" w:fill="auto"/>
                  <w:noWrap w:val="0"/>
                  <w:vAlign w:val="center"/>
                </w:tcPr>
                <w:p>
                  <w:pPr>
                    <w:pStyle w:val="111"/>
                    <w:adjustRightInd w:val="0"/>
                    <w:snapToGrid w:val="0"/>
                    <w:spacing w:line="240" w:lineRule="auto"/>
                    <w:ind w:firstLine="0" w:firstLineChars="0"/>
                    <w:jc w:val="center"/>
                    <w:rPr>
                      <w:rFonts w:hint="default" w:eastAsia="宋体"/>
                      <w:color w:val="FF0000"/>
                      <w:sz w:val="21"/>
                      <w:szCs w:val="21"/>
                      <w:highlight w:val="none"/>
                      <w:lang w:val="en-US" w:eastAsia="zh-CN"/>
                    </w:rPr>
                  </w:pPr>
                  <w:r>
                    <w:rPr>
                      <w:rFonts w:hint="eastAsia"/>
                      <w:color w:val="FF0000"/>
                      <w:sz w:val="21"/>
                      <w:szCs w:val="21"/>
                      <w:lang w:val="en-US" w:eastAsia="zh-CN"/>
                    </w:rPr>
                    <w:t>大型车</w:t>
                  </w:r>
                </w:p>
              </w:tc>
              <w:tc>
                <w:tcPr>
                  <w:tcW w:w="1000" w:type="pct"/>
                  <w:shd w:val="clear" w:color="auto" w:fill="auto"/>
                  <w:noWrap w:val="0"/>
                  <w:vAlign w:val="center"/>
                </w:tcPr>
                <w:p>
                  <w:pPr>
                    <w:pStyle w:val="111"/>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71.87</w:t>
                  </w:r>
                </w:p>
              </w:tc>
              <w:tc>
                <w:tcPr>
                  <w:tcW w:w="1000" w:type="pct"/>
                  <w:shd w:val="clear" w:color="auto" w:fill="auto"/>
                  <w:noWrap w:val="0"/>
                  <w:vAlign w:val="center"/>
                </w:tcPr>
                <w:p>
                  <w:pPr>
                    <w:pStyle w:val="111"/>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71.67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998" w:type="pct"/>
                  <w:vMerge w:val="continue"/>
                  <w:shd w:val="clear" w:color="auto" w:fill="auto"/>
                  <w:noWrap w:val="0"/>
                  <w:vAlign w:val="center"/>
                </w:tcPr>
                <w:p>
                  <w:pPr>
                    <w:pStyle w:val="111"/>
                    <w:adjustRightInd w:val="0"/>
                    <w:snapToGrid w:val="0"/>
                    <w:spacing w:line="240" w:lineRule="auto"/>
                    <w:ind w:firstLine="0" w:firstLineChars="0"/>
                    <w:jc w:val="center"/>
                    <w:rPr>
                      <w:rFonts w:hint="eastAsia" w:eastAsia="宋体"/>
                      <w:color w:val="FF0000"/>
                      <w:sz w:val="21"/>
                      <w:szCs w:val="21"/>
                      <w:highlight w:val="none"/>
                      <w:lang w:eastAsia="zh-CN"/>
                    </w:rPr>
                  </w:pPr>
                </w:p>
              </w:tc>
              <w:tc>
                <w:tcPr>
                  <w:tcW w:w="1000" w:type="pct"/>
                  <w:vMerge w:val="restart"/>
                  <w:shd w:val="clear" w:color="auto" w:fill="auto"/>
                  <w:noWrap w:val="0"/>
                  <w:vAlign w:val="center"/>
                </w:tcPr>
                <w:p>
                  <w:pPr>
                    <w:pStyle w:val="111"/>
                    <w:adjustRightInd w:val="0"/>
                    <w:snapToGrid w:val="0"/>
                    <w:spacing w:line="240" w:lineRule="auto"/>
                    <w:ind w:firstLine="0" w:firstLineChars="0"/>
                    <w:jc w:val="center"/>
                    <w:rPr>
                      <w:rFonts w:hint="eastAsia" w:eastAsia="宋体"/>
                      <w:color w:val="FF0000"/>
                      <w:sz w:val="21"/>
                      <w:szCs w:val="21"/>
                      <w:highlight w:val="none"/>
                      <w:lang w:eastAsia="zh-CN"/>
                    </w:rPr>
                  </w:pPr>
                  <w:r>
                    <w:rPr>
                      <w:rFonts w:hint="eastAsia"/>
                      <w:color w:val="FF0000"/>
                      <w:sz w:val="21"/>
                      <w:szCs w:val="21"/>
                      <w:highlight w:val="none"/>
                      <w:lang w:eastAsia="zh-CN"/>
                    </w:rPr>
                    <w:t>中期（</w:t>
                  </w:r>
                  <w:r>
                    <w:rPr>
                      <w:rFonts w:hint="eastAsia"/>
                      <w:color w:val="FF0000"/>
                      <w:sz w:val="21"/>
                      <w:szCs w:val="21"/>
                      <w:highlight w:val="none"/>
                      <w:lang w:val="en-US" w:eastAsia="zh-CN"/>
                    </w:rPr>
                    <w:t>2030年</w:t>
                  </w:r>
                  <w:r>
                    <w:rPr>
                      <w:rFonts w:hint="eastAsia"/>
                      <w:color w:val="FF0000"/>
                      <w:sz w:val="21"/>
                      <w:szCs w:val="21"/>
                      <w:highlight w:val="none"/>
                      <w:lang w:eastAsia="zh-CN"/>
                    </w:rPr>
                    <w:t>）</w:t>
                  </w:r>
                </w:p>
              </w:tc>
              <w:tc>
                <w:tcPr>
                  <w:tcW w:w="1000" w:type="pct"/>
                  <w:shd w:val="clear" w:color="auto" w:fill="auto"/>
                  <w:noWrap w:val="0"/>
                  <w:vAlign w:val="center"/>
                </w:tcPr>
                <w:p>
                  <w:pPr>
                    <w:pStyle w:val="111"/>
                    <w:adjustRightInd w:val="0"/>
                    <w:snapToGrid w:val="0"/>
                    <w:spacing w:line="240" w:lineRule="auto"/>
                    <w:ind w:firstLine="0" w:firstLineChars="0"/>
                    <w:jc w:val="center"/>
                    <w:rPr>
                      <w:color w:val="FF0000"/>
                      <w:sz w:val="21"/>
                      <w:szCs w:val="21"/>
                    </w:rPr>
                  </w:pPr>
                  <w:r>
                    <w:rPr>
                      <w:rFonts w:hint="eastAsia"/>
                      <w:color w:val="FF0000"/>
                      <w:sz w:val="21"/>
                      <w:szCs w:val="21"/>
                      <w:lang w:val="en-US" w:eastAsia="zh-CN"/>
                    </w:rPr>
                    <w:t>小型车</w:t>
                  </w:r>
                </w:p>
              </w:tc>
              <w:tc>
                <w:tcPr>
                  <w:tcW w:w="1668" w:type="dxa"/>
                  <w:shd w:val="clear" w:color="auto" w:fill="auto"/>
                  <w:noWrap w:val="0"/>
                  <w:vAlign w:val="center"/>
                </w:tcPr>
                <w:p>
                  <w:pPr>
                    <w:pStyle w:val="111"/>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65.67</w:t>
                  </w:r>
                </w:p>
              </w:tc>
              <w:tc>
                <w:tcPr>
                  <w:tcW w:w="1668" w:type="dxa"/>
                  <w:shd w:val="clear" w:color="auto" w:fill="auto"/>
                  <w:noWrap w:val="0"/>
                  <w:vAlign w:val="center"/>
                </w:tcPr>
                <w:p>
                  <w:pPr>
                    <w:pStyle w:val="111"/>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65.77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998" w:type="pct"/>
                  <w:vMerge w:val="continue"/>
                  <w:shd w:val="clear" w:color="auto" w:fill="auto"/>
                  <w:noWrap w:val="0"/>
                  <w:vAlign w:val="center"/>
                </w:tcPr>
                <w:p>
                  <w:pPr>
                    <w:pStyle w:val="111"/>
                    <w:adjustRightInd w:val="0"/>
                    <w:snapToGrid w:val="0"/>
                    <w:spacing w:line="240" w:lineRule="auto"/>
                    <w:ind w:firstLine="0" w:firstLineChars="0"/>
                    <w:jc w:val="center"/>
                    <w:rPr>
                      <w:color w:val="FF0000"/>
                      <w:sz w:val="21"/>
                      <w:szCs w:val="21"/>
                      <w:highlight w:val="none"/>
                    </w:rPr>
                  </w:pPr>
                </w:p>
              </w:tc>
              <w:tc>
                <w:tcPr>
                  <w:tcW w:w="1000" w:type="pct"/>
                  <w:vMerge w:val="continue"/>
                  <w:shd w:val="clear" w:color="auto" w:fill="auto"/>
                  <w:noWrap w:val="0"/>
                  <w:vAlign w:val="center"/>
                </w:tcPr>
                <w:p>
                  <w:pPr>
                    <w:pStyle w:val="111"/>
                    <w:adjustRightInd w:val="0"/>
                    <w:snapToGrid w:val="0"/>
                    <w:spacing w:line="240" w:lineRule="auto"/>
                    <w:ind w:firstLine="0" w:firstLineChars="0"/>
                    <w:jc w:val="center"/>
                    <w:rPr>
                      <w:color w:val="FF0000"/>
                      <w:sz w:val="21"/>
                      <w:szCs w:val="21"/>
                      <w:highlight w:val="none"/>
                    </w:rPr>
                  </w:pPr>
                </w:p>
              </w:tc>
              <w:tc>
                <w:tcPr>
                  <w:tcW w:w="1000" w:type="pct"/>
                  <w:shd w:val="clear" w:color="auto" w:fill="auto"/>
                  <w:noWrap w:val="0"/>
                  <w:vAlign w:val="center"/>
                </w:tcPr>
                <w:p>
                  <w:pPr>
                    <w:pStyle w:val="111"/>
                    <w:adjustRightInd w:val="0"/>
                    <w:snapToGrid w:val="0"/>
                    <w:spacing w:line="240" w:lineRule="auto"/>
                    <w:ind w:firstLine="0" w:firstLineChars="0"/>
                    <w:jc w:val="center"/>
                    <w:rPr>
                      <w:color w:val="FF0000"/>
                      <w:sz w:val="21"/>
                      <w:szCs w:val="21"/>
                    </w:rPr>
                  </w:pPr>
                  <w:r>
                    <w:rPr>
                      <w:rFonts w:hint="eastAsia"/>
                      <w:color w:val="FF0000"/>
                      <w:sz w:val="21"/>
                      <w:szCs w:val="21"/>
                      <w:lang w:val="en-US" w:eastAsia="zh-CN"/>
                    </w:rPr>
                    <w:t>中型车</w:t>
                  </w:r>
                </w:p>
              </w:tc>
              <w:tc>
                <w:tcPr>
                  <w:tcW w:w="1668" w:type="dxa"/>
                  <w:shd w:val="clear" w:color="auto" w:fill="auto"/>
                  <w:noWrap w:val="0"/>
                  <w:vAlign w:val="center"/>
                </w:tcPr>
                <w:p>
                  <w:pPr>
                    <w:pStyle w:val="111"/>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64.50</w:t>
                  </w:r>
                </w:p>
              </w:tc>
              <w:tc>
                <w:tcPr>
                  <w:tcW w:w="1668" w:type="dxa"/>
                  <w:shd w:val="clear" w:color="auto" w:fill="auto"/>
                  <w:noWrap w:val="0"/>
                  <w:vAlign w:val="center"/>
                </w:tcPr>
                <w:p>
                  <w:pPr>
                    <w:pStyle w:val="111"/>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64.10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998" w:type="pct"/>
                  <w:vMerge w:val="continue"/>
                  <w:shd w:val="clear" w:color="auto" w:fill="auto"/>
                  <w:noWrap w:val="0"/>
                  <w:vAlign w:val="center"/>
                </w:tcPr>
                <w:p>
                  <w:pPr>
                    <w:pStyle w:val="111"/>
                    <w:adjustRightInd w:val="0"/>
                    <w:snapToGrid w:val="0"/>
                    <w:spacing w:line="240" w:lineRule="auto"/>
                    <w:ind w:firstLine="0" w:firstLineChars="0"/>
                    <w:jc w:val="center"/>
                    <w:rPr>
                      <w:color w:val="FF0000"/>
                      <w:sz w:val="21"/>
                      <w:szCs w:val="21"/>
                      <w:highlight w:val="none"/>
                    </w:rPr>
                  </w:pPr>
                </w:p>
              </w:tc>
              <w:tc>
                <w:tcPr>
                  <w:tcW w:w="1000" w:type="pct"/>
                  <w:vMerge w:val="continue"/>
                  <w:shd w:val="clear" w:color="auto" w:fill="auto"/>
                  <w:noWrap w:val="0"/>
                  <w:vAlign w:val="center"/>
                </w:tcPr>
                <w:p>
                  <w:pPr>
                    <w:pStyle w:val="111"/>
                    <w:adjustRightInd w:val="0"/>
                    <w:snapToGrid w:val="0"/>
                    <w:spacing w:line="240" w:lineRule="auto"/>
                    <w:ind w:firstLine="0" w:firstLineChars="0"/>
                    <w:jc w:val="center"/>
                    <w:rPr>
                      <w:color w:val="FF0000"/>
                      <w:sz w:val="21"/>
                      <w:szCs w:val="21"/>
                      <w:highlight w:val="none"/>
                    </w:rPr>
                  </w:pPr>
                </w:p>
              </w:tc>
              <w:tc>
                <w:tcPr>
                  <w:tcW w:w="1000" w:type="pct"/>
                  <w:shd w:val="clear" w:color="auto" w:fill="auto"/>
                  <w:noWrap w:val="0"/>
                  <w:vAlign w:val="center"/>
                </w:tcPr>
                <w:p>
                  <w:pPr>
                    <w:pStyle w:val="111"/>
                    <w:adjustRightInd w:val="0"/>
                    <w:snapToGrid w:val="0"/>
                    <w:spacing w:line="240" w:lineRule="auto"/>
                    <w:ind w:firstLine="0" w:firstLineChars="0"/>
                    <w:jc w:val="center"/>
                    <w:rPr>
                      <w:color w:val="FF0000"/>
                      <w:sz w:val="21"/>
                      <w:szCs w:val="21"/>
                    </w:rPr>
                  </w:pPr>
                  <w:r>
                    <w:rPr>
                      <w:rFonts w:hint="eastAsia"/>
                      <w:color w:val="FF0000"/>
                      <w:sz w:val="21"/>
                      <w:szCs w:val="21"/>
                      <w:lang w:val="en-US" w:eastAsia="zh-CN"/>
                    </w:rPr>
                    <w:t>大型车</w:t>
                  </w:r>
                </w:p>
              </w:tc>
              <w:tc>
                <w:tcPr>
                  <w:tcW w:w="1668" w:type="dxa"/>
                  <w:shd w:val="clear" w:color="auto" w:fill="auto"/>
                  <w:noWrap w:val="0"/>
                  <w:vAlign w:val="center"/>
                </w:tcPr>
                <w:p>
                  <w:pPr>
                    <w:pStyle w:val="111"/>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71.97</w:t>
                  </w:r>
                </w:p>
              </w:tc>
              <w:tc>
                <w:tcPr>
                  <w:tcW w:w="1668" w:type="dxa"/>
                  <w:shd w:val="clear" w:color="auto" w:fill="auto"/>
                  <w:noWrap w:val="0"/>
                  <w:vAlign w:val="center"/>
                </w:tcPr>
                <w:p>
                  <w:pPr>
                    <w:pStyle w:val="111"/>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71.71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998" w:type="pct"/>
                  <w:vMerge w:val="continue"/>
                  <w:shd w:val="clear" w:color="auto" w:fill="auto"/>
                  <w:noWrap w:val="0"/>
                  <w:vAlign w:val="center"/>
                </w:tcPr>
                <w:p>
                  <w:pPr>
                    <w:pStyle w:val="111"/>
                    <w:adjustRightInd w:val="0"/>
                    <w:snapToGrid w:val="0"/>
                    <w:spacing w:line="240" w:lineRule="auto"/>
                    <w:ind w:firstLine="0" w:firstLineChars="0"/>
                    <w:jc w:val="center"/>
                    <w:rPr>
                      <w:color w:val="FF0000"/>
                      <w:sz w:val="21"/>
                      <w:szCs w:val="21"/>
                      <w:highlight w:val="none"/>
                    </w:rPr>
                  </w:pPr>
                </w:p>
              </w:tc>
              <w:tc>
                <w:tcPr>
                  <w:tcW w:w="1000" w:type="pct"/>
                  <w:vMerge w:val="restart"/>
                  <w:shd w:val="clear" w:color="auto" w:fill="auto"/>
                  <w:noWrap w:val="0"/>
                  <w:vAlign w:val="center"/>
                </w:tcPr>
                <w:p>
                  <w:pPr>
                    <w:pStyle w:val="111"/>
                    <w:adjustRightInd w:val="0"/>
                    <w:snapToGrid w:val="0"/>
                    <w:spacing w:line="240" w:lineRule="auto"/>
                    <w:ind w:firstLine="0" w:firstLineChars="0"/>
                    <w:jc w:val="center"/>
                    <w:rPr>
                      <w:rFonts w:hint="eastAsia" w:eastAsia="宋体"/>
                      <w:color w:val="FF0000"/>
                      <w:sz w:val="21"/>
                      <w:szCs w:val="21"/>
                      <w:highlight w:val="none"/>
                      <w:lang w:eastAsia="zh-CN"/>
                    </w:rPr>
                  </w:pPr>
                  <w:r>
                    <w:rPr>
                      <w:rFonts w:hint="eastAsia"/>
                      <w:color w:val="FF0000"/>
                      <w:sz w:val="21"/>
                      <w:szCs w:val="21"/>
                      <w:highlight w:val="none"/>
                      <w:lang w:eastAsia="zh-CN"/>
                    </w:rPr>
                    <w:t>远期（</w:t>
                  </w:r>
                  <w:r>
                    <w:rPr>
                      <w:rFonts w:hint="eastAsia"/>
                      <w:color w:val="FF0000"/>
                      <w:sz w:val="21"/>
                      <w:szCs w:val="21"/>
                      <w:highlight w:val="none"/>
                      <w:lang w:val="en-US" w:eastAsia="zh-CN"/>
                    </w:rPr>
                    <w:t>2038年</w:t>
                  </w:r>
                  <w:r>
                    <w:rPr>
                      <w:rFonts w:hint="eastAsia"/>
                      <w:color w:val="FF0000"/>
                      <w:sz w:val="21"/>
                      <w:szCs w:val="21"/>
                      <w:highlight w:val="none"/>
                      <w:lang w:eastAsia="zh-CN"/>
                    </w:rPr>
                    <w:t>）</w:t>
                  </w:r>
                </w:p>
              </w:tc>
              <w:tc>
                <w:tcPr>
                  <w:tcW w:w="1000" w:type="pct"/>
                  <w:shd w:val="clear" w:color="auto" w:fill="auto"/>
                  <w:noWrap w:val="0"/>
                  <w:vAlign w:val="center"/>
                </w:tcPr>
                <w:p>
                  <w:pPr>
                    <w:pStyle w:val="111"/>
                    <w:adjustRightInd w:val="0"/>
                    <w:snapToGrid w:val="0"/>
                    <w:spacing w:line="240" w:lineRule="auto"/>
                    <w:ind w:firstLine="0" w:firstLineChars="0"/>
                    <w:jc w:val="center"/>
                    <w:rPr>
                      <w:color w:val="FF0000"/>
                      <w:sz w:val="21"/>
                      <w:szCs w:val="21"/>
                    </w:rPr>
                  </w:pPr>
                  <w:r>
                    <w:rPr>
                      <w:rFonts w:hint="eastAsia"/>
                      <w:color w:val="FF0000"/>
                      <w:sz w:val="21"/>
                      <w:szCs w:val="21"/>
                      <w:lang w:val="en-US" w:eastAsia="zh-CN"/>
                    </w:rPr>
                    <w:t>小型车</w:t>
                  </w:r>
                </w:p>
              </w:tc>
              <w:tc>
                <w:tcPr>
                  <w:tcW w:w="1668" w:type="dxa"/>
                  <w:shd w:val="clear" w:color="auto" w:fill="auto"/>
                  <w:noWrap w:val="0"/>
                  <w:vAlign w:val="center"/>
                </w:tcPr>
                <w:p>
                  <w:pPr>
                    <w:pStyle w:val="111"/>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65.60</w:t>
                  </w:r>
                </w:p>
              </w:tc>
              <w:tc>
                <w:tcPr>
                  <w:tcW w:w="1668" w:type="dxa"/>
                  <w:shd w:val="clear" w:color="auto" w:fill="auto"/>
                  <w:noWrap w:val="0"/>
                  <w:vAlign w:val="center"/>
                </w:tcPr>
                <w:p>
                  <w:pPr>
                    <w:pStyle w:val="111"/>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65.75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998" w:type="pct"/>
                  <w:vMerge w:val="continue"/>
                  <w:shd w:val="clear" w:color="auto" w:fill="auto"/>
                  <w:noWrap w:val="0"/>
                  <w:vAlign w:val="center"/>
                </w:tcPr>
                <w:p>
                  <w:pPr>
                    <w:pStyle w:val="111"/>
                    <w:adjustRightInd w:val="0"/>
                    <w:snapToGrid w:val="0"/>
                    <w:spacing w:line="240" w:lineRule="auto"/>
                    <w:ind w:firstLine="0" w:firstLineChars="0"/>
                    <w:jc w:val="center"/>
                    <w:rPr>
                      <w:color w:val="FF0000"/>
                      <w:sz w:val="21"/>
                      <w:szCs w:val="21"/>
                      <w:highlight w:val="none"/>
                    </w:rPr>
                  </w:pPr>
                </w:p>
              </w:tc>
              <w:tc>
                <w:tcPr>
                  <w:tcW w:w="1000" w:type="pct"/>
                  <w:vMerge w:val="continue"/>
                  <w:shd w:val="clear" w:color="auto" w:fill="auto"/>
                  <w:noWrap w:val="0"/>
                  <w:vAlign w:val="center"/>
                </w:tcPr>
                <w:p>
                  <w:pPr>
                    <w:pStyle w:val="111"/>
                    <w:adjustRightInd w:val="0"/>
                    <w:snapToGrid w:val="0"/>
                    <w:spacing w:line="240" w:lineRule="auto"/>
                    <w:ind w:firstLine="0" w:firstLineChars="0"/>
                    <w:jc w:val="center"/>
                    <w:rPr>
                      <w:color w:val="FF0000"/>
                      <w:sz w:val="21"/>
                      <w:szCs w:val="21"/>
                      <w:highlight w:val="none"/>
                    </w:rPr>
                  </w:pPr>
                </w:p>
              </w:tc>
              <w:tc>
                <w:tcPr>
                  <w:tcW w:w="1000" w:type="pct"/>
                  <w:shd w:val="clear" w:color="auto" w:fill="auto"/>
                  <w:noWrap w:val="0"/>
                  <w:vAlign w:val="center"/>
                </w:tcPr>
                <w:p>
                  <w:pPr>
                    <w:pStyle w:val="111"/>
                    <w:adjustRightInd w:val="0"/>
                    <w:snapToGrid w:val="0"/>
                    <w:spacing w:line="240" w:lineRule="auto"/>
                    <w:ind w:firstLine="0" w:firstLineChars="0"/>
                    <w:jc w:val="center"/>
                    <w:rPr>
                      <w:color w:val="FF0000"/>
                      <w:sz w:val="21"/>
                      <w:szCs w:val="21"/>
                    </w:rPr>
                  </w:pPr>
                  <w:r>
                    <w:rPr>
                      <w:rFonts w:hint="eastAsia"/>
                      <w:color w:val="FF0000"/>
                      <w:sz w:val="21"/>
                      <w:szCs w:val="21"/>
                      <w:lang w:val="en-US" w:eastAsia="zh-CN"/>
                    </w:rPr>
                    <w:t>中型车</w:t>
                  </w:r>
                </w:p>
              </w:tc>
              <w:tc>
                <w:tcPr>
                  <w:tcW w:w="1668" w:type="dxa"/>
                  <w:shd w:val="clear" w:color="auto" w:fill="auto"/>
                  <w:noWrap w:val="0"/>
                  <w:vAlign w:val="center"/>
                </w:tcPr>
                <w:p>
                  <w:pPr>
                    <w:pStyle w:val="111"/>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64.68</w:t>
                  </w:r>
                </w:p>
              </w:tc>
              <w:tc>
                <w:tcPr>
                  <w:tcW w:w="1668" w:type="dxa"/>
                  <w:shd w:val="clear" w:color="auto" w:fill="auto"/>
                  <w:noWrap w:val="0"/>
                  <w:vAlign w:val="center"/>
                </w:tcPr>
                <w:p>
                  <w:pPr>
                    <w:pStyle w:val="111"/>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64.16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998" w:type="pct"/>
                  <w:vMerge w:val="continue"/>
                  <w:shd w:val="clear" w:color="auto" w:fill="auto"/>
                  <w:noWrap w:val="0"/>
                  <w:vAlign w:val="center"/>
                </w:tcPr>
                <w:p>
                  <w:pPr>
                    <w:pStyle w:val="111"/>
                    <w:adjustRightInd w:val="0"/>
                    <w:snapToGrid w:val="0"/>
                    <w:spacing w:line="240" w:lineRule="auto"/>
                    <w:ind w:firstLine="0" w:firstLineChars="0"/>
                    <w:jc w:val="center"/>
                    <w:rPr>
                      <w:color w:val="FF0000"/>
                      <w:sz w:val="21"/>
                      <w:szCs w:val="21"/>
                      <w:highlight w:val="none"/>
                    </w:rPr>
                  </w:pPr>
                </w:p>
              </w:tc>
              <w:tc>
                <w:tcPr>
                  <w:tcW w:w="1000" w:type="pct"/>
                  <w:vMerge w:val="continue"/>
                  <w:shd w:val="clear" w:color="auto" w:fill="auto"/>
                  <w:noWrap w:val="0"/>
                  <w:vAlign w:val="center"/>
                </w:tcPr>
                <w:p>
                  <w:pPr>
                    <w:pStyle w:val="111"/>
                    <w:adjustRightInd w:val="0"/>
                    <w:snapToGrid w:val="0"/>
                    <w:spacing w:line="240" w:lineRule="auto"/>
                    <w:ind w:firstLine="0" w:firstLineChars="0"/>
                    <w:jc w:val="center"/>
                    <w:rPr>
                      <w:color w:val="FF0000"/>
                      <w:sz w:val="21"/>
                      <w:szCs w:val="21"/>
                      <w:highlight w:val="none"/>
                    </w:rPr>
                  </w:pPr>
                </w:p>
              </w:tc>
              <w:tc>
                <w:tcPr>
                  <w:tcW w:w="1000" w:type="pct"/>
                  <w:shd w:val="clear" w:color="auto" w:fill="auto"/>
                  <w:noWrap w:val="0"/>
                  <w:vAlign w:val="center"/>
                </w:tcPr>
                <w:p>
                  <w:pPr>
                    <w:pStyle w:val="111"/>
                    <w:adjustRightInd w:val="0"/>
                    <w:snapToGrid w:val="0"/>
                    <w:spacing w:line="240" w:lineRule="auto"/>
                    <w:ind w:firstLine="0" w:firstLineChars="0"/>
                    <w:jc w:val="center"/>
                    <w:rPr>
                      <w:color w:val="FF0000"/>
                      <w:sz w:val="21"/>
                      <w:szCs w:val="21"/>
                    </w:rPr>
                  </w:pPr>
                  <w:r>
                    <w:rPr>
                      <w:rFonts w:hint="eastAsia"/>
                      <w:color w:val="FF0000"/>
                      <w:sz w:val="21"/>
                      <w:szCs w:val="21"/>
                      <w:lang w:val="en-US" w:eastAsia="zh-CN"/>
                    </w:rPr>
                    <w:t>大型车</w:t>
                  </w:r>
                </w:p>
              </w:tc>
              <w:tc>
                <w:tcPr>
                  <w:tcW w:w="1668" w:type="dxa"/>
                  <w:shd w:val="clear" w:color="auto" w:fill="auto"/>
                  <w:noWrap w:val="0"/>
                  <w:vAlign w:val="center"/>
                </w:tcPr>
                <w:p>
                  <w:pPr>
                    <w:pStyle w:val="111"/>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72.10</w:t>
                  </w:r>
                </w:p>
              </w:tc>
              <w:tc>
                <w:tcPr>
                  <w:tcW w:w="1668" w:type="dxa"/>
                  <w:shd w:val="clear" w:color="auto" w:fill="auto"/>
                  <w:noWrap w:val="0"/>
                  <w:vAlign w:val="center"/>
                </w:tcPr>
                <w:p>
                  <w:pPr>
                    <w:pStyle w:val="111"/>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71.75</w:t>
                  </w:r>
                </w:p>
              </w:tc>
            </w:tr>
          </w:tbl>
          <w:p>
            <w:pPr>
              <w:adjustRightInd w:val="0"/>
              <w:snapToGrid w:val="0"/>
              <w:spacing w:before="120" w:beforeLines="50" w:line="360" w:lineRule="auto"/>
              <w:rPr>
                <w:rFonts w:hint="eastAsia"/>
                <w:b/>
                <w:color w:val="auto"/>
                <w:sz w:val="24"/>
              </w:rPr>
            </w:pPr>
            <w:r>
              <w:rPr>
                <w:rFonts w:hint="eastAsia"/>
                <w:b/>
                <w:color w:val="auto"/>
                <w:sz w:val="24"/>
              </w:rPr>
              <w:t>5、环境影响分析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eastAsia="宋体"/>
                <w:b/>
                <w:color w:val="auto"/>
                <w:sz w:val="24"/>
                <w:lang w:val="en-US" w:eastAsia="zh-CN"/>
              </w:rPr>
            </w:pPr>
            <w:r>
              <w:rPr>
                <w:rFonts w:hint="eastAsia"/>
                <w:b/>
                <w:color w:val="auto"/>
                <w:sz w:val="24"/>
              </w:rPr>
              <w:t>5.1</w:t>
            </w:r>
            <w:r>
              <w:rPr>
                <w:b/>
                <w:color w:val="auto"/>
                <w:sz w:val="24"/>
              </w:rPr>
              <w:t>预测模式</w:t>
            </w:r>
            <w:r>
              <w:rPr>
                <w:rFonts w:hint="eastAsia"/>
                <w:b/>
                <w:color w:val="auto"/>
                <w:sz w:val="24"/>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rPr>
            </w:pPr>
            <w:r>
              <w:rPr>
                <w:color w:val="auto"/>
                <w:sz w:val="24"/>
              </w:rPr>
              <w:t>噪声预测按《环境影响评价技术导则声环境》（HJ2.4-2021）中有关公路交通运输噪声模型和计算方法进行预测。项目公路可视作连续的线声源，噪声级预测模式如下。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rPr>
            </w:pPr>
            <w:r>
              <w:rPr>
                <w:color w:val="auto"/>
                <w:sz w:val="24"/>
              </w:rPr>
              <w:t>①第i类车等效声级预测模式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rPr>
            </w:pPr>
            <w:r>
              <w:rPr>
                <w:color w:val="auto"/>
                <w:sz w:val="24"/>
              </w:rPr>
              <w:drawing>
                <wp:inline distT="0" distB="0" distL="114300" distR="114300">
                  <wp:extent cx="3790950" cy="438785"/>
                  <wp:effectExtent l="0" t="0" r="0" b="1841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7"/>
                          <a:stretch>
                            <a:fillRect/>
                          </a:stretch>
                        </pic:blipFill>
                        <pic:spPr>
                          <a:xfrm>
                            <a:off x="0" y="0"/>
                            <a:ext cx="3790950" cy="4387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rPr>
            </w:pPr>
            <w:r>
              <w:rPr>
                <w:color w:val="auto"/>
                <w:sz w:val="24"/>
              </w:rPr>
              <w:t>式中：</w:t>
            </w:r>
            <w:r>
              <w:rPr>
                <w:color w:val="auto"/>
                <w:sz w:val="24"/>
              </w:rPr>
              <w:drawing>
                <wp:inline distT="0" distB="0" distL="114300" distR="114300">
                  <wp:extent cx="447040" cy="247015"/>
                  <wp:effectExtent l="0" t="0" r="10160" b="63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8"/>
                          <a:stretch>
                            <a:fillRect/>
                          </a:stretch>
                        </pic:blipFill>
                        <pic:spPr>
                          <a:xfrm>
                            <a:off x="0" y="0"/>
                            <a:ext cx="447040" cy="247015"/>
                          </a:xfrm>
                          <a:prstGeom prst="rect">
                            <a:avLst/>
                          </a:prstGeom>
                          <a:noFill/>
                          <a:ln>
                            <a:noFill/>
                          </a:ln>
                        </pic:spPr>
                      </pic:pic>
                    </a:graphicData>
                  </a:graphic>
                </wp:inline>
              </w:drawing>
            </w:r>
            <w:r>
              <w:rPr>
                <w:color w:val="auto"/>
                <w:sz w:val="24"/>
              </w:rPr>
              <w:t>—i车型小时等效声级，dB；</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color w:val="auto"/>
                <w:sz w:val="24"/>
              </w:rPr>
            </w:pPr>
            <w:r>
              <w:rPr>
                <w:color w:val="auto"/>
                <w:sz w:val="24"/>
              </w:rPr>
              <w:drawing>
                <wp:inline distT="0" distB="0" distL="114300" distR="114300">
                  <wp:extent cx="370205" cy="266065"/>
                  <wp:effectExtent l="0" t="0" r="10795" b="63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9"/>
                          <a:stretch>
                            <a:fillRect/>
                          </a:stretch>
                        </pic:blipFill>
                        <pic:spPr>
                          <a:xfrm>
                            <a:off x="0" y="0"/>
                            <a:ext cx="370205" cy="266065"/>
                          </a:xfrm>
                          <a:prstGeom prst="rect">
                            <a:avLst/>
                          </a:prstGeom>
                          <a:noFill/>
                          <a:ln>
                            <a:noFill/>
                          </a:ln>
                        </pic:spPr>
                      </pic:pic>
                    </a:graphicData>
                  </a:graphic>
                </wp:inline>
              </w:drawing>
            </w:r>
            <w:r>
              <w:rPr>
                <w:color w:val="auto"/>
                <w:sz w:val="24"/>
              </w:rPr>
              <w:t>—i类车车速</w:t>
            </w:r>
            <w:r>
              <w:rPr>
                <w:i/>
                <w:color w:val="auto"/>
                <w:sz w:val="24"/>
              </w:rPr>
              <w:t>V</w:t>
            </w:r>
            <w:r>
              <w:rPr>
                <w:i/>
                <w:color w:val="auto"/>
                <w:sz w:val="24"/>
                <w:vertAlign w:val="subscript"/>
              </w:rPr>
              <w:t>i</w:t>
            </w:r>
            <w:r>
              <w:rPr>
                <w:color w:val="auto"/>
                <w:sz w:val="24"/>
              </w:rPr>
              <w:t>，km/h时，水平距离为7.5m处的能量平均A声级，dB；</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color w:val="auto"/>
                <w:sz w:val="24"/>
              </w:rPr>
            </w:pPr>
            <w:r>
              <w:rPr>
                <w:i/>
                <w:color w:val="auto"/>
                <w:sz w:val="24"/>
              </w:rPr>
              <w:t>N</w:t>
            </w:r>
            <w:r>
              <w:rPr>
                <w:i/>
                <w:color w:val="auto"/>
                <w:sz w:val="24"/>
                <w:vertAlign w:val="subscript"/>
              </w:rPr>
              <w:t>i</w:t>
            </w:r>
            <w:r>
              <w:rPr>
                <w:color w:val="auto"/>
                <w:sz w:val="24"/>
              </w:rPr>
              <w:t>—昼间、夜间通过某个预测点的第i类车平均小时车流量，辆/h；</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color w:val="auto"/>
                <w:sz w:val="24"/>
              </w:rPr>
            </w:pPr>
            <w:r>
              <w:rPr>
                <w:color w:val="auto"/>
                <w:sz w:val="24"/>
              </w:rPr>
              <w:t>r—从车道中心线到预测点的距离，m；</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color w:val="auto"/>
                <w:sz w:val="24"/>
              </w:rPr>
            </w:pPr>
            <w:r>
              <w:rPr>
                <w:color w:val="auto"/>
                <w:sz w:val="24"/>
              </w:rPr>
              <w:t>T—计算等效声级的时间，1h；</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color w:val="auto"/>
                <w:sz w:val="24"/>
              </w:rPr>
            </w:pPr>
            <w:r>
              <w:rPr>
                <w:color w:val="auto"/>
                <w:sz w:val="24"/>
              </w:rPr>
              <w:t>Ψ</w:t>
            </w:r>
            <w:r>
              <w:rPr>
                <w:color w:val="auto"/>
                <w:sz w:val="24"/>
                <w:vertAlign w:val="subscript"/>
              </w:rPr>
              <w:t>1</w:t>
            </w:r>
            <w:r>
              <w:rPr>
                <w:color w:val="auto"/>
                <w:sz w:val="24"/>
              </w:rPr>
              <w:t>、Ψ</w:t>
            </w:r>
            <w:r>
              <w:rPr>
                <w:color w:val="auto"/>
                <w:sz w:val="24"/>
                <w:vertAlign w:val="subscript"/>
              </w:rPr>
              <w:t>2</w:t>
            </w:r>
            <w:r>
              <w:rPr>
                <w:color w:val="auto"/>
                <w:sz w:val="24"/>
              </w:rPr>
              <w:t>—预测点到有限长路段两端的张角，弧度；见图</w:t>
            </w:r>
            <w:r>
              <w:rPr>
                <w:rFonts w:hint="eastAsia"/>
                <w:color w:val="auto"/>
                <w:sz w:val="24"/>
              </w:rPr>
              <w:t>8-1</w:t>
            </w:r>
            <w:r>
              <w:rPr>
                <w:color w:val="auto"/>
                <w:sz w:val="24"/>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rPr>
            </w:pPr>
          </w:p>
          <w:p>
            <w:pPr>
              <w:rPr>
                <w:color w:val="auto"/>
              </w:rPr>
            </w:pPr>
          </w:p>
          <w:p>
            <w:pPr>
              <w:rPr>
                <w:color w:val="auto"/>
              </w:rPr>
            </w:pPr>
          </w:p>
          <w:p>
            <w:pPr>
              <w:rPr>
                <w:color w:val="auto"/>
              </w:rPr>
            </w:pPr>
          </w:p>
          <w:p>
            <w:pPr>
              <w:rPr>
                <w:color w:val="auto"/>
              </w:rPr>
            </w:pPr>
            <w:r>
              <w:rPr>
                <w:color w:val="auto"/>
              </w:rPr>
              <mc:AlternateContent>
                <mc:Choice Requires="wpg">
                  <w:drawing>
                    <wp:anchor distT="0" distB="0" distL="114300" distR="114300" simplePos="0" relativeHeight="251659264" behindDoc="0" locked="0" layoutInCell="1" allowOverlap="1">
                      <wp:simplePos x="0" y="0"/>
                      <wp:positionH relativeFrom="column">
                        <wp:posOffset>894080</wp:posOffset>
                      </wp:positionH>
                      <wp:positionV relativeFrom="paragraph">
                        <wp:posOffset>-5715</wp:posOffset>
                      </wp:positionV>
                      <wp:extent cx="3471545" cy="1487170"/>
                      <wp:effectExtent l="0" t="0" r="0" b="0"/>
                      <wp:wrapNone/>
                      <wp:docPr id="92" name="组合 92"/>
                      <wp:cNvGraphicFramePr/>
                      <a:graphic xmlns:a="http://schemas.openxmlformats.org/drawingml/2006/main">
                        <a:graphicData uri="http://schemas.microsoft.com/office/word/2010/wordprocessingGroup">
                          <wpg:wgp>
                            <wpg:cNvGrpSpPr/>
                            <wpg:grpSpPr>
                              <a:xfrm>
                                <a:off x="0" y="0"/>
                                <a:ext cx="3471545" cy="1487170"/>
                                <a:chOff x="0" y="0"/>
                                <a:chExt cx="5310" cy="1829"/>
                              </a:xfrm>
                              <a:effectLst/>
                            </wpg:grpSpPr>
                            <wpg:grpSp>
                              <wpg:cNvPr id="90" name="组合 90"/>
                              <wpg:cNvGrpSpPr/>
                              <wpg:grpSpPr>
                                <a:xfrm>
                                  <a:off x="0" y="0"/>
                                  <a:ext cx="5310" cy="1829"/>
                                  <a:chOff x="0" y="0"/>
                                  <a:chExt cx="5310" cy="1829"/>
                                </a:xfrm>
                                <a:effectLst/>
                              </wpg:grpSpPr>
                              <wpg:grpSp>
                                <wpg:cNvPr id="40" name="组合 40"/>
                                <wpg:cNvGrpSpPr/>
                                <wpg:grpSpPr>
                                  <a:xfrm>
                                    <a:off x="360" y="246"/>
                                    <a:ext cx="4620" cy="1115"/>
                                    <a:chOff x="0" y="0"/>
                                    <a:chExt cx="5992" cy="1739"/>
                                  </a:xfrm>
                                  <a:effectLst/>
                                </wpg:grpSpPr>
                                <wps:wsp>
                                  <wps:cNvPr id="36" name="直接连接符 36"/>
                                  <wps:cNvCnPr/>
                                  <wps:spPr>
                                    <a:xfrm>
                                      <a:off x="0" y="23"/>
                                      <a:ext cx="5985" cy="0"/>
                                    </a:xfrm>
                                    <a:prstGeom prst="line">
                                      <a:avLst/>
                                    </a:prstGeom>
                                    <a:ln w="9525" cap="flat" cmpd="sng">
                                      <a:solidFill>
                                        <a:srgbClr val="000000"/>
                                      </a:solidFill>
                                      <a:prstDash val="solid"/>
                                      <a:headEnd type="none" w="med" len="med"/>
                                      <a:tailEnd type="none" w="med" len="med"/>
                                    </a:ln>
                                    <a:effectLst/>
                                  </wps:spPr>
                                  <wps:bodyPr upright="1"/>
                                </wps:wsp>
                                <wps:wsp>
                                  <wps:cNvPr id="38" name="直接连接符 38"/>
                                  <wps:cNvCnPr/>
                                  <wps:spPr>
                                    <a:xfrm>
                                      <a:off x="2520" y="23"/>
                                      <a:ext cx="0" cy="1716"/>
                                    </a:xfrm>
                                    <a:prstGeom prst="line">
                                      <a:avLst/>
                                    </a:prstGeom>
                                    <a:ln w="9525" cap="flat" cmpd="sng">
                                      <a:solidFill>
                                        <a:srgbClr val="000000"/>
                                      </a:solidFill>
                                      <a:prstDash val="solid"/>
                                      <a:headEnd type="none" w="med" len="med"/>
                                      <a:tailEnd type="none" w="med" len="med"/>
                                    </a:ln>
                                    <a:effectLst/>
                                  </wps:spPr>
                                  <wps:bodyPr upright="1"/>
                                </wps:wsp>
                                <wps:wsp>
                                  <wps:cNvPr id="39" name="任意多边形 39"/>
                                  <wps:cNvSpPr/>
                                  <wps:spPr>
                                    <a:xfrm>
                                      <a:off x="0" y="0"/>
                                      <a:ext cx="5992" cy="1710"/>
                                    </a:xfrm>
                                    <a:custGeom>
                                      <a:avLst/>
                                      <a:gdLst/>
                                      <a:ahLst/>
                                      <a:cxnLst>
                                        <a:cxn ang="0">
                                          <a:pos x="0" y="23"/>
                                        </a:cxn>
                                        <a:cxn ang="0">
                                          <a:pos x="2512" y="1710"/>
                                        </a:cxn>
                                        <a:cxn ang="0">
                                          <a:pos x="5992" y="0"/>
                                        </a:cxn>
                                      </a:cxnLst>
                                      <a:pathLst>
                                        <a:path w="5992" h="1710">
                                          <a:moveTo>
                                            <a:pt x="0" y="23"/>
                                          </a:moveTo>
                                          <a:lnTo>
                                            <a:pt x="2512" y="1710"/>
                                          </a:lnTo>
                                          <a:lnTo>
                                            <a:pt x="5992" y="0"/>
                                          </a:lnTo>
                                        </a:path>
                                      </a:pathLst>
                                    </a:custGeom>
                                    <a:noFill/>
                                    <a:ln w="9525" cap="flat" cmpd="sng">
                                      <a:solidFill>
                                        <a:srgbClr val="000000"/>
                                      </a:solidFill>
                                      <a:prstDash val="solid"/>
                                      <a:headEnd type="none" w="med" len="med"/>
                                      <a:tailEnd type="none" w="med" len="med"/>
                                    </a:ln>
                                    <a:effectLst/>
                                  </wps:spPr>
                                  <wps:bodyPr upright="1"/>
                                </wps:wsp>
                              </wpg:grpSp>
                              <wps:wsp>
                                <wps:cNvPr id="45" name="文本框 45"/>
                                <wps:cNvSpPr txBox="1"/>
                                <wps:spPr>
                                  <a:xfrm>
                                    <a:off x="0" y="24"/>
                                    <a:ext cx="420" cy="468"/>
                                  </a:xfrm>
                                  <a:prstGeom prst="rect">
                                    <a:avLst/>
                                  </a:prstGeom>
                                  <a:noFill/>
                                  <a:ln>
                                    <a:noFill/>
                                  </a:ln>
                                  <a:effectLst/>
                                </wps:spPr>
                                <wps:txbx>
                                  <w:txbxContent>
                                    <w:p>
                                      <w:r>
                                        <w:t>A</w:t>
                                      </w:r>
                                    </w:p>
                                  </w:txbxContent>
                                </wps:txbx>
                                <wps:bodyPr upright="1"/>
                              </wps:wsp>
                              <wps:wsp>
                                <wps:cNvPr id="46" name="文本框 46"/>
                                <wps:cNvSpPr txBox="1"/>
                                <wps:spPr>
                                  <a:xfrm>
                                    <a:off x="4890" y="0"/>
                                    <a:ext cx="420" cy="468"/>
                                  </a:xfrm>
                                  <a:prstGeom prst="rect">
                                    <a:avLst/>
                                  </a:prstGeom>
                                  <a:noFill/>
                                  <a:ln>
                                    <a:noFill/>
                                  </a:ln>
                                  <a:effectLst/>
                                </wps:spPr>
                                <wps:txbx>
                                  <w:txbxContent>
                                    <w:p>
                                      <w:r>
                                        <w:t>B</w:t>
                                      </w:r>
                                    </w:p>
                                    <w:p/>
                                  </w:txbxContent>
                                </wps:txbx>
                                <wps:bodyPr upright="1"/>
                              </wps:wsp>
                              <wps:wsp>
                                <wps:cNvPr id="59" name="文本框 59"/>
                                <wps:cNvSpPr txBox="1"/>
                                <wps:spPr>
                                  <a:xfrm>
                                    <a:off x="2060" y="1361"/>
                                    <a:ext cx="420" cy="468"/>
                                  </a:xfrm>
                                  <a:prstGeom prst="rect">
                                    <a:avLst/>
                                  </a:prstGeom>
                                  <a:noFill/>
                                  <a:ln>
                                    <a:noFill/>
                                  </a:ln>
                                  <a:effectLst/>
                                </wps:spPr>
                                <wps:txbx>
                                  <w:txbxContent>
                                    <w:p>
                                      <w:r>
                                        <w:t>P</w:t>
                                      </w:r>
                                    </w:p>
                                  </w:txbxContent>
                                </wps:txbx>
                                <wps:bodyPr upright="1"/>
                              </wps:wsp>
                              <wps:wsp>
                                <wps:cNvPr id="60" name="文本框 60"/>
                                <wps:cNvSpPr txBox="1"/>
                                <wps:spPr>
                                  <a:xfrm>
                                    <a:off x="1755" y="732"/>
                                    <a:ext cx="630" cy="468"/>
                                  </a:xfrm>
                                  <a:prstGeom prst="rect">
                                    <a:avLst/>
                                  </a:prstGeom>
                                  <a:noFill/>
                                  <a:ln>
                                    <a:noFill/>
                                  </a:ln>
                                  <a:effectLst/>
                                </wps:spPr>
                                <wps:txbx>
                                  <w:txbxContent>
                                    <w:p>
                                      <w:r>
                                        <w:t>Ψ</w:t>
                                      </w:r>
                                      <w:r>
                                        <w:rPr>
                                          <w:vertAlign w:val="subscript"/>
                                        </w:rPr>
                                        <w:t>1</w:t>
                                      </w:r>
                                    </w:p>
                                  </w:txbxContent>
                                </wps:txbx>
                                <wps:bodyPr upright="1"/>
                              </wps:wsp>
                              <wps:wsp>
                                <wps:cNvPr id="89" name="文本框 89"/>
                                <wps:cNvSpPr txBox="1"/>
                                <wps:spPr>
                                  <a:xfrm>
                                    <a:off x="2280" y="732"/>
                                    <a:ext cx="630" cy="468"/>
                                  </a:xfrm>
                                  <a:prstGeom prst="rect">
                                    <a:avLst/>
                                  </a:prstGeom>
                                  <a:noFill/>
                                  <a:ln>
                                    <a:noFill/>
                                  </a:ln>
                                  <a:effectLst/>
                                </wps:spPr>
                                <wps:txbx>
                                  <w:txbxContent>
                                    <w:p>
                                      <w:r>
                                        <w:t>Ψ</w:t>
                                      </w:r>
                                      <w:r>
                                        <w:rPr>
                                          <w:vertAlign w:val="subscript"/>
                                        </w:rPr>
                                        <w:t>2</w:t>
                                      </w:r>
                                    </w:p>
                                  </w:txbxContent>
                                </wps:txbx>
                                <wps:bodyPr upright="1"/>
                              </wps:wsp>
                            </wpg:grpSp>
                            <wps:wsp>
                              <wps:cNvPr id="91" name="任意多边形 91"/>
                              <wps:cNvSpPr/>
                              <wps:spPr>
                                <a:xfrm>
                                  <a:off x="1975" y="957"/>
                                  <a:ext cx="704" cy="213"/>
                                </a:xfrm>
                                <a:custGeom>
                                  <a:avLst/>
                                  <a:gdLst/>
                                  <a:ahLst/>
                                  <a:cxnLst>
                                    <a:cxn ang="0">
                                      <a:pos x="0" y="213"/>
                                    </a:cxn>
                                    <a:cxn ang="0">
                                      <a:pos x="352" y="0"/>
                                    </a:cxn>
                                    <a:cxn ang="0">
                                      <a:pos x="704" y="213"/>
                                    </a:cxn>
                                  </a:cxnLst>
                                  <a:pathLst>
                                    <a:path w="840" h="156">
                                      <a:moveTo>
                                        <a:pt x="0" y="156"/>
                                      </a:moveTo>
                                      <a:cubicBezTo>
                                        <a:pt x="140" y="78"/>
                                        <a:pt x="280" y="0"/>
                                        <a:pt x="420" y="0"/>
                                      </a:cubicBezTo>
                                      <a:cubicBezTo>
                                        <a:pt x="560" y="0"/>
                                        <a:pt x="700" y="78"/>
                                        <a:pt x="840" y="156"/>
                                      </a:cubicBezTo>
                                    </a:path>
                                  </a:pathLst>
                                </a:custGeom>
                                <a:no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70.4pt;margin-top:-0.45pt;height:117.1pt;width:273.35pt;z-index:251659264;mso-width-relative:page;mso-height-relative:page;" coordsize="5310,1829" o:gfxdata="UEsDBAoAAAAAAIdO4kAAAAAAAAAAAAAAAAAEAAAAZHJzL1BLAwQUAAAACACHTuJAvq3mA9oAAAAJ&#10;AQAADwAAAGRycy9kb3ducmV2LnhtbE2PQUvDQBSE74L/YXmCt3Y3ja01ZlOkqKdSsBXE2zb7moRm&#10;34bsNmn/vc+THocZZr7JVxfXigH70HjSkEwVCKTS24YqDZ/7t8kSRIiGrGk9oYYrBlgVtze5yawf&#10;6QOHXawEl1DIjIY6xi6TMpQ1OhOmvkNi7+h7ZyLLvpK2NyOXu1bOlFpIZxrihdp0uK6xPO3OTsP7&#10;aMaXNHkdNqfj+vq9n2+/NglqfX+XqGcQES/xLwy/+IwOBTMd/JlsEC3rB8XoUcPkCQT7i+XjHMRB&#10;wyxNU5BFLv8/KH4AUEsDBBQAAAAIAIdO4kBJQOLO/gQAAJAYAAAOAAAAZHJzL2Uyb0RvYy54bWzt&#10;Wc2O40QQviPxDi3fmcSOHSfWZFband25IFhplwfosTuxJdvd6nYmGc4r4MRy4gAICQSc9sgFjYCX&#10;YWb3Majqbv8kk8n8LIxYlDk47f6prqqu+uprz/6DZZGTEyZVxsuJ4+71HcLKmCdZOZs4nzx/8sHI&#10;IaqiZUJzXrKJc8qU8+Dg/ff2FyJiHk95njBJQEipooWYOGlViajXU3HKCqr2uGAlDE65LGgFr3LW&#10;SyRdgPQi73n9/rC34DIRksdMKeg9NIOOlShvIpBPp1nMDnk8L1hZGamS5bQCk1SaCeUcaG2nUxZX&#10;H0+nilUknzhgaaWfsAm0j/HZO9in0UxSkWaxVYHeRIU1mwqalbBpI+qQVpTMZXZJVJHFkis+rfZi&#10;XvSMIdojYIXbX/PNkeRzoW2ZRYuZaJwOB7Xm9TuLjT86eSpJlkycseeQkhZw4q/PXpx/9QWBDvDO&#10;QswimHQkxTPxVNqOmXlDg5dTWeAvmEKW2q+njV/ZsiIxdA780A38wCExjLn+KHRD6/k4heO5tC5O&#10;H9uVwcCFk9LLRt4Y9em1WzJ9vh+qCrtRz0at5uVfdhnotuoybdY/4bLLhtPo3XaWv+4s6Lh9fA2G&#10;IAaiyPOHuJpGdYz5Q6+OFNcNzNi1Dhtj0OvoCge3iS5APtWmo3q7dHyWUsF0livMNJuOg2ETW9/+&#10;evHlz2/+/B6er1/9QmBE+03PflTapFSRgvy8MiO9waq7gvHI5qM+hU5WCamqI8YLgo2Jk2clKkcj&#10;emIzjUb1FOzOS7IA8Ag8FEehHkwBh6FZCMAUVc70WsXzLHmS5TmuUHJ2/CiX5IQiJus/1A1UWJmG&#10;mxxSlZp5esiYkDKaPC4TUp0KAKsSipSDKhQscUjOoKZhS8dGRbP8JjNh67xE1dYQpfbpQqjomCen&#10;cDRzIbNZCn5xtc44AqGAMHkfMQGl2eLNekyMUB1UAiLo+pjwAkwWTKO1sKhTKHR1kO3C4p0Ii3Ed&#10;Fn+dnV28eHn+0zdv/vjt/PcfiQE1GxZN/a7Duq2k24p30AFJKMYmU+uqH88NWHQBAkhQYqACQCOt&#10;W/GyhCbOgxahSDb7GhsEVy0BMPEIYQeTrp7rBS7gNnKJsNFo6wJjAyyo9dezzTZWK0Er1BU3xSYi&#10;ilmV2m1wpOAn7DnXc6oNSrfDedmdtknfekb9K7TAS4qaYdAUldIg2SiK6nfcX3IEWI17O0zWmNxy&#10;wnvCZ6S4Bp8vvv784rtXFz98RqCvRWZMQVItH3IgxbqAYGpur9s+Lu/QnJrl+EMN+RAEdS7WVdkW&#10;bgl3n22FeyVecIumA2ReWw6r5fHS2vVfqIzABi97vsuTbuN5fzQ21VGjxc73zV19M1MNmvLTRj30&#10;3S3qvb4l+O5gqDNk5/5r3I/+Wgcd6Lub+90wAAyDQhkO9O2/9f5wYLnhDni617TRhuCHvrt53/NG&#10;Bnj+B96/9+I7dus8WGfBMLJ6HvbtisLrjkOTA+MgxIVtDoR933wu8Fx9b+oU3y4Tq2/Kb0WEmx22&#10;EttBYIjwCq+9imJr9fHStyobeWRDzht22dLgEX65QRYcDDWfaFmu4awmZHEUnAXC2vF4fpzFD9mn&#10;XS7sojQEGE1fYBfNe+vAtxXXdPr2ktoYtyJuk/DAFo8VMWF/047aKtCj1bsrEMzYEW48zpagYusa&#10;qqdzHj5U6zCwH9XxS3j3Xcts/5Fw8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xBwAAW0NvbnRlbnRfVHlwZXNdLnhtbFBLAQIUAAoAAAAAAIdO&#10;4kAAAAAAAAAAAAAAAAAGAAAAAAAAAAAAEAAAAFMGAABfcmVscy9QSwECFAAUAAAACACHTuJAihRm&#10;PNEAAACUAQAACwAAAAAAAAABACAAAAB3BgAAX3JlbHMvLnJlbHNQSwECFAAKAAAAAACHTuJAAAAA&#10;AAAAAAAAAAAABAAAAAAAAAAAABAAAAAAAAAAZHJzL1BLAQIUABQAAAAIAIdO4kC+reYD2gAAAAkB&#10;AAAPAAAAAAAAAAEAIAAAACIAAABkcnMvZG93bnJldi54bWxQSwECFAAUAAAACACHTuJASUDizv4E&#10;AACQGAAADgAAAAAAAAABACAAAAApAQAAZHJzL2Uyb0RvYy54bWxQSwUGAAAAAAYABgBZAQAAmQgA&#10;AAAA&#10;">
                      <o:lock v:ext="edit" aspectratio="f"/>
                      <v:group id="_x0000_s1026" o:spid="_x0000_s1026" o:spt="203" style="position:absolute;left:0;top:0;height:1829;width:5310;" coordsize="5310,1829" o:gfxdata="UEsDBAoAAAAAAIdO4kAAAAAAAAAAAAAAAAAEAAAAZHJzL1BLAwQUAAAACACHTuJAn92ST7sAAADb&#10;AAAADwAAAGRycy9kb3ducmV2LnhtbEVPy4rCMBTdD/gP4QqzG9M6jGg1FREdZiGCDxB3l+b2gc1N&#10;aWKrfz9ZCC4P571YPkwtOmpdZVlBPIpAEGdWV1woOJ+2X1MQziNrrC2Tgic5WKaDjwUm2vZ8oO7o&#10;CxFC2CWooPS+SaR0WUkG3cg2xIHLbWvQB9gWUrfYh3BTy3EUTaTBikNDiQ2tS8pux7tR8Ntjv/qO&#10;N93ulq+f19PP/rKLSanPYRzNQXh6+Lf45f7TCm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dkk+7AAAA2wAAAA8AAAAAAAAAAQAgAAAAIgAAAGRycy9kb3ducmV2LnhtbFBL&#10;AQIUABQAAAAIAIdO4kAzLwWeOwAAADkAAAAVAAAAAAAAAAEAIAAAAAoBAABkcnMvZ3JvdXBzaGFw&#10;ZXhtbC54bWxQSwUGAAAAAAYABgBgAQAAxwMAAAAA&#10;">
                        <o:lock v:ext="edit" aspectratio="f"/>
                        <v:group id="_x0000_s1026" o:spid="_x0000_s1026" o:spt="203" style="position:absolute;left:360;top:246;height:1115;width:4620;" coordsize="5992,1739"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line id="_x0000_s1026" o:spid="_x0000_s1026" o:spt="20" style="position:absolute;left:0;top:23;height:0;width:5985;" filled="f" stroked="t" coordsize="21600,21600" o:gfxdata="UEsDBAoAAAAAAIdO4kAAAAAAAAAAAAAAAAAEAAAAZHJzL1BLAwQUAAAACACHTuJAjCyxJ70AAADb&#10;AAAADwAAAGRycy9kb3ducmV2LnhtbEWPQWvCQBSE7wX/w/KEXkR3NSASXT1oAz14MW3x+sg+k2D2&#10;bcxuE+2v7wqFHoeZ+YbZ7O62ET11vnasYT5TIIgLZ2ouNXx+ZNMVCB+QDTaOScODPOy2o5cNpsYN&#10;fKI+D6WIEPYpaqhCaFMpfVGRRT9zLXH0Lq6zGKLsSmk6HCLcNnKh1FJarDkuVNjSvqLimn9bDT77&#10;olv2Mykm6pyUjha3w/ENtX4dz9UaRKB7+A//td+NhmQJzy/xB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LLEn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2520;top:23;height:1716;width:0;" filled="f" stroked="t" coordsize="21600,21600" o:gfxdata="UEsDBAoAAAAAAIdO4kAAAAAAAAAAAAAAAAAEAAAAZHJzL1BLAwQUAAAACACHTuJAkv+AzrkAAADb&#10;AAAADwAAAGRycy9kb3ducmV2LnhtbEVPy4rCMBTdC/5DuIIbGRMVRDrGLnQKLtz4wu2ludOWaW7a&#10;JuPr681CcHk472V6t7W4UucrxxomYwWCOHem4kLD6Zh9LUD4gGywdkwaHuQhXfV7S0yMu/GerodQ&#10;iBjCPkENZQhNIqXPS7Lox64hjtyv6yyGCLtCmg5vMdzWcqrUXFqsODaU2NC6pPzv8G81+OxMbfYc&#10;5SN1mRWOpu1m94NaDwcT9Q0i0D18xG/31miYxbHxS/wBcvU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L/gM6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shape id="_x0000_s1026" o:spid="_x0000_s1026" o:spt="100" style="position:absolute;left:0;top:0;height:1710;width:5992;" filled="f" stroked="t" coordsize="5992,1710" o:gfxdata="UEsDBAoAAAAAAIdO4kAAAAAAAAAAAAAAAAAEAAAAZHJzL1BLAwQUAAAACACHTuJAVD+RDL4AAADb&#10;AAAADwAAAGRycy9kb3ducmV2LnhtbEWP3WoCMRSE7wu+QzhC77qJthXdGkVaLCJY6toHOGyOu6ub&#10;kyVJ/Xn7Rih4OczMN8x0frGtOJEPjWMNg0yBIC6dabjS8LNbPo1BhIhssHVMGq4UYD7rPUwxN+7M&#10;WzoVsRIJwiFHDXWMXS5lKGuyGDLXESdv77zFmKSvpPF4TnDbyqFSI2mx4bRQY0fvNZXH4tdq2HwV&#10;nVzY76tcevX6+XIYrRYfa60f+wP1BiLSJd7D/+2V0fA8gduX9AP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RDL4A&#10;AADbAAAADwAAAAAAAAABACAAAAAiAAAAZHJzL2Rvd25yZXYueG1sUEsBAhQAFAAAAAgAh07iQDMv&#10;BZ47AAAAOQAAABAAAAAAAAAAAQAgAAAADQEAAGRycy9zaGFwZXhtbC54bWxQSwUGAAAAAAYABgBb&#10;AQAAtwMAAAAA&#10;" path="m0,23l2512,1710,5992,0e">
                            <v:path o:connectlocs="0,23;2512,1710;5992,0" o:connectangles="0,0,0"/>
                            <v:fill on="f" focussize="0,0"/>
                            <v:stroke color="#000000" joinstyle="round"/>
                            <v:imagedata o:title=""/>
                            <o:lock v:ext="edit" aspectratio="f"/>
                          </v:shape>
                        </v:group>
                        <v:shape id="_x0000_s1026" o:spid="_x0000_s1026" o:spt="202" type="#_x0000_t202" style="position:absolute;left:0;top:24;height:468;width:420;" filled="f" stroked="f" coordsize="21600,21600" o:gfxdata="UEsDBAoAAAAAAIdO4kAAAAAAAAAAAAAAAAAEAAAAZHJzL1BLAwQUAAAACACHTuJAQHcKc70AAADb&#10;AAAADwAAAGRycy9kb3ducmV2LnhtbEWPzWrDMBCE74G8g9hAbrGUEofGtZJDS6GnlCRtIbfFWv9Q&#10;a2Us1XbfvioEchxm5hsmP0y2FQP1vnGsYZ0oEMSFMw1XGj4ur6tHED4gG2wdk4Zf8nDYz2c5ZsaN&#10;fKLhHCoRIewz1FCH0GVS+qImiz5xHXH0StdbDFH2lTQ9jhFuW/mg1FZabDgu1NjRc03F9/nHavg8&#10;ltevjXqvXmzajW5Sku1Oar1crNUTiEBTuIdv7TejYZPC/5f4A+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dwpz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r>
                                  <w:t>A</w:t>
                                </w:r>
                              </w:p>
                            </w:txbxContent>
                          </v:textbox>
                        </v:shape>
                        <v:shape id="_x0000_s1026" o:spid="_x0000_s1026" o:spt="202" type="#_x0000_t202" style="position:absolute;left:4890;top:0;height:468;width:420;" filled="f" stroked="f" coordsize="21600,21600" o:gfxdata="UEsDBAoAAAAAAIdO4kAAAAAAAAAAAAAAAAAEAAAAZHJzL1BLAwQUAAAACACHTuJAsKWUBL0AAADb&#10;AAAADwAAAGRycy9kb3ducmV2LnhtbEWPzWrDMBCE74G8g9hAbrGUkobGtZJDS6GnlDptIbfFWv9Q&#10;a2Us1XbePioEchxm5hsmO0y2FQP1vnGsYZ0oEMSFMw1XGr5Ob6snED4gG2wdk4YLeTjs57MMU+NG&#10;/qQhD5WIEPYpaqhD6FIpfVGTRZ+4jjh6pesthij7Spoexwi3rXxQaistNhwXauzopabiN/+zGr6P&#10;5flnoz6qV/vYjW5Sku1Oar1crNUziEBTuIdv7XejYbOF/y/xB8j9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pZQE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r>
                                  <w:t>B</w:t>
                                </w:r>
                              </w:p>
                              <w:p/>
                            </w:txbxContent>
                          </v:textbox>
                        </v:shape>
                        <v:shape id="_x0000_s1026" o:spid="_x0000_s1026" o:spt="202" type="#_x0000_t202" style="position:absolute;left:2060;top:1361;height:468;width:420;" filled="f" stroked="f" coordsize="21600,21600" o:gfxdata="UEsDBAoAAAAAAIdO4kAAAAAAAAAAAAAAAAAEAAAAZHJzL1BLAwQUAAAACACHTuJAROOWq70AAADb&#10;AAAADwAAAGRycy9kb3ducmV2LnhtbEWPQWvCQBSE7wX/w/IK3upupBaN2eSgFHpSqrbg7ZF9JqHZ&#10;tyG7NfHfu0Khx2FmvmGyYrStuFLvG8cakpkCQVw603Cl4XR8f1mC8AHZYOuYNNzIQ5FPnjJMjRv4&#10;k66HUIkIYZ+ihjqELpXSlzVZ9DPXEUfv4nqLIcq+kqbHIcJtK+dKvUmLDceFGjva1FT+HH6thq/d&#10;5fz9qvbV1i66wY1Ksl1JrafPiVqDCDSG//Bf+8NoWKzg8SX+AJ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45ar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r>
                                  <w:t>P</w:t>
                                </w:r>
                              </w:p>
                            </w:txbxContent>
                          </v:textbox>
                        </v:shape>
                        <v:shape id="_x0000_s1026" o:spid="_x0000_s1026" o:spt="202" type="#_x0000_t202" style="position:absolute;left:1755;top:732;height:468;width:630;" filled="f" stroked="f" coordsize="21600,21600" o:gfxdata="UEsDBAoAAAAAAIdO4kAAAAAAAAAAAAAAAAAEAAAAZHJzL1BLAwQUAAAACACHTuJAG7X1i7kAAADb&#10;AAAADwAAAGRycy9kb3ducmV2LnhtbEVPy2oCMRTdF/oP4RbcdRJFpY5GFy2CK4vaFtxdJnceOLkJ&#10;k+iMf98sBJeH815tBtuKG3WhcaxhnCkQxIUzDVcafk7b9w8QISIbbB2ThjsF2KxfX1aYG9fzgW7H&#10;WIkUwiFHDXWMPpcyFDVZDJnzxIkrXWcxJthV0nTYp3DbyolSc2mx4dRQo6fPmorL8Wo1/O7L899U&#10;fVdfduZ7NyjJdiG1Hr2N1RJEpCE+xQ/3zmiYp/XpS/oB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u19Yu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r>
                                  <w:t>Ψ</w:t>
                                </w:r>
                                <w:r>
                                  <w:rPr>
                                    <w:vertAlign w:val="subscript"/>
                                  </w:rPr>
                                  <w:t>1</w:t>
                                </w:r>
                              </w:p>
                            </w:txbxContent>
                          </v:textbox>
                        </v:shape>
                        <v:shape id="_x0000_s1026" o:spid="_x0000_s1026" o:spt="202" type="#_x0000_t202" style="position:absolute;left:2280;top:732;height:468;width:630;"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r>
                                  <w:t>Ψ</w:t>
                                </w:r>
                                <w:r>
                                  <w:rPr>
                                    <w:vertAlign w:val="subscript"/>
                                  </w:rPr>
                                  <w:t>2</w:t>
                                </w:r>
                              </w:p>
                            </w:txbxContent>
                          </v:textbox>
                        </v:shape>
                      </v:group>
                      <v:shape id="_x0000_s1026" o:spid="_x0000_s1026" o:spt="100" style="position:absolute;left:1975;top:957;height:213;width:704;" filled="f" stroked="t" coordsize="840,156" o:gfxdata="UEsDBAoAAAAAAIdO4kAAAAAAAAAAAAAAAAAEAAAAZHJzL1BLAwQUAAAACACHTuJAaa2YALwAAADb&#10;AAAADwAAAGRycy9kb3ducmV2LnhtbEWPS2/CMBCE70j9D9ZW4gZ2OABJMaggIXHgwqP3bbxNLOJ1&#10;GpvXv8dISBxHM/ONZra4uUZcqAvWs4ZsqEAQl95YrjQcD+vBFESIyAYbz6ThTgEW84/eDAvjr7yj&#10;yz5WIkE4FKihjrEtpAxlTQ7D0LfEyfvzncOYZFdJ0+E1wV0jR0qNpUPLaaHGllY1laf92Wn4n3y3&#10;Znv4WapdzLe/S2dPdnPXuv+ZqS8QkW7xHX61N0ZDnsHzS/oB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tmAC8AAAA&#10;2wAAAA8AAAAAAAAAAQAgAAAAIgAAAGRycy9kb3ducmV2LnhtbFBLAQIUABQAAAAIAIdO4kAzLwWe&#10;OwAAADkAAAAQAAAAAAAAAAEAIAAAAAsBAABkcnMvc2hhcGV4bWwueG1sUEsFBgAAAAAGAAYAWwEA&#10;ALUDAAAAAA==&#10;" path="m0,156c140,78,280,0,420,0c560,0,700,78,840,156e">
                        <v:path o:connectlocs="0,213;352,0;704,213" o:connectangles="0,0,0"/>
                        <v:fill on="f" focussize="0,0"/>
                        <v:stroke color="#000000" joinstyle="round"/>
                        <v:imagedata o:title=""/>
                        <o:lock v:ext="edit" aspectratio="f"/>
                      </v:shape>
                    </v:group>
                  </w:pict>
                </mc:Fallback>
              </mc:AlternateContent>
            </w:r>
          </w:p>
          <w:p>
            <w:pPr>
              <w:rPr>
                <w:color w:val="auto"/>
              </w:rPr>
            </w:pPr>
          </w:p>
          <w:p>
            <w:pPr>
              <w:rPr>
                <w:color w:val="auto"/>
              </w:rPr>
            </w:pPr>
          </w:p>
          <w:p>
            <w:pPr>
              <w:rPr>
                <w:color w:val="auto"/>
              </w:rPr>
            </w:pPr>
          </w:p>
          <w:p>
            <w:pPr>
              <w:rPr>
                <w:color w:val="auto"/>
              </w:rPr>
            </w:pPr>
          </w:p>
          <w:p>
            <w:pPr>
              <w:rPr>
                <w:rFonts w:eastAsia="黑体"/>
                <w:color w:val="auto"/>
                <w:szCs w:val="21"/>
              </w:rPr>
            </w:pPr>
          </w:p>
          <w:p>
            <w:pPr>
              <w:spacing w:line="300" w:lineRule="auto"/>
              <w:rPr>
                <w:rFonts w:eastAsia="黑体"/>
                <w:color w:val="auto"/>
                <w:szCs w:val="21"/>
              </w:rPr>
            </w:pPr>
          </w:p>
          <w:p>
            <w:pPr>
              <w:pStyle w:val="112"/>
              <w:spacing w:line="300" w:lineRule="auto"/>
              <w:rPr>
                <w:rFonts w:eastAsia="宋体"/>
                <w:b/>
                <w:color w:val="auto"/>
                <w:szCs w:val="24"/>
              </w:rPr>
            </w:pPr>
            <w:r>
              <w:rPr>
                <w:rFonts w:eastAsia="宋体"/>
                <w:b/>
                <w:color w:val="auto"/>
                <w:szCs w:val="24"/>
              </w:rPr>
              <w:t>图</w:t>
            </w:r>
            <w:r>
              <w:rPr>
                <w:rFonts w:hint="eastAsia" w:eastAsia="宋体"/>
                <w:b/>
                <w:color w:val="auto"/>
                <w:szCs w:val="24"/>
              </w:rPr>
              <w:t>8-1</w:t>
            </w:r>
            <w:r>
              <w:rPr>
                <w:rFonts w:eastAsia="宋体"/>
                <w:b/>
                <w:color w:val="auto"/>
                <w:szCs w:val="24"/>
              </w:rPr>
              <w:t xml:space="preserve">    有限路段的修正函数（A―B为路段，P为预测点）</w:t>
            </w:r>
          </w:p>
          <w:p>
            <w:pPr>
              <w:pStyle w:val="113"/>
              <w:snapToGrid/>
              <w:spacing w:line="360" w:lineRule="auto"/>
              <w:ind w:firstLine="520"/>
              <w:rPr>
                <w:color w:val="auto"/>
                <w:sz w:val="24"/>
                <w:szCs w:val="24"/>
              </w:rPr>
            </w:pPr>
            <w:r>
              <w:rPr>
                <w:color w:val="auto"/>
                <w:sz w:val="24"/>
                <w:szCs w:val="24"/>
              </w:rPr>
              <w:t>△L—由其他因素引起的修正量，dB（A），可按下式计算：</w:t>
            </w:r>
          </w:p>
          <w:p>
            <w:pPr>
              <w:spacing w:line="360" w:lineRule="auto"/>
              <w:ind w:firstLine="200"/>
              <w:jc w:val="center"/>
              <w:rPr>
                <w:color w:val="auto"/>
                <w:sz w:val="24"/>
              </w:rPr>
            </w:pPr>
            <w:r>
              <w:rPr>
                <w:color w:val="auto"/>
                <w:sz w:val="24"/>
              </w:rPr>
              <w:t>△L=△L</w:t>
            </w:r>
            <w:r>
              <w:rPr>
                <w:color w:val="auto"/>
                <w:sz w:val="24"/>
                <w:vertAlign w:val="subscript"/>
              </w:rPr>
              <w:t>1</w:t>
            </w:r>
            <w:r>
              <w:rPr>
                <w:color w:val="auto"/>
                <w:sz w:val="24"/>
              </w:rPr>
              <w:t>-△L</w:t>
            </w:r>
            <w:r>
              <w:rPr>
                <w:color w:val="auto"/>
                <w:sz w:val="24"/>
                <w:vertAlign w:val="subscript"/>
              </w:rPr>
              <w:t>2</w:t>
            </w:r>
            <w:r>
              <w:rPr>
                <w:color w:val="auto"/>
                <w:sz w:val="24"/>
              </w:rPr>
              <w:t>+△L</w:t>
            </w:r>
            <w:r>
              <w:rPr>
                <w:color w:val="auto"/>
                <w:sz w:val="24"/>
                <w:vertAlign w:val="subscript"/>
              </w:rPr>
              <w:t>3</w:t>
            </w:r>
          </w:p>
          <w:p>
            <w:pPr>
              <w:spacing w:line="360" w:lineRule="auto"/>
              <w:ind w:firstLine="200"/>
              <w:jc w:val="center"/>
              <w:rPr>
                <w:color w:val="auto"/>
                <w:sz w:val="24"/>
              </w:rPr>
            </w:pPr>
            <w:r>
              <w:rPr>
                <w:color w:val="auto"/>
                <w:sz w:val="24"/>
              </w:rPr>
              <w:t>△L</w:t>
            </w:r>
            <w:r>
              <w:rPr>
                <w:color w:val="auto"/>
                <w:sz w:val="24"/>
                <w:vertAlign w:val="subscript"/>
              </w:rPr>
              <w:t>1</w:t>
            </w:r>
            <w:r>
              <w:rPr>
                <w:color w:val="auto"/>
                <w:sz w:val="24"/>
              </w:rPr>
              <w:t>=△L</w:t>
            </w:r>
            <w:r>
              <w:rPr>
                <w:color w:val="auto"/>
                <w:sz w:val="24"/>
                <w:vertAlign w:val="subscript"/>
              </w:rPr>
              <w:t>坡度</w:t>
            </w:r>
            <w:r>
              <w:rPr>
                <w:color w:val="auto"/>
                <w:sz w:val="24"/>
              </w:rPr>
              <w:t>+△L</w:t>
            </w:r>
            <w:r>
              <w:rPr>
                <w:color w:val="auto"/>
                <w:sz w:val="24"/>
                <w:vertAlign w:val="subscript"/>
              </w:rPr>
              <w:t>路面</w:t>
            </w:r>
          </w:p>
          <w:p>
            <w:pPr>
              <w:spacing w:line="360" w:lineRule="auto"/>
              <w:ind w:firstLine="200"/>
              <w:jc w:val="center"/>
              <w:rPr>
                <w:color w:val="auto"/>
                <w:sz w:val="24"/>
              </w:rPr>
            </w:pPr>
            <w:r>
              <w:rPr>
                <w:color w:val="auto"/>
                <w:sz w:val="24"/>
              </w:rPr>
              <w:t>△L</w:t>
            </w:r>
            <w:r>
              <w:rPr>
                <w:color w:val="auto"/>
                <w:sz w:val="24"/>
                <w:vertAlign w:val="subscript"/>
              </w:rPr>
              <w:t>2</w:t>
            </w:r>
            <w:r>
              <w:rPr>
                <w:color w:val="auto"/>
                <w:sz w:val="24"/>
              </w:rPr>
              <w:t>=A</w:t>
            </w:r>
            <w:r>
              <w:rPr>
                <w:color w:val="auto"/>
                <w:sz w:val="24"/>
                <w:vertAlign w:val="subscript"/>
              </w:rPr>
              <w:t>atm</w:t>
            </w:r>
            <w:r>
              <w:rPr>
                <w:color w:val="auto"/>
                <w:sz w:val="24"/>
              </w:rPr>
              <w:t>+A</w:t>
            </w:r>
            <w:r>
              <w:rPr>
                <w:color w:val="auto"/>
                <w:sz w:val="24"/>
                <w:vertAlign w:val="subscript"/>
              </w:rPr>
              <w:t>gr</w:t>
            </w:r>
            <w:r>
              <w:rPr>
                <w:color w:val="auto"/>
                <w:sz w:val="24"/>
              </w:rPr>
              <w:t>+A</w:t>
            </w:r>
            <w:r>
              <w:rPr>
                <w:color w:val="auto"/>
                <w:sz w:val="24"/>
                <w:vertAlign w:val="subscript"/>
              </w:rPr>
              <w:t>bar</w:t>
            </w:r>
            <w:r>
              <w:rPr>
                <w:color w:val="auto"/>
                <w:sz w:val="24"/>
              </w:rPr>
              <w:t>+A</w:t>
            </w:r>
            <w:r>
              <w:rPr>
                <w:color w:val="auto"/>
                <w:sz w:val="24"/>
                <w:vertAlign w:val="subscript"/>
              </w:rPr>
              <w:t>misc</w:t>
            </w:r>
          </w:p>
          <w:p>
            <w:pPr>
              <w:pStyle w:val="113"/>
              <w:snapToGrid/>
              <w:spacing w:line="360" w:lineRule="auto"/>
              <w:ind w:firstLine="520"/>
              <w:rPr>
                <w:color w:val="auto"/>
                <w:sz w:val="24"/>
                <w:szCs w:val="24"/>
              </w:rPr>
            </w:pPr>
            <w:r>
              <w:rPr>
                <w:color w:val="auto"/>
                <w:sz w:val="24"/>
                <w:szCs w:val="24"/>
              </w:rPr>
              <w:t>式中：△L</w:t>
            </w:r>
            <w:r>
              <w:rPr>
                <w:color w:val="auto"/>
                <w:sz w:val="24"/>
                <w:szCs w:val="24"/>
                <w:vertAlign w:val="subscript"/>
              </w:rPr>
              <w:t>1</w:t>
            </w:r>
            <w:r>
              <w:rPr>
                <w:color w:val="auto"/>
                <w:sz w:val="24"/>
                <w:szCs w:val="24"/>
              </w:rPr>
              <w:t>—线路因素引起的修正量，dB（A）</w:t>
            </w:r>
          </w:p>
          <w:p>
            <w:pPr>
              <w:pStyle w:val="113"/>
              <w:snapToGrid/>
              <w:spacing w:line="360" w:lineRule="auto"/>
              <w:ind w:firstLine="1300" w:firstLineChars="500"/>
              <w:rPr>
                <w:color w:val="auto"/>
                <w:sz w:val="24"/>
                <w:szCs w:val="24"/>
              </w:rPr>
            </w:pPr>
            <w:r>
              <w:rPr>
                <w:color w:val="auto"/>
                <w:sz w:val="24"/>
                <w:szCs w:val="24"/>
              </w:rPr>
              <w:t>△L</w:t>
            </w:r>
            <w:r>
              <w:rPr>
                <w:color w:val="auto"/>
                <w:sz w:val="24"/>
                <w:szCs w:val="24"/>
                <w:vertAlign w:val="subscript"/>
              </w:rPr>
              <w:t>坡度</w:t>
            </w:r>
            <w:r>
              <w:rPr>
                <w:color w:val="auto"/>
                <w:sz w:val="24"/>
                <w:szCs w:val="24"/>
              </w:rPr>
              <w:t>—公路纵坡修正量，dB（A）</w:t>
            </w:r>
          </w:p>
          <w:p>
            <w:pPr>
              <w:pStyle w:val="113"/>
              <w:snapToGrid/>
              <w:spacing w:line="360" w:lineRule="auto"/>
              <w:ind w:firstLine="1300" w:firstLineChars="500"/>
              <w:rPr>
                <w:color w:val="auto"/>
                <w:sz w:val="24"/>
                <w:szCs w:val="24"/>
              </w:rPr>
            </w:pPr>
            <w:r>
              <w:rPr>
                <w:color w:val="auto"/>
                <w:sz w:val="24"/>
                <w:szCs w:val="24"/>
              </w:rPr>
              <w:t>△L</w:t>
            </w:r>
            <w:r>
              <w:rPr>
                <w:color w:val="auto"/>
                <w:sz w:val="24"/>
                <w:szCs w:val="24"/>
                <w:vertAlign w:val="subscript"/>
              </w:rPr>
              <w:t>路面</w:t>
            </w:r>
            <w:r>
              <w:rPr>
                <w:color w:val="auto"/>
                <w:sz w:val="24"/>
                <w:szCs w:val="24"/>
              </w:rPr>
              <w:t>—路面材料引起的修正量，dB（A）</w:t>
            </w:r>
          </w:p>
          <w:p>
            <w:pPr>
              <w:pStyle w:val="113"/>
              <w:snapToGrid/>
              <w:spacing w:line="360" w:lineRule="auto"/>
              <w:ind w:firstLine="1300" w:firstLineChars="500"/>
              <w:rPr>
                <w:color w:val="auto"/>
                <w:sz w:val="24"/>
                <w:szCs w:val="24"/>
              </w:rPr>
            </w:pPr>
            <w:r>
              <w:rPr>
                <w:color w:val="auto"/>
                <w:sz w:val="24"/>
                <w:szCs w:val="24"/>
              </w:rPr>
              <w:t>△L</w:t>
            </w:r>
            <w:r>
              <w:rPr>
                <w:color w:val="auto"/>
                <w:sz w:val="24"/>
                <w:szCs w:val="24"/>
                <w:vertAlign w:val="subscript"/>
              </w:rPr>
              <w:t>2</w:t>
            </w:r>
            <w:r>
              <w:rPr>
                <w:color w:val="auto"/>
                <w:sz w:val="24"/>
                <w:szCs w:val="24"/>
              </w:rPr>
              <w:t>—声波传播途径中引起的衰减量，dB（A）</w:t>
            </w:r>
          </w:p>
          <w:p>
            <w:pPr>
              <w:pStyle w:val="113"/>
              <w:snapToGrid/>
              <w:spacing w:line="360" w:lineRule="auto"/>
              <w:ind w:firstLine="1300" w:firstLineChars="500"/>
              <w:rPr>
                <w:color w:val="auto"/>
                <w:sz w:val="24"/>
                <w:szCs w:val="24"/>
              </w:rPr>
            </w:pPr>
            <w:r>
              <w:rPr>
                <w:color w:val="auto"/>
                <w:sz w:val="24"/>
                <w:szCs w:val="24"/>
              </w:rPr>
              <w:t>△L</w:t>
            </w:r>
            <w:r>
              <w:rPr>
                <w:color w:val="auto"/>
                <w:sz w:val="24"/>
                <w:szCs w:val="24"/>
                <w:vertAlign w:val="subscript"/>
              </w:rPr>
              <w:t>3</w:t>
            </w:r>
            <w:r>
              <w:rPr>
                <w:color w:val="auto"/>
                <w:sz w:val="24"/>
                <w:szCs w:val="24"/>
              </w:rPr>
              <w:t>—由反射等引起的修正量，dB（A）</w:t>
            </w:r>
          </w:p>
          <w:p>
            <w:pPr>
              <w:pStyle w:val="113"/>
              <w:snapToGrid/>
              <w:spacing w:line="360" w:lineRule="auto"/>
              <w:ind w:firstLine="520"/>
              <w:rPr>
                <w:color w:val="auto"/>
                <w:sz w:val="24"/>
                <w:szCs w:val="24"/>
              </w:rPr>
            </w:pPr>
            <w:r>
              <w:rPr>
                <w:color w:val="auto"/>
                <w:sz w:val="24"/>
                <w:szCs w:val="24"/>
              </w:rPr>
              <w:t>②总车流等效声级计算模式</w:t>
            </w:r>
          </w:p>
          <w:p>
            <w:pPr>
              <w:spacing w:line="360" w:lineRule="auto"/>
              <w:jc w:val="center"/>
              <w:rPr>
                <w:color w:val="auto"/>
                <w:sz w:val="24"/>
              </w:rPr>
            </w:pPr>
            <w:r>
              <w:rPr>
                <w:color w:val="auto"/>
                <w:sz w:val="24"/>
              </w:rPr>
              <w:drawing>
                <wp:inline distT="0" distB="0" distL="114300" distR="114300">
                  <wp:extent cx="3048000" cy="276860"/>
                  <wp:effectExtent l="0" t="0" r="0" b="762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20"/>
                          <a:stretch>
                            <a:fillRect/>
                          </a:stretch>
                        </pic:blipFill>
                        <pic:spPr>
                          <a:xfrm>
                            <a:off x="0" y="0"/>
                            <a:ext cx="3048000" cy="276860"/>
                          </a:xfrm>
                          <a:prstGeom prst="rect">
                            <a:avLst/>
                          </a:prstGeom>
                          <a:noFill/>
                          <a:ln>
                            <a:noFill/>
                          </a:ln>
                        </pic:spPr>
                      </pic:pic>
                    </a:graphicData>
                  </a:graphic>
                </wp:inline>
              </w:drawing>
            </w:r>
          </w:p>
          <w:p>
            <w:pPr>
              <w:pStyle w:val="113"/>
              <w:snapToGrid/>
              <w:spacing w:line="360" w:lineRule="auto"/>
              <w:ind w:firstLine="520"/>
              <w:rPr>
                <w:color w:val="auto"/>
                <w:sz w:val="24"/>
                <w:szCs w:val="24"/>
              </w:rPr>
            </w:pPr>
            <w:r>
              <w:rPr>
                <w:color w:val="auto"/>
                <w:sz w:val="24"/>
                <w:szCs w:val="24"/>
              </w:rPr>
              <w:t>⑵ 预测参数</w:t>
            </w:r>
          </w:p>
          <w:p>
            <w:pPr>
              <w:pStyle w:val="113"/>
              <w:snapToGrid/>
              <w:spacing w:line="360" w:lineRule="auto"/>
              <w:ind w:firstLine="520"/>
              <w:rPr>
                <w:color w:val="auto"/>
                <w:sz w:val="24"/>
                <w:szCs w:val="24"/>
              </w:rPr>
            </w:pPr>
            <w:r>
              <w:rPr>
                <w:color w:val="auto"/>
                <w:sz w:val="24"/>
                <w:szCs w:val="24"/>
              </w:rPr>
              <w:t>⑴线路因素引起的修正量（△L</w:t>
            </w:r>
            <w:r>
              <w:rPr>
                <w:color w:val="auto"/>
                <w:sz w:val="24"/>
                <w:szCs w:val="24"/>
                <w:vertAlign w:val="subscript"/>
              </w:rPr>
              <w:t>1</w:t>
            </w:r>
            <w:r>
              <w:rPr>
                <w:color w:val="auto"/>
                <w:sz w:val="24"/>
                <w:szCs w:val="24"/>
              </w:rPr>
              <w:t>）</w:t>
            </w:r>
          </w:p>
          <w:p>
            <w:pPr>
              <w:pStyle w:val="113"/>
              <w:snapToGrid/>
              <w:spacing w:line="360" w:lineRule="auto"/>
              <w:ind w:firstLine="520"/>
              <w:rPr>
                <w:color w:val="auto"/>
                <w:sz w:val="24"/>
                <w:szCs w:val="24"/>
              </w:rPr>
            </w:pPr>
            <w:r>
              <w:rPr>
                <w:color w:val="auto"/>
                <w:sz w:val="24"/>
                <w:szCs w:val="24"/>
              </w:rPr>
              <w:t>①公路纵坡修正量△L坡度可按下式计算：</w:t>
            </w:r>
          </w:p>
          <w:p>
            <w:pPr>
              <w:pStyle w:val="113"/>
              <w:snapToGrid/>
              <w:spacing w:line="360" w:lineRule="auto"/>
              <w:ind w:firstLine="520"/>
              <w:rPr>
                <w:color w:val="auto"/>
                <w:sz w:val="24"/>
                <w:szCs w:val="24"/>
              </w:rPr>
            </w:pPr>
            <w:r>
              <w:rPr>
                <w:color w:val="auto"/>
                <w:sz w:val="24"/>
                <w:szCs w:val="24"/>
              </w:rPr>
              <w:t>大型车：△L坡度=98×β dB（A）</w:t>
            </w:r>
          </w:p>
          <w:p>
            <w:pPr>
              <w:pStyle w:val="113"/>
              <w:snapToGrid/>
              <w:spacing w:line="360" w:lineRule="auto"/>
              <w:ind w:firstLine="520"/>
              <w:rPr>
                <w:color w:val="auto"/>
                <w:sz w:val="24"/>
                <w:szCs w:val="24"/>
              </w:rPr>
            </w:pPr>
            <w:r>
              <w:rPr>
                <w:color w:val="auto"/>
                <w:sz w:val="24"/>
                <w:szCs w:val="24"/>
              </w:rPr>
              <w:t>中型车：△L坡度=73×βdB（A）</w:t>
            </w:r>
          </w:p>
          <w:p>
            <w:pPr>
              <w:pStyle w:val="113"/>
              <w:snapToGrid/>
              <w:spacing w:line="360" w:lineRule="auto"/>
              <w:ind w:firstLine="520"/>
              <w:rPr>
                <w:color w:val="auto"/>
                <w:sz w:val="24"/>
                <w:szCs w:val="24"/>
              </w:rPr>
            </w:pPr>
            <w:r>
              <w:rPr>
                <w:color w:val="auto"/>
                <w:sz w:val="24"/>
                <w:szCs w:val="24"/>
              </w:rPr>
              <w:t>小型车：△L坡度=50×βdB（A）</w:t>
            </w:r>
          </w:p>
          <w:p>
            <w:pPr>
              <w:pStyle w:val="113"/>
              <w:snapToGrid/>
              <w:spacing w:line="360" w:lineRule="auto"/>
              <w:ind w:firstLine="520"/>
              <w:rPr>
                <w:color w:val="auto"/>
                <w:sz w:val="24"/>
                <w:szCs w:val="24"/>
              </w:rPr>
            </w:pPr>
            <w:r>
              <w:rPr>
                <w:color w:val="auto"/>
                <w:sz w:val="24"/>
                <w:szCs w:val="24"/>
              </w:rPr>
              <w:t>式中：β—为公路纵坡坡度（%）。</w:t>
            </w:r>
          </w:p>
          <w:p>
            <w:pPr>
              <w:pStyle w:val="113"/>
              <w:snapToGrid/>
              <w:spacing w:line="360" w:lineRule="auto"/>
              <w:ind w:firstLine="520"/>
              <w:rPr>
                <w:color w:val="auto"/>
                <w:sz w:val="24"/>
                <w:szCs w:val="24"/>
              </w:rPr>
            </w:pPr>
            <w:r>
              <w:rPr>
                <w:color w:val="auto"/>
                <w:sz w:val="24"/>
                <w:szCs w:val="24"/>
              </w:rPr>
              <w:t>②路面修正量（△L路面）</w:t>
            </w:r>
          </w:p>
          <w:p>
            <w:pPr>
              <w:pStyle w:val="113"/>
              <w:snapToGrid/>
              <w:spacing w:line="360" w:lineRule="auto"/>
              <w:ind w:firstLine="520"/>
              <w:rPr>
                <w:color w:val="auto"/>
                <w:sz w:val="24"/>
                <w:szCs w:val="24"/>
              </w:rPr>
            </w:pPr>
            <w:r>
              <w:rPr>
                <w:color w:val="auto"/>
                <w:sz w:val="24"/>
                <w:szCs w:val="24"/>
              </w:rPr>
              <w:t>不同路面的噪声修正量见表</w:t>
            </w:r>
            <w:r>
              <w:rPr>
                <w:rFonts w:hint="eastAsia"/>
                <w:color w:val="auto"/>
                <w:sz w:val="24"/>
                <w:szCs w:val="24"/>
              </w:rPr>
              <w:t>8-6</w:t>
            </w:r>
            <w:r>
              <w:rPr>
                <w:color w:val="auto"/>
                <w:sz w:val="24"/>
                <w:szCs w:val="24"/>
              </w:rPr>
              <w:t>。</w:t>
            </w:r>
          </w:p>
          <w:p>
            <w:pPr>
              <w:pStyle w:val="112"/>
              <w:spacing w:line="240" w:lineRule="auto"/>
              <w:ind w:firstLine="462" w:firstLineChars="200"/>
              <w:jc w:val="both"/>
              <w:rPr>
                <w:rFonts w:eastAsia="宋体"/>
                <w:b/>
                <w:color w:val="auto"/>
                <w:sz w:val="21"/>
                <w:szCs w:val="21"/>
              </w:rPr>
            </w:pPr>
            <w:r>
              <w:rPr>
                <w:rFonts w:eastAsia="宋体"/>
                <w:b/>
                <w:color w:val="auto"/>
                <w:sz w:val="21"/>
                <w:szCs w:val="21"/>
              </w:rPr>
              <w:t>表</w:t>
            </w:r>
            <w:r>
              <w:rPr>
                <w:rFonts w:hint="eastAsia" w:eastAsia="宋体"/>
                <w:b/>
                <w:color w:val="auto"/>
                <w:sz w:val="21"/>
                <w:szCs w:val="21"/>
              </w:rPr>
              <w:t>8-6</w:t>
            </w:r>
            <w:r>
              <w:rPr>
                <w:rFonts w:eastAsia="宋体"/>
                <w:b/>
                <w:color w:val="auto"/>
                <w:sz w:val="21"/>
                <w:szCs w:val="21"/>
              </w:rPr>
              <w:t xml:space="preserve">            常见路面噪声修正量         单位：dB（A）</w:t>
            </w:r>
          </w:p>
          <w:tbl>
            <w:tblPr>
              <w:tblStyle w:val="26"/>
              <w:tblW w:w="48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2085"/>
              <w:gridCol w:w="2085"/>
              <w:gridCol w:w="2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012" w:type="pct"/>
                  <w:vMerge w:val="restart"/>
                  <w:noWrap w:val="0"/>
                  <w:vAlign w:val="center"/>
                </w:tcPr>
                <w:p>
                  <w:pPr>
                    <w:spacing w:line="240" w:lineRule="auto"/>
                    <w:jc w:val="center"/>
                    <w:rPr>
                      <w:color w:val="auto"/>
                      <w:sz w:val="21"/>
                      <w:szCs w:val="21"/>
                    </w:rPr>
                  </w:pPr>
                  <w:r>
                    <w:rPr>
                      <w:color w:val="auto"/>
                      <w:sz w:val="21"/>
                      <w:szCs w:val="21"/>
                    </w:rPr>
                    <w:t>路面类型</w:t>
                  </w:r>
                </w:p>
              </w:tc>
              <w:tc>
                <w:tcPr>
                  <w:tcW w:w="3987" w:type="pct"/>
                  <w:gridSpan w:val="3"/>
                  <w:noWrap w:val="0"/>
                  <w:vAlign w:val="center"/>
                </w:tcPr>
                <w:p>
                  <w:pPr>
                    <w:spacing w:line="240" w:lineRule="auto"/>
                    <w:jc w:val="center"/>
                    <w:rPr>
                      <w:color w:val="auto"/>
                      <w:sz w:val="21"/>
                      <w:szCs w:val="21"/>
                    </w:rPr>
                  </w:pPr>
                  <w:r>
                    <w:rPr>
                      <w:color w:val="auto"/>
                      <w:sz w:val="21"/>
                      <w:szCs w:val="21"/>
                    </w:rPr>
                    <w:t>不同行驶速度修正量km/h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012" w:type="pct"/>
                  <w:vMerge w:val="continue"/>
                  <w:noWrap w:val="0"/>
                  <w:vAlign w:val="center"/>
                </w:tcPr>
                <w:p>
                  <w:pPr>
                    <w:widowControl/>
                    <w:jc w:val="left"/>
                    <w:rPr>
                      <w:color w:val="auto"/>
                      <w:szCs w:val="21"/>
                    </w:rPr>
                  </w:pPr>
                </w:p>
              </w:tc>
              <w:tc>
                <w:tcPr>
                  <w:tcW w:w="1298" w:type="pct"/>
                  <w:noWrap w:val="0"/>
                  <w:vAlign w:val="center"/>
                </w:tcPr>
                <w:p>
                  <w:pPr>
                    <w:jc w:val="center"/>
                    <w:rPr>
                      <w:color w:val="auto"/>
                      <w:szCs w:val="21"/>
                    </w:rPr>
                  </w:pPr>
                  <w:r>
                    <w:rPr>
                      <w:color w:val="auto"/>
                      <w:szCs w:val="21"/>
                    </w:rPr>
                    <w:t>30</w:t>
                  </w:r>
                </w:p>
              </w:tc>
              <w:tc>
                <w:tcPr>
                  <w:tcW w:w="1298" w:type="pct"/>
                  <w:noWrap w:val="0"/>
                  <w:vAlign w:val="center"/>
                </w:tcPr>
                <w:p>
                  <w:pPr>
                    <w:jc w:val="center"/>
                    <w:rPr>
                      <w:color w:val="auto"/>
                      <w:szCs w:val="21"/>
                    </w:rPr>
                  </w:pPr>
                  <w:r>
                    <w:rPr>
                      <w:color w:val="auto"/>
                      <w:szCs w:val="21"/>
                    </w:rPr>
                    <w:t>40</w:t>
                  </w:r>
                </w:p>
              </w:tc>
              <w:tc>
                <w:tcPr>
                  <w:tcW w:w="1390" w:type="pct"/>
                  <w:noWrap w:val="0"/>
                  <w:vAlign w:val="center"/>
                </w:tcPr>
                <w:p>
                  <w:pPr>
                    <w:jc w:val="center"/>
                    <w:rPr>
                      <w:color w:val="auto"/>
                      <w:szCs w:val="21"/>
                    </w:rPr>
                  </w:pPr>
                  <w:r>
                    <w:rPr>
                      <w:color w:val="auto"/>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012" w:type="pct"/>
                  <w:noWrap w:val="0"/>
                  <w:vAlign w:val="center"/>
                </w:tcPr>
                <w:p>
                  <w:pPr>
                    <w:jc w:val="center"/>
                    <w:rPr>
                      <w:color w:val="auto"/>
                      <w:szCs w:val="21"/>
                    </w:rPr>
                  </w:pPr>
                  <w:r>
                    <w:rPr>
                      <w:color w:val="auto"/>
                      <w:szCs w:val="21"/>
                    </w:rPr>
                    <w:t>沥青混凝土</w:t>
                  </w:r>
                </w:p>
              </w:tc>
              <w:tc>
                <w:tcPr>
                  <w:tcW w:w="1298" w:type="pct"/>
                  <w:noWrap w:val="0"/>
                  <w:vAlign w:val="center"/>
                </w:tcPr>
                <w:p>
                  <w:pPr>
                    <w:jc w:val="center"/>
                    <w:rPr>
                      <w:color w:val="auto"/>
                      <w:szCs w:val="21"/>
                    </w:rPr>
                  </w:pPr>
                  <w:r>
                    <w:rPr>
                      <w:color w:val="auto"/>
                      <w:szCs w:val="21"/>
                    </w:rPr>
                    <w:t>0</w:t>
                  </w:r>
                </w:p>
              </w:tc>
              <w:tc>
                <w:tcPr>
                  <w:tcW w:w="1298" w:type="pct"/>
                  <w:noWrap w:val="0"/>
                  <w:vAlign w:val="center"/>
                </w:tcPr>
                <w:p>
                  <w:pPr>
                    <w:jc w:val="center"/>
                    <w:rPr>
                      <w:color w:val="auto"/>
                      <w:szCs w:val="21"/>
                    </w:rPr>
                  </w:pPr>
                  <w:r>
                    <w:rPr>
                      <w:color w:val="auto"/>
                      <w:szCs w:val="21"/>
                    </w:rPr>
                    <w:t>0</w:t>
                  </w:r>
                </w:p>
              </w:tc>
              <w:tc>
                <w:tcPr>
                  <w:tcW w:w="1390" w:type="pct"/>
                  <w:noWrap w:val="0"/>
                  <w:vAlign w:val="center"/>
                </w:tcPr>
                <w:p>
                  <w:pPr>
                    <w:jc w:val="center"/>
                    <w:rPr>
                      <w:color w:val="auto"/>
                      <w:szCs w:val="21"/>
                    </w:rPr>
                  </w:pPr>
                  <w:r>
                    <w:rPr>
                      <w:color w:val="auto"/>
                      <w:szCs w:val="21"/>
                    </w:rPr>
                    <w:t>0</w:t>
                  </w:r>
                </w:p>
              </w:tc>
            </w:tr>
          </w:tbl>
          <w:p>
            <w:pPr>
              <w:pStyle w:val="114"/>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textAlignment w:val="auto"/>
              <w:rPr>
                <w:rFonts w:ascii="Times New Roman" w:hAnsi="Times New Roman"/>
                <w:color w:val="auto"/>
                <w:sz w:val="24"/>
                <w:szCs w:val="24"/>
              </w:rPr>
            </w:pPr>
            <w:r>
              <w:rPr>
                <w:rFonts w:ascii="Times New Roman" w:hAnsi="Times New Roman"/>
                <w:color w:val="auto"/>
                <w:sz w:val="24"/>
                <w:szCs w:val="24"/>
              </w:rPr>
              <w:t>⑵声波传播途径中引起的衰减量（△L</w:t>
            </w:r>
            <w:r>
              <w:rPr>
                <w:rFonts w:ascii="Times New Roman" w:hAnsi="Times New Roman"/>
                <w:color w:val="auto"/>
                <w:sz w:val="24"/>
                <w:szCs w:val="24"/>
                <w:vertAlign w:val="subscript"/>
              </w:rPr>
              <w:t>2</w:t>
            </w:r>
            <w:r>
              <w:rPr>
                <w:rFonts w:ascii="Times New Roman" w:hAnsi="Times New Roman"/>
                <w:color w:val="auto"/>
                <w:sz w:val="24"/>
                <w:szCs w:val="24"/>
              </w:rPr>
              <w:t>）</w:t>
            </w:r>
          </w:p>
          <w:p>
            <w:pPr>
              <w:pStyle w:val="113"/>
              <w:snapToGrid/>
              <w:spacing w:line="360" w:lineRule="auto"/>
              <w:ind w:firstLine="520"/>
              <w:rPr>
                <w:color w:val="auto"/>
                <w:sz w:val="24"/>
                <w:szCs w:val="24"/>
              </w:rPr>
            </w:pPr>
            <w:r>
              <w:rPr>
                <w:color w:val="auto"/>
                <w:sz w:val="24"/>
                <w:szCs w:val="24"/>
              </w:rPr>
              <w:t>①障碍物声衰减量A</w:t>
            </w:r>
            <w:r>
              <w:rPr>
                <w:color w:val="auto"/>
                <w:sz w:val="24"/>
                <w:szCs w:val="24"/>
                <w:vertAlign w:val="subscript"/>
              </w:rPr>
              <w:t>bar</w:t>
            </w:r>
          </w:p>
          <w:p>
            <w:pPr>
              <w:pStyle w:val="113"/>
              <w:snapToGrid/>
              <w:spacing w:line="360" w:lineRule="auto"/>
              <w:ind w:firstLine="520"/>
              <w:rPr>
                <w:color w:val="auto"/>
                <w:sz w:val="24"/>
                <w:szCs w:val="24"/>
              </w:rPr>
            </w:pPr>
            <w:r>
              <w:rPr>
                <w:color w:val="auto"/>
                <w:sz w:val="24"/>
                <w:szCs w:val="24"/>
              </w:rPr>
              <w:t>a．声屏障衰减量（A</w:t>
            </w:r>
            <w:r>
              <w:rPr>
                <w:color w:val="auto"/>
                <w:sz w:val="24"/>
                <w:szCs w:val="24"/>
                <w:vertAlign w:val="subscript"/>
              </w:rPr>
              <w:t>bar</w:t>
            </w:r>
            <w:r>
              <w:rPr>
                <w:color w:val="auto"/>
                <w:sz w:val="24"/>
                <w:szCs w:val="24"/>
              </w:rPr>
              <w:t>）计算</w:t>
            </w:r>
          </w:p>
          <w:p>
            <w:pPr>
              <w:pStyle w:val="113"/>
              <w:snapToGrid/>
              <w:spacing w:line="360" w:lineRule="auto"/>
              <w:ind w:firstLine="520"/>
              <w:rPr>
                <w:color w:val="auto"/>
                <w:sz w:val="24"/>
                <w:szCs w:val="24"/>
              </w:rPr>
            </w:pPr>
            <w:r>
              <w:rPr>
                <w:color w:val="auto"/>
                <w:sz w:val="24"/>
                <w:szCs w:val="24"/>
              </w:rPr>
              <w:t>无限长声屏障可按下式计算：</w:t>
            </w:r>
          </w:p>
          <w:p>
            <w:pPr>
              <w:pStyle w:val="113"/>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color w:val="auto"/>
              </w:rPr>
            </w:pPr>
            <w:r>
              <w:rPr>
                <w:color w:val="auto"/>
              </w:rPr>
              <w:drawing>
                <wp:inline distT="0" distB="0" distL="114300" distR="114300">
                  <wp:extent cx="4962525" cy="1579880"/>
                  <wp:effectExtent l="0" t="0" r="9525" b="1270"/>
                  <wp:docPr id="19" name="图片 8" descr="未命名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未命名6"/>
                          <pic:cNvPicPr>
                            <a:picLocks noChangeAspect="1"/>
                          </pic:cNvPicPr>
                        </pic:nvPicPr>
                        <pic:blipFill>
                          <a:blip r:embed="rId21">
                            <a:lum bright="-17996" contrast="54000"/>
                          </a:blip>
                          <a:stretch>
                            <a:fillRect/>
                          </a:stretch>
                        </pic:blipFill>
                        <pic:spPr>
                          <a:xfrm>
                            <a:off x="0" y="0"/>
                            <a:ext cx="4962525" cy="1579880"/>
                          </a:xfrm>
                          <a:prstGeom prst="rect">
                            <a:avLst/>
                          </a:prstGeom>
                          <a:noFill/>
                          <a:ln>
                            <a:noFill/>
                          </a:ln>
                        </pic:spPr>
                      </pic:pic>
                    </a:graphicData>
                  </a:graphic>
                </wp:inline>
              </w:drawing>
            </w:r>
          </w:p>
          <w:p>
            <w:pPr>
              <w:pStyle w:val="113"/>
              <w:snapToGrid/>
              <w:spacing w:line="360" w:lineRule="auto"/>
              <w:ind w:firstLine="520"/>
              <w:rPr>
                <w:color w:val="auto"/>
                <w:sz w:val="24"/>
                <w:szCs w:val="24"/>
              </w:rPr>
            </w:pPr>
            <w:r>
              <w:rPr>
                <w:color w:val="auto"/>
                <w:sz w:val="24"/>
                <w:szCs w:val="24"/>
              </w:rPr>
              <w:t>式中：</w:t>
            </w:r>
            <w:r>
              <w:rPr>
                <w:i/>
                <w:color w:val="auto"/>
                <w:sz w:val="24"/>
                <w:szCs w:val="24"/>
              </w:rPr>
              <w:t>f</w:t>
            </w:r>
            <w:r>
              <w:rPr>
                <w:color w:val="auto"/>
                <w:sz w:val="24"/>
                <w:szCs w:val="24"/>
              </w:rPr>
              <w:t>-声波频率，Hz；</w:t>
            </w:r>
          </w:p>
          <w:p>
            <w:pPr>
              <w:pStyle w:val="113"/>
              <w:snapToGrid/>
              <w:spacing w:line="360" w:lineRule="auto"/>
              <w:ind w:firstLine="1170" w:firstLineChars="450"/>
              <w:rPr>
                <w:color w:val="auto"/>
                <w:sz w:val="24"/>
                <w:szCs w:val="24"/>
              </w:rPr>
            </w:pPr>
            <w:r>
              <w:rPr>
                <w:i/>
                <w:color w:val="auto"/>
                <w:sz w:val="24"/>
                <w:szCs w:val="24"/>
              </w:rPr>
              <w:t>δ</w:t>
            </w:r>
            <w:r>
              <w:rPr>
                <w:color w:val="auto"/>
                <w:sz w:val="24"/>
                <w:szCs w:val="24"/>
              </w:rPr>
              <w:t>-声程差，m；</w:t>
            </w:r>
          </w:p>
          <w:p>
            <w:pPr>
              <w:pStyle w:val="113"/>
              <w:snapToGrid/>
              <w:spacing w:line="360" w:lineRule="auto"/>
              <w:ind w:firstLine="1170" w:firstLineChars="450"/>
              <w:rPr>
                <w:color w:val="auto"/>
                <w:sz w:val="24"/>
                <w:szCs w:val="24"/>
              </w:rPr>
            </w:pPr>
            <w:r>
              <w:rPr>
                <w:i/>
                <w:color w:val="auto"/>
                <w:sz w:val="24"/>
                <w:szCs w:val="24"/>
              </w:rPr>
              <w:t>c</w:t>
            </w:r>
            <w:r>
              <w:rPr>
                <w:color w:val="auto"/>
                <w:sz w:val="24"/>
                <w:szCs w:val="24"/>
              </w:rPr>
              <w:t>-声速，m/s。</w:t>
            </w:r>
          </w:p>
          <w:p>
            <w:pPr>
              <w:pStyle w:val="113"/>
              <w:snapToGrid/>
              <w:spacing w:line="360" w:lineRule="auto"/>
              <w:ind w:firstLine="520"/>
              <w:rPr>
                <w:color w:val="auto"/>
                <w:sz w:val="24"/>
                <w:szCs w:val="24"/>
              </w:rPr>
            </w:pPr>
            <w:r>
              <w:rPr>
                <w:color w:val="auto"/>
                <w:sz w:val="24"/>
                <w:szCs w:val="24"/>
              </w:rPr>
              <w:t>在公路建设项目评价中采用500Hz频率的声波计算得到的屏障衰减量近似作为A声级的衰减量。有限长声源的衰减量根据上式进行计算，然后根据图</w:t>
            </w:r>
            <w:r>
              <w:rPr>
                <w:rFonts w:hint="eastAsia"/>
                <w:color w:val="auto"/>
                <w:sz w:val="24"/>
                <w:szCs w:val="24"/>
              </w:rPr>
              <w:t>8-2</w:t>
            </w:r>
            <w:r>
              <w:rPr>
                <w:color w:val="auto"/>
                <w:sz w:val="24"/>
                <w:szCs w:val="24"/>
              </w:rPr>
              <w:t>进行修正。修正后的A</w:t>
            </w:r>
            <w:r>
              <w:rPr>
                <w:color w:val="auto"/>
                <w:sz w:val="24"/>
                <w:szCs w:val="24"/>
                <w:vertAlign w:val="subscript"/>
              </w:rPr>
              <w:t>bar</w:t>
            </w:r>
            <w:r>
              <w:rPr>
                <w:color w:val="auto"/>
                <w:sz w:val="24"/>
                <w:szCs w:val="24"/>
              </w:rPr>
              <w:t>取决于遮蔽角β/θ。图</w:t>
            </w:r>
            <w:r>
              <w:rPr>
                <w:rFonts w:hint="eastAsia"/>
                <w:color w:val="auto"/>
                <w:sz w:val="24"/>
                <w:szCs w:val="24"/>
              </w:rPr>
              <w:t>8-2</w:t>
            </w:r>
            <w:r>
              <w:rPr>
                <w:color w:val="auto"/>
                <w:sz w:val="24"/>
                <w:szCs w:val="24"/>
              </w:rPr>
              <w:t>中虚线表示：无限长屏障声衰减为8.5 dB，若有限长声屏障对应的遮蔽角百分率为92%，则有限长声屏障的声衰减为6.6dB。</w:t>
            </w:r>
          </w:p>
          <w:p>
            <w:pPr>
              <w:pStyle w:val="113"/>
              <w:ind w:firstLine="560"/>
              <w:rPr>
                <w:color w:val="auto"/>
              </w:rPr>
            </w:pPr>
            <w:r>
              <w:rPr>
                <w:color w:val="auto"/>
              </w:rPr>
              <w:drawing>
                <wp:inline distT="0" distB="0" distL="114300" distR="114300">
                  <wp:extent cx="4665980" cy="2323465"/>
                  <wp:effectExtent l="0" t="0" r="1270" b="635"/>
                  <wp:docPr id="18" name="图片 9" descr="未命名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未命名7"/>
                          <pic:cNvPicPr>
                            <a:picLocks noChangeAspect="1"/>
                          </pic:cNvPicPr>
                        </pic:nvPicPr>
                        <pic:blipFill>
                          <a:blip r:embed="rId22">
                            <a:lum bright="-29999" contrast="54000"/>
                          </a:blip>
                          <a:stretch>
                            <a:fillRect/>
                          </a:stretch>
                        </pic:blipFill>
                        <pic:spPr>
                          <a:xfrm>
                            <a:off x="0" y="0"/>
                            <a:ext cx="4665980" cy="2323465"/>
                          </a:xfrm>
                          <a:prstGeom prst="rect">
                            <a:avLst/>
                          </a:prstGeom>
                          <a:noFill/>
                          <a:ln>
                            <a:noFill/>
                          </a:ln>
                        </pic:spPr>
                      </pic:pic>
                    </a:graphicData>
                  </a:graphic>
                </wp:inline>
              </w:drawing>
            </w:r>
          </w:p>
          <w:p>
            <w:pPr>
              <w:pStyle w:val="112"/>
              <w:spacing w:line="360" w:lineRule="auto"/>
              <w:rPr>
                <w:rFonts w:eastAsia="宋体"/>
                <w:b/>
                <w:color w:val="auto"/>
                <w:szCs w:val="24"/>
              </w:rPr>
            </w:pPr>
            <w:r>
              <w:rPr>
                <w:rFonts w:eastAsia="宋体"/>
                <w:b/>
                <w:color w:val="auto"/>
                <w:szCs w:val="24"/>
              </w:rPr>
              <w:t>图</w:t>
            </w:r>
            <w:r>
              <w:rPr>
                <w:rFonts w:hint="eastAsia" w:eastAsia="宋体"/>
                <w:b/>
                <w:color w:val="auto"/>
                <w:szCs w:val="24"/>
              </w:rPr>
              <w:t>8-2</w:t>
            </w:r>
            <w:r>
              <w:rPr>
                <w:rFonts w:eastAsia="宋体"/>
                <w:b/>
                <w:color w:val="auto"/>
                <w:szCs w:val="24"/>
              </w:rPr>
              <w:t xml:space="preserve">     有限长度的声屏障及线声源的修正图</w:t>
            </w:r>
          </w:p>
          <w:p>
            <w:pPr>
              <w:pStyle w:val="113"/>
              <w:snapToGrid/>
              <w:spacing w:line="360" w:lineRule="auto"/>
              <w:ind w:firstLine="520"/>
              <w:rPr>
                <w:color w:val="auto"/>
                <w:sz w:val="24"/>
                <w:szCs w:val="24"/>
              </w:rPr>
            </w:pPr>
            <w:r>
              <w:rPr>
                <w:color w:val="auto"/>
                <w:sz w:val="24"/>
                <w:szCs w:val="24"/>
              </w:rPr>
              <w:t>b．高路堤或低路堑两侧声影区衰减量计算</w:t>
            </w:r>
          </w:p>
          <w:p>
            <w:pPr>
              <w:pStyle w:val="113"/>
              <w:snapToGrid/>
              <w:spacing w:line="360" w:lineRule="auto"/>
              <w:ind w:firstLine="520"/>
              <w:rPr>
                <w:color w:val="auto"/>
                <w:sz w:val="24"/>
                <w:szCs w:val="24"/>
              </w:rPr>
            </w:pPr>
            <w:r>
              <w:rPr>
                <w:color w:val="auto"/>
                <w:sz w:val="24"/>
                <w:szCs w:val="24"/>
              </w:rPr>
              <w:t>高路堤或低路堑两侧声影区衰减量A</w:t>
            </w:r>
            <w:r>
              <w:rPr>
                <w:color w:val="auto"/>
                <w:sz w:val="24"/>
                <w:szCs w:val="24"/>
                <w:vertAlign w:val="subscript"/>
              </w:rPr>
              <w:t>bar</w:t>
            </w:r>
            <w:r>
              <w:rPr>
                <w:color w:val="auto"/>
                <w:sz w:val="24"/>
                <w:szCs w:val="24"/>
              </w:rPr>
              <w:t>为预测点在高路堤或低路堑两侧声影区内引起的附加衰减量。</w:t>
            </w:r>
          </w:p>
          <w:p>
            <w:pPr>
              <w:pStyle w:val="113"/>
              <w:snapToGrid/>
              <w:spacing w:line="360" w:lineRule="auto"/>
              <w:ind w:firstLine="520"/>
              <w:rPr>
                <w:color w:val="auto"/>
                <w:sz w:val="24"/>
                <w:szCs w:val="24"/>
              </w:rPr>
            </w:pPr>
            <w:r>
              <w:rPr>
                <w:color w:val="auto"/>
                <w:sz w:val="24"/>
                <w:szCs w:val="24"/>
              </w:rPr>
              <w:t>当预测点处于声照区时，A</w:t>
            </w:r>
            <w:r>
              <w:rPr>
                <w:color w:val="auto"/>
                <w:sz w:val="24"/>
                <w:szCs w:val="24"/>
                <w:vertAlign w:val="subscript"/>
              </w:rPr>
              <w:t>bar</w:t>
            </w:r>
            <w:r>
              <w:rPr>
                <w:color w:val="auto"/>
                <w:sz w:val="24"/>
                <w:szCs w:val="24"/>
              </w:rPr>
              <w:t>=0；</w:t>
            </w:r>
          </w:p>
          <w:p>
            <w:pPr>
              <w:pStyle w:val="113"/>
              <w:snapToGrid/>
              <w:spacing w:line="360" w:lineRule="auto"/>
              <w:ind w:firstLine="520"/>
              <w:rPr>
                <w:color w:val="auto"/>
                <w:sz w:val="24"/>
                <w:szCs w:val="24"/>
              </w:rPr>
            </w:pPr>
            <w:r>
              <w:rPr>
                <w:color w:val="auto"/>
                <w:sz w:val="24"/>
                <w:szCs w:val="24"/>
              </w:rPr>
              <w:t>当预测点处于声影区，A</w:t>
            </w:r>
            <w:r>
              <w:rPr>
                <w:color w:val="auto"/>
                <w:sz w:val="24"/>
                <w:szCs w:val="24"/>
                <w:vertAlign w:val="subscript"/>
              </w:rPr>
              <w:t>bar</w:t>
            </w:r>
            <w:r>
              <w:rPr>
                <w:color w:val="auto"/>
                <w:sz w:val="24"/>
                <w:szCs w:val="24"/>
              </w:rPr>
              <w:t>决定于声程差δ。由图</w:t>
            </w:r>
            <w:r>
              <w:rPr>
                <w:rFonts w:hint="eastAsia"/>
                <w:color w:val="auto"/>
                <w:sz w:val="24"/>
                <w:szCs w:val="24"/>
              </w:rPr>
              <w:t>8-2</w:t>
            </w:r>
            <w:r>
              <w:rPr>
                <w:color w:val="auto"/>
                <w:sz w:val="24"/>
                <w:szCs w:val="24"/>
              </w:rPr>
              <w:t>计算δ，δ=a+b-c。再由图</w:t>
            </w:r>
            <w:r>
              <w:rPr>
                <w:rFonts w:hint="eastAsia"/>
                <w:color w:val="auto"/>
                <w:sz w:val="24"/>
                <w:szCs w:val="24"/>
              </w:rPr>
              <w:t>8-4</w:t>
            </w:r>
            <w:r>
              <w:rPr>
                <w:color w:val="auto"/>
                <w:sz w:val="24"/>
                <w:szCs w:val="24"/>
              </w:rPr>
              <w:t>查出A</w:t>
            </w:r>
            <w:r>
              <w:rPr>
                <w:color w:val="auto"/>
                <w:sz w:val="24"/>
                <w:szCs w:val="24"/>
                <w:vertAlign w:val="subscript"/>
              </w:rPr>
              <w:t>bar</w:t>
            </w:r>
            <w:r>
              <w:rPr>
                <w:color w:val="auto"/>
                <w:sz w:val="24"/>
                <w:szCs w:val="24"/>
              </w:rPr>
              <w:t>。</w:t>
            </w:r>
          </w:p>
          <w:p>
            <w:pPr>
              <w:pStyle w:val="112"/>
              <w:rPr>
                <w:color w:val="auto"/>
              </w:rPr>
            </w:pPr>
            <w:r>
              <w:rPr>
                <w:color w:val="auto"/>
              </w:rPr>
              <w:drawing>
                <wp:inline distT="0" distB="0" distL="114300" distR="114300">
                  <wp:extent cx="4885690" cy="2146935"/>
                  <wp:effectExtent l="9525" t="9525" r="19685" b="1524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3"/>
                          <a:srcRect t="5559"/>
                          <a:stretch>
                            <a:fillRect/>
                          </a:stretch>
                        </pic:blipFill>
                        <pic:spPr>
                          <a:xfrm>
                            <a:off x="0" y="0"/>
                            <a:ext cx="4885690" cy="2146935"/>
                          </a:xfrm>
                          <a:prstGeom prst="rect">
                            <a:avLst/>
                          </a:prstGeom>
                          <a:noFill/>
                          <a:ln>
                            <a:solidFill>
                              <a:schemeClr val="tx1"/>
                            </a:solidFill>
                          </a:ln>
                        </pic:spPr>
                      </pic:pic>
                    </a:graphicData>
                  </a:graphic>
                </wp:inline>
              </w:drawing>
            </w:r>
          </w:p>
          <w:p>
            <w:pPr>
              <w:pStyle w:val="112"/>
              <w:adjustRightInd w:val="0"/>
              <w:snapToGrid w:val="0"/>
              <w:spacing w:line="360" w:lineRule="auto"/>
              <w:rPr>
                <w:rFonts w:eastAsia="宋体"/>
                <w:b/>
                <w:color w:val="auto"/>
                <w:sz w:val="21"/>
                <w:szCs w:val="21"/>
              </w:rPr>
            </w:pPr>
            <w:r>
              <w:rPr>
                <w:rFonts w:eastAsia="宋体"/>
                <w:b/>
                <w:color w:val="auto"/>
                <w:sz w:val="21"/>
                <w:szCs w:val="21"/>
              </w:rPr>
              <w:t>图</w:t>
            </w:r>
            <w:r>
              <w:rPr>
                <w:rFonts w:hint="eastAsia" w:eastAsia="宋体"/>
                <w:b/>
                <w:color w:val="auto"/>
                <w:sz w:val="21"/>
                <w:szCs w:val="21"/>
              </w:rPr>
              <w:t>8-3</w:t>
            </w:r>
            <w:r>
              <w:rPr>
                <w:rFonts w:eastAsia="宋体"/>
                <w:b/>
                <w:color w:val="auto"/>
                <w:sz w:val="21"/>
                <w:szCs w:val="21"/>
              </w:rPr>
              <w:t xml:space="preserve">     声影区噪声衰减量计算示意图</w:t>
            </w:r>
          </w:p>
          <w:p>
            <w:pPr>
              <w:pStyle w:val="113"/>
              <w:ind w:firstLine="0" w:firstLineChars="0"/>
              <w:jc w:val="center"/>
              <w:rPr>
                <w:color w:val="auto"/>
              </w:rPr>
            </w:pPr>
            <w:r>
              <w:rPr>
                <w:color w:val="auto"/>
              </w:rPr>
              <w:drawing>
                <wp:inline distT="0" distB="0" distL="114300" distR="114300">
                  <wp:extent cx="4962525" cy="2478405"/>
                  <wp:effectExtent l="0" t="0" r="9525" b="17145"/>
                  <wp:docPr id="16" name="图片 11" descr="未命名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未命名9"/>
                          <pic:cNvPicPr>
                            <a:picLocks noChangeAspect="1"/>
                          </pic:cNvPicPr>
                        </pic:nvPicPr>
                        <pic:blipFill>
                          <a:blip r:embed="rId24"/>
                          <a:stretch>
                            <a:fillRect/>
                          </a:stretch>
                        </pic:blipFill>
                        <pic:spPr>
                          <a:xfrm>
                            <a:off x="0" y="0"/>
                            <a:ext cx="4962525" cy="2478405"/>
                          </a:xfrm>
                          <a:prstGeom prst="rect">
                            <a:avLst/>
                          </a:prstGeom>
                          <a:noFill/>
                          <a:ln>
                            <a:noFill/>
                          </a:ln>
                        </pic:spPr>
                      </pic:pic>
                    </a:graphicData>
                  </a:graphic>
                </wp:inline>
              </w:drawing>
            </w:r>
          </w:p>
          <w:p>
            <w:pPr>
              <w:pStyle w:val="112"/>
              <w:spacing w:line="360" w:lineRule="auto"/>
              <w:rPr>
                <w:rFonts w:eastAsia="宋体"/>
                <w:b/>
                <w:color w:val="auto"/>
                <w:sz w:val="21"/>
                <w:szCs w:val="21"/>
              </w:rPr>
            </w:pPr>
            <w:r>
              <w:rPr>
                <w:rFonts w:eastAsia="宋体"/>
                <w:b/>
                <w:color w:val="auto"/>
                <w:sz w:val="21"/>
                <w:szCs w:val="21"/>
              </w:rPr>
              <w:t>图</w:t>
            </w:r>
            <w:r>
              <w:rPr>
                <w:rFonts w:hint="eastAsia" w:eastAsia="宋体"/>
                <w:b/>
                <w:color w:val="auto"/>
                <w:sz w:val="21"/>
                <w:szCs w:val="21"/>
              </w:rPr>
              <w:t>8-4</w:t>
            </w:r>
            <w:r>
              <w:rPr>
                <w:rFonts w:eastAsia="宋体"/>
                <w:b/>
                <w:color w:val="auto"/>
                <w:sz w:val="21"/>
                <w:szCs w:val="21"/>
              </w:rPr>
              <w:t xml:space="preserve">    噪声衰减量与声程差δ关系曲线（f=500Hz）</w:t>
            </w:r>
          </w:p>
          <w:p>
            <w:pPr>
              <w:spacing w:line="360" w:lineRule="auto"/>
              <w:ind w:firstLine="480" w:firstLineChars="200"/>
              <w:rPr>
                <w:color w:val="auto"/>
                <w:sz w:val="24"/>
              </w:rPr>
            </w:pPr>
            <w:r>
              <w:rPr>
                <w:color w:val="auto"/>
                <w:sz w:val="24"/>
              </w:rPr>
              <w:t>（3）由反射等引起的修正量（△L3）</w:t>
            </w:r>
          </w:p>
          <w:p>
            <w:pPr>
              <w:pStyle w:val="113"/>
              <w:snapToGrid/>
              <w:spacing w:line="360" w:lineRule="auto"/>
              <w:ind w:firstLine="520"/>
              <w:rPr>
                <w:color w:val="auto"/>
                <w:sz w:val="24"/>
                <w:szCs w:val="24"/>
              </w:rPr>
            </w:pPr>
            <w:r>
              <w:rPr>
                <w:color w:val="auto"/>
                <w:sz w:val="24"/>
              </w:rPr>
              <w:t>①</w:t>
            </w:r>
            <w:r>
              <w:rPr>
                <w:color w:val="auto"/>
                <w:sz w:val="24"/>
                <w:szCs w:val="24"/>
              </w:rPr>
              <w:t>两侧建筑物的反射声修正量</w:t>
            </w:r>
          </w:p>
          <w:p>
            <w:pPr>
              <w:pStyle w:val="113"/>
              <w:snapToGrid/>
              <w:spacing w:line="360" w:lineRule="auto"/>
              <w:ind w:firstLine="520"/>
              <w:rPr>
                <w:color w:val="auto"/>
                <w:sz w:val="24"/>
                <w:szCs w:val="24"/>
              </w:rPr>
            </w:pPr>
            <w:r>
              <w:rPr>
                <w:color w:val="auto"/>
                <w:sz w:val="24"/>
                <w:szCs w:val="24"/>
              </w:rPr>
              <w:t>地貌以及声源两侧建筑物反射影响因素的修正。当线路两侧建筑物间距小于总计算高度30%时，其反射声修正量为：</w:t>
            </w:r>
          </w:p>
          <w:p>
            <w:pPr>
              <w:pStyle w:val="113"/>
              <w:snapToGrid/>
              <w:spacing w:line="360" w:lineRule="auto"/>
              <w:ind w:firstLine="520"/>
              <w:rPr>
                <w:color w:val="auto"/>
                <w:sz w:val="24"/>
                <w:szCs w:val="24"/>
              </w:rPr>
            </w:pPr>
            <w:r>
              <w:rPr>
                <w:color w:val="auto"/>
                <w:sz w:val="24"/>
                <w:szCs w:val="24"/>
              </w:rPr>
              <w:t>两侧建筑物是反射面时：</w:t>
            </w:r>
          </w:p>
          <w:p>
            <w:pPr>
              <w:spacing w:line="360" w:lineRule="auto"/>
              <w:ind w:firstLine="200"/>
              <w:jc w:val="center"/>
              <w:rPr>
                <w:color w:val="auto"/>
                <w:sz w:val="24"/>
              </w:rPr>
            </w:pPr>
            <w:r>
              <w:rPr>
                <w:color w:val="auto"/>
                <w:sz w:val="24"/>
              </w:rPr>
              <w:drawing>
                <wp:inline distT="0" distB="0" distL="114300" distR="114300">
                  <wp:extent cx="2589530" cy="408940"/>
                  <wp:effectExtent l="0" t="0" r="1270" b="10160"/>
                  <wp:docPr id="14" name="图片 1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11"/>
                          <pic:cNvPicPr>
                            <a:picLocks noChangeAspect="1"/>
                          </pic:cNvPicPr>
                        </pic:nvPicPr>
                        <pic:blipFill>
                          <a:blip r:embed="rId25"/>
                          <a:stretch>
                            <a:fillRect/>
                          </a:stretch>
                        </pic:blipFill>
                        <pic:spPr>
                          <a:xfrm>
                            <a:off x="0" y="0"/>
                            <a:ext cx="2589530" cy="408940"/>
                          </a:xfrm>
                          <a:prstGeom prst="rect">
                            <a:avLst/>
                          </a:prstGeom>
                          <a:noFill/>
                          <a:ln>
                            <a:noFill/>
                          </a:ln>
                        </pic:spPr>
                      </pic:pic>
                    </a:graphicData>
                  </a:graphic>
                </wp:inline>
              </w:drawing>
            </w:r>
          </w:p>
          <w:p>
            <w:pPr>
              <w:pStyle w:val="113"/>
              <w:snapToGrid/>
              <w:spacing w:line="360" w:lineRule="auto"/>
              <w:ind w:firstLine="520"/>
              <w:rPr>
                <w:color w:val="auto"/>
                <w:sz w:val="24"/>
                <w:szCs w:val="24"/>
              </w:rPr>
            </w:pPr>
            <w:r>
              <w:rPr>
                <w:color w:val="auto"/>
                <w:sz w:val="24"/>
                <w:szCs w:val="24"/>
              </w:rPr>
              <w:t>两侧建筑物是一般吸收性表面：</w:t>
            </w:r>
          </w:p>
          <w:p>
            <w:pPr>
              <w:spacing w:line="360" w:lineRule="auto"/>
              <w:ind w:firstLine="200"/>
              <w:jc w:val="center"/>
              <w:rPr>
                <w:color w:val="auto"/>
                <w:sz w:val="24"/>
              </w:rPr>
            </w:pPr>
            <w:r>
              <w:rPr>
                <w:color w:val="auto"/>
                <w:sz w:val="24"/>
              </w:rPr>
              <w:drawing>
                <wp:inline distT="0" distB="0" distL="114300" distR="114300">
                  <wp:extent cx="2277110" cy="419735"/>
                  <wp:effectExtent l="0" t="0" r="8890" b="18415"/>
                  <wp:docPr id="13" name="图片 14"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222"/>
                          <pic:cNvPicPr>
                            <a:picLocks noChangeAspect="1"/>
                          </pic:cNvPicPr>
                        </pic:nvPicPr>
                        <pic:blipFill>
                          <a:blip r:embed="rId26"/>
                          <a:stretch>
                            <a:fillRect/>
                          </a:stretch>
                        </pic:blipFill>
                        <pic:spPr>
                          <a:xfrm>
                            <a:off x="0" y="0"/>
                            <a:ext cx="2277110" cy="419735"/>
                          </a:xfrm>
                          <a:prstGeom prst="rect">
                            <a:avLst/>
                          </a:prstGeom>
                          <a:noFill/>
                          <a:ln>
                            <a:noFill/>
                          </a:ln>
                        </pic:spPr>
                      </pic:pic>
                    </a:graphicData>
                  </a:graphic>
                </wp:inline>
              </w:drawing>
            </w:r>
          </w:p>
          <w:p>
            <w:pPr>
              <w:pStyle w:val="113"/>
              <w:snapToGrid/>
              <w:spacing w:line="360" w:lineRule="auto"/>
              <w:ind w:firstLine="520"/>
              <w:rPr>
                <w:color w:val="auto"/>
                <w:sz w:val="24"/>
                <w:szCs w:val="24"/>
              </w:rPr>
            </w:pPr>
            <w:r>
              <w:rPr>
                <w:color w:val="auto"/>
                <w:sz w:val="24"/>
                <w:szCs w:val="24"/>
              </w:rPr>
              <w:t>两侧建筑物为全吸收性表面：</w:t>
            </w:r>
          </w:p>
          <w:p>
            <w:pPr>
              <w:spacing w:line="360" w:lineRule="auto"/>
              <w:ind w:firstLine="200"/>
              <w:jc w:val="center"/>
              <w:rPr>
                <w:color w:val="auto"/>
                <w:sz w:val="24"/>
              </w:rPr>
            </w:pPr>
            <w:r>
              <w:rPr>
                <w:color w:val="auto"/>
                <w:sz w:val="24"/>
              </w:rPr>
              <w:drawing>
                <wp:inline distT="0" distB="0" distL="114300" distR="114300">
                  <wp:extent cx="1086485" cy="370205"/>
                  <wp:effectExtent l="0" t="0" r="18415" b="10795"/>
                  <wp:docPr id="12" name="图片 15"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333"/>
                          <pic:cNvPicPr>
                            <a:picLocks noChangeAspect="1"/>
                          </pic:cNvPicPr>
                        </pic:nvPicPr>
                        <pic:blipFill>
                          <a:blip r:embed="rId27"/>
                          <a:stretch>
                            <a:fillRect/>
                          </a:stretch>
                        </pic:blipFill>
                        <pic:spPr>
                          <a:xfrm>
                            <a:off x="0" y="0"/>
                            <a:ext cx="1086485" cy="370205"/>
                          </a:xfrm>
                          <a:prstGeom prst="rect">
                            <a:avLst/>
                          </a:prstGeom>
                          <a:noFill/>
                          <a:ln>
                            <a:noFill/>
                          </a:ln>
                        </pic:spPr>
                      </pic:pic>
                    </a:graphicData>
                  </a:graphic>
                </wp:inline>
              </w:drawing>
            </w:r>
          </w:p>
          <w:p>
            <w:pPr>
              <w:pStyle w:val="114"/>
              <w:spacing w:line="360" w:lineRule="auto"/>
              <w:ind w:firstLine="480"/>
              <w:rPr>
                <w:rFonts w:ascii="Times New Roman" w:hAnsi="Times New Roman"/>
                <w:color w:val="auto"/>
                <w:sz w:val="24"/>
                <w:szCs w:val="24"/>
              </w:rPr>
            </w:pPr>
            <w:r>
              <w:rPr>
                <w:rFonts w:ascii="Times New Roman" w:hAnsi="Times New Roman"/>
                <w:color w:val="auto"/>
                <w:sz w:val="24"/>
                <w:szCs w:val="24"/>
              </w:rPr>
              <w:t>式中：W—为线路两侧建筑物反射面的间距，m；</w:t>
            </w:r>
          </w:p>
          <w:p>
            <w:pPr>
              <w:spacing w:line="360" w:lineRule="auto"/>
              <w:ind w:firstLine="1200" w:firstLineChars="500"/>
              <w:rPr>
                <w:color w:val="auto"/>
                <w:sz w:val="24"/>
              </w:rPr>
            </w:pPr>
            <w:r>
              <w:rPr>
                <w:color w:val="auto"/>
                <w:sz w:val="24"/>
              </w:rPr>
              <w:t>H</w:t>
            </w:r>
            <w:r>
              <w:rPr>
                <w:color w:val="auto"/>
                <w:sz w:val="24"/>
                <w:vertAlign w:val="subscript"/>
              </w:rPr>
              <w:t>b</w:t>
            </w:r>
            <w:r>
              <w:rPr>
                <w:color w:val="auto"/>
                <w:sz w:val="24"/>
              </w:rPr>
              <w:t>—为构筑物的平均高度h，取线路两侧较低一侧高度平均值代入计算，m。</w:t>
            </w:r>
          </w:p>
          <w:p>
            <w:pPr>
              <w:adjustRightInd w:val="0"/>
              <w:snapToGrid w:val="0"/>
              <w:spacing w:line="360" w:lineRule="auto"/>
              <w:ind w:firstLine="482" w:firstLineChars="200"/>
              <w:rPr>
                <w:b/>
                <w:bCs/>
                <w:color w:val="auto"/>
                <w:sz w:val="24"/>
              </w:rPr>
            </w:pPr>
            <w:r>
              <w:rPr>
                <w:rFonts w:hint="eastAsia"/>
                <w:b/>
                <w:bCs/>
                <w:color w:val="auto"/>
                <w:sz w:val="24"/>
              </w:rPr>
              <w:t>5</w:t>
            </w:r>
            <w:r>
              <w:rPr>
                <w:b/>
                <w:bCs/>
                <w:color w:val="auto"/>
                <w:sz w:val="24"/>
              </w:rPr>
              <w:t>.2预测模式选择</w:t>
            </w:r>
          </w:p>
          <w:p>
            <w:pPr>
              <w:adjustRightInd w:val="0"/>
              <w:snapToGrid w:val="0"/>
              <w:spacing w:line="360" w:lineRule="auto"/>
              <w:ind w:firstLine="480" w:firstLineChars="200"/>
              <w:rPr>
                <w:color w:val="auto"/>
                <w:sz w:val="24"/>
              </w:rPr>
            </w:pPr>
            <w:r>
              <w:rPr>
                <w:color w:val="auto"/>
                <w:sz w:val="24"/>
              </w:rPr>
              <w:t>本次评价采用NoiseSystem V3.0软件，该软件是根据</w:t>
            </w:r>
            <w:r>
              <w:rPr>
                <w:color w:val="FF0000"/>
                <w:sz w:val="24"/>
              </w:rPr>
              <w:t>《环境影响评价技术导则 声环境HJ2.4-20</w:t>
            </w:r>
            <w:r>
              <w:rPr>
                <w:rFonts w:hint="eastAsia"/>
                <w:color w:val="FF0000"/>
                <w:sz w:val="24"/>
                <w:lang w:val="en-US" w:eastAsia="zh-CN"/>
              </w:rPr>
              <w:t>21</w:t>
            </w:r>
            <w:r>
              <w:rPr>
                <w:color w:val="FF0000"/>
                <w:sz w:val="24"/>
              </w:rPr>
              <w:t>》</w:t>
            </w:r>
            <w:r>
              <w:rPr>
                <w:color w:val="auto"/>
                <w:sz w:val="24"/>
              </w:rPr>
              <w:t>，基于GIS的三维噪声影响评价系统。软件综合考虑了预测区域内所有声源、遮蔽物、气象要素等在声传播过程的综合效应，最终给出符合导则的计算结果。适用于工业项目、公路项目和铁路项目环境噪声的三级、二级和一级评价。</w:t>
            </w:r>
          </w:p>
          <w:p>
            <w:pPr>
              <w:adjustRightInd w:val="0"/>
              <w:snapToGrid w:val="0"/>
              <w:spacing w:line="360" w:lineRule="auto"/>
              <w:ind w:firstLine="482" w:firstLineChars="200"/>
              <w:rPr>
                <w:color w:val="auto"/>
                <w:sz w:val="24"/>
              </w:rPr>
            </w:pPr>
            <w:r>
              <w:rPr>
                <w:rFonts w:hint="eastAsia"/>
                <w:b/>
                <w:bCs/>
                <w:color w:val="auto"/>
                <w:sz w:val="24"/>
              </w:rPr>
              <w:t>5</w:t>
            </w:r>
            <w:r>
              <w:rPr>
                <w:b/>
                <w:bCs/>
                <w:color w:val="auto"/>
                <w:sz w:val="24"/>
              </w:rPr>
              <w:t>.3声环境预测与评价</w:t>
            </w:r>
          </w:p>
          <w:p>
            <w:pPr>
              <w:adjustRightInd w:val="0"/>
              <w:snapToGrid w:val="0"/>
              <w:spacing w:line="360" w:lineRule="auto"/>
              <w:ind w:firstLine="480" w:firstLineChars="200"/>
              <w:rPr>
                <w:bCs/>
                <w:color w:val="auto"/>
                <w:sz w:val="24"/>
                <w:shd w:val="clear" w:color="auto" w:fill="FFFFFF"/>
              </w:rPr>
            </w:pPr>
            <w:r>
              <w:rPr>
                <w:rFonts w:hint="eastAsia"/>
                <w:bCs/>
                <w:color w:val="auto"/>
                <w:sz w:val="24"/>
                <w:shd w:val="clear" w:color="auto" w:fill="FFFFFF"/>
              </w:rPr>
              <w:t>5</w:t>
            </w:r>
            <w:r>
              <w:rPr>
                <w:bCs/>
                <w:color w:val="auto"/>
                <w:sz w:val="24"/>
                <w:shd w:val="clear" w:color="auto" w:fill="FFFFFF"/>
              </w:rPr>
              <w:t>.3.1预测参数选择</w:t>
            </w:r>
          </w:p>
          <w:p>
            <w:pPr>
              <w:adjustRightInd w:val="0"/>
              <w:snapToGrid w:val="0"/>
              <w:spacing w:line="360" w:lineRule="auto"/>
              <w:ind w:firstLine="480" w:firstLineChars="200"/>
              <w:rPr>
                <w:color w:val="auto"/>
                <w:sz w:val="24"/>
              </w:rPr>
            </w:pPr>
            <w:r>
              <w:rPr>
                <w:color w:val="auto"/>
                <w:sz w:val="24"/>
              </w:rPr>
              <w:t>⑴车流量</w:t>
            </w:r>
          </w:p>
          <w:p>
            <w:pPr>
              <w:adjustRightInd w:val="0"/>
              <w:snapToGrid w:val="0"/>
              <w:spacing w:line="360" w:lineRule="auto"/>
              <w:ind w:firstLine="480" w:firstLineChars="200"/>
              <w:rPr>
                <w:color w:val="auto"/>
                <w:sz w:val="24"/>
              </w:rPr>
            </w:pPr>
            <w:r>
              <w:rPr>
                <w:color w:val="auto"/>
                <w:sz w:val="24"/>
              </w:rPr>
              <w:t>采用各特征年平均小时车流量，具体见表</w:t>
            </w:r>
            <w:r>
              <w:rPr>
                <w:rFonts w:hint="eastAsia"/>
                <w:color w:val="auto"/>
                <w:sz w:val="24"/>
                <w:lang w:val="en-US" w:eastAsia="zh-CN"/>
              </w:rPr>
              <w:t>8-8</w:t>
            </w:r>
            <w:r>
              <w:rPr>
                <w:color w:val="auto"/>
                <w:sz w:val="24"/>
              </w:rPr>
              <w:t>；</w:t>
            </w:r>
          </w:p>
          <w:p>
            <w:pPr>
              <w:adjustRightInd w:val="0"/>
              <w:snapToGrid w:val="0"/>
              <w:spacing w:line="360" w:lineRule="auto"/>
              <w:ind w:firstLine="480" w:firstLineChars="200"/>
              <w:rPr>
                <w:color w:val="auto"/>
                <w:sz w:val="24"/>
              </w:rPr>
            </w:pPr>
            <w:r>
              <w:rPr>
                <w:color w:val="auto"/>
                <w:sz w:val="24"/>
              </w:rPr>
              <w:t>⑵预测时段</w:t>
            </w:r>
          </w:p>
          <w:p>
            <w:pPr>
              <w:adjustRightInd w:val="0"/>
              <w:snapToGrid w:val="0"/>
              <w:spacing w:line="360" w:lineRule="auto"/>
              <w:ind w:firstLine="480" w:firstLineChars="200"/>
              <w:rPr>
                <w:color w:val="FF0000"/>
                <w:sz w:val="24"/>
              </w:rPr>
            </w:pPr>
            <w:r>
              <w:rPr>
                <w:color w:val="FF0000"/>
                <w:sz w:val="24"/>
              </w:rPr>
              <w:t>分别预测近期（202</w:t>
            </w:r>
            <w:r>
              <w:rPr>
                <w:rFonts w:hint="eastAsia"/>
                <w:color w:val="FF0000"/>
                <w:sz w:val="24"/>
                <w:lang w:val="en-US" w:eastAsia="zh-CN"/>
              </w:rPr>
              <w:t>4</w:t>
            </w:r>
            <w:r>
              <w:rPr>
                <w:color w:val="FF0000"/>
                <w:sz w:val="24"/>
              </w:rPr>
              <w:t>年）、中期（20</w:t>
            </w:r>
            <w:r>
              <w:rPr>
                <w:rFonts w:hint="eastAsia"/>
                <w:color w:val="FF0000"/>
                <w:sz w:val="24"/>
                <w:lang w:val="en-US" w:eastAsia="zh-CN"/>
              </w:rPr>
              <w:t>30</w:t>
            </w:r>
            <w:r>
              <w:rPr>
                <w:color w:val="FF0000"/>
                <w:sz w:val="24"/>
              </w:rPr>
              <w:t>年）、远期（203</w:t>
            </w:r>
            <w:r>
              <w:rPr>
                <w:rFonts w:hint="eastAsia"/>
                <w:color w:val="FF0000"/>
                <w:sz w:val="24"/>
                <w:lang w:val="en-US" w:eastAsia="zh-CN"/>
              </w:rPr>
              <w:t>8</w:t>
            </w:r>
            <w:r>
              <w:rPr>
                <w:color w:val="FF0000"/>
                <w:sz w:val="24"/>
              </w:rPr>
              <w:t>年）三个特征年；</w:t>
            </w:r>
          </w:p>
          <w:p>
            <w:pPr>
              <w:adjustRightInd w:val="0"/>
              <w:snapToGrid w:val="0"/>
              <w:spacing w:line="360" w:lineRule="auto"/>
              <w:ind w:firstLine="480" w:firstLineChars="200"/>
              <w:rPr>
                <w:color w:val="auto"/>
                <w:sz w:val="24"/>
              </w:rPr>
            </w:pPr>
            <w:r>
              <w:rPr>
                <w:color w:val="auto"/>
                <w:sz w:val="24"/>
              </w:rPr>
              <w:t>⑶设计车速</w:t>
            </w:r>
          </w:p>
          <w:p>
            <w:pPr>
              <w:adjustRightInd w:val="0"/>
              <w:snapToGrid w:val="0"/>
              <w:spacing w:line="360" w:lineRule="auto"/>
              <w:ind w:firstLine="480" w:firstLineChars="200"/>
              <w:rPr>
                <w:color w:val="auto"/>
                <w:sz w:val="24"/>
              </w:rPr>
            </w:pPr>
            <w:r>
              <w:rPr>
                <w:color w:val="auto"/>
                <w:sz w:val="24"/>
              </w:rPr>
              <w:t>根据本项目初步设计可知，本项目道路设计车速为40km/h；</w:t>
            </w:r>
          </w:p>
          <w:p>
            <w:pPr>
              <w:adjustRightInd w:val="0"/>
              <w:snapToGrid w:val="0"/>
              <w:spacing w:line="360" w:lineRule="auto"/>
              <w:ind w:firstLine="480" w:firstLineChars="200"/>
              <w:rPr>
                <w:color w:val="auto"/>
                <w:sz w:val="24"/>
              </w:rPr>
            </w:pPr>
            <w:r>
              <w:rPr>
                <w:color w:val="auto"/>
                <w:sz w:val="24"/>
              </w:rPr>
              <w:t>⑷计算车速</w:t>
            </w:r>
          </w:p>
          <w:p>
            <w:pPr>
              <w:adjustRightInd w:val="0"/>
              <w:snapToGrid w:val="0"/>
              <w:spacing w:line="360" w:lineRule="auto"/>
              <w:ind w:firstLine="480" w:firstLineChars="200"/>
              <w:rPr>
                <w:color w:val="auto"/>
                <w:sz w:val="24"/>
              </w:rPr>
            </w:pPr>
            <w:r>
              <w:rPr>
                <w:color w:val="auto"/>
                <w:sz w:val="24"/>
              </w:rPr>
              <w:t>行车速度计算采用Noise System V3.0软件，输入车流量及设计车速后，可计算得到各小时车流量条件下的行车速度。</w:t>
            </w:r>
          </w:p>
          <w:p>
            <w:pPr>
              <w:adjustRightInd w:val="0"/>
              <w:snapToGrid w:val="0"/>
              <w:spacing w:line="360" w:lineRule="auto"/>
              <w:ind w:firstLine="480" w:firstLineChars="200"/>
              <w:rPr>
                <w:color w:val="auto"/>
                <w:sz w:val="24"/>
              </w:rPr>
            </w:pPr>
            <w:r>
              <w:rPr>
                <w:color w:val="auto"/>
                <w:sz w:val="24"/>
              </w:rPr>
              <w:t>⑸路面类型</w:t>
            </w:r>
          </w:p>
          <w:p>
            <w:pPr>
              <w:adjustRightInd w:val="0"/>
              <w:snapToGrid w:val="0"/>
              <w:spacing w:line="360" w:lineRule="auto"/>
              <w:ind w:firstLine="480" w:firstLineChars="200"/>
              <w:rPr>
                <w:color w:val="auto"/>
                <w:sz w:val="24"/>
              </w:rPr>
            </w:pPr>
            <w:r>
              <w:rPr>
                <w:color w:val="auto"/>
                <w:sz w:val="24"/>
              </w:rPr>
              <w:t>本项目车行道路面采用沥青混凝土路面。根据工程分析，本项目道路工程噪声预测参数见表</w:t>
            </w:r>
            <w:r>
              <w:rPr>
                <w:rFonts w:hint="eastAsia"/>
                <w:color w:val="auto"/>
                <w:sz w:val="24"/>
              </w:rPr>
              <w:t>8-8</w:t>
            </w:r>
            <w:r>
              <w:rPr>
                <w:color w:val="auto"/>
                <w:sz w:val="24"/>
              </w:rPr>
              <w:t>。</w:t>
            </w:r>
          </w:p>
          <w:p>
            <w:pPr>
              <w:adjustRightInd w:val="0"/>
              <w:snapToGrid w:val="0"/>
              <w:spacing w:line="240" w:lineRule="auto"/>
              <w:ind w:firstLine="200"/>
              <w:jc w:val="center"/>
              <w:rPr>
                <w:b/>
                <w:color w:val="auto"/>
                <w:sz w:val="21"/>
                <w:szCs w:val="21"/>
              </w:rPr>
            </w:pPr>
            <w:r>
              <w:rPr>
                <w:b/>
                <w:color w:val="auto"/>
                <w:sz w:val="21"/>
                <w:szCs w:val="21"/>
              </w:rPr>
              <w:t>表</w:t>
            </w:r>
            <w:r>
              <w:rPr>
                <w:rFonts w:hint="eastAsia"/>
                <w:b/>
                <w:color w:val="auto"/>
                <w:sz w:val="21"/>
                <w:szCs w:val="21"/>
              </w:rPr>
              <w:t>8-8</w:t>
            </w:r>
            <w:r>
              <w:rPr>
                <w:b/>
                <w:color w:val="auto"/>
                <w:sz w:val="21"/>
                <w:szCs w:val="21"/>
              </w:rPr>
              <w:t xml:space="preserve">         本道路工程噪声预测参数表</w:t>
            </w:r>
          </w:p>
          <w:tbl>
            <w:tblPr>
              <w:tblStyle w:val="26"/>
              <w:tblW w:w="837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64"/>
              <w:gridCol w:w="684"/>
              <w:gridCol w:w="738"/>
              <w:gridCol w:w="687"/>
              <w:gridCol w:w="687"/>
              <w:gridCol w:w="721"/>
              <w:gridCol w:w="677"/>
              <w:gridCol w:w="815"/>
              <w:gridCol w:w="694"/>
              <w:gridCol w:w="606"/>
              <w:gridCol w:w="140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10" w:hRule="atLeast"/>
                <w:jc w:val="center"/>
              </w:trPr>
              <w:tc>
                <w:tcPr>
                  <w:tcW w:w="396" w:type="pct"/>
                  <w:vMerge w:val="restart"/>
                  <w:noWrap w:val="0"/>
                  <w:vAlign w:val="center"/>
                </w:tcPr>
                <w:p>
                  <w:pPr>
                    <w:adjustRightInd w:val="0"/>
                    <w:snapToGrid w:val="0"/>
                    <w:spacing w:line="240" w:lineRule="auto"/>
                    <w:jc w:val="center"/>
                    <w:rPr>
                      <w:color w:val="FF0000"/>
                      <w:sz w:val="21"/>
                      <w:szCs w:val="21"/>
                    </w:rPr>
                  </w:pPr>
                  <w:r>
                    <w:rPr>
                      <w:color w:val="FF0000"/>
                      <w:sz w:val="21"/>
                      <w:szCs w:val="21"/>
                    </w:rPr>
                    <w:t>道路名称</w:t>
                  </w:r>
                </w:p>
              </w:tc>
              <w:tc>
                <w:tcPr>
                  <w:tcW w:w="408" w:type="pct"/>
                  <w:vMerge w:val="restart"/>
                  <w:noWrap w:val="0"/>
                  <w:vAlign w:val="center"/>
                </w:tcPr>
                <w:p>
                  <w:pPr>
                    <w:adjustRightInd w:val="0"/>
                    <w:snapToGrid w:val="0"/>
                    <w:spacing w:line="240" w:lineRule="auto"/>
                    <w:jc w:val="center"/>
                    <w:rPr>
                      <w:color w:val="FF0000"/>
                      <w:sz w:val="21"/>
                      <w:szCs w:val="21"/>
                    </w:rPr>
                  </w:pPr>
                  <w:r>
                    <w:rPr>
                      <w:color w:val="FF0000"/>
                      <w:sz w:val="21"/>
                      <w:szCs w:val="21"/>
                    </w:rPr>
                    <w:t>设计</w:t>
                  </w:r>
                </w:p>
                <w:p>
                  <w:pPr>
                    <w:adjustRightInd w:val="0"/>
                    <w:snapToGrid w:val="0"/>
                    <w:spacing w:line="240" w:lineRule="auto"/>
                    <w:jc w:val="center"/>
                    <w:rPr>
                      <w:color w:val="FF0000"/>
                      <w:sz w:val="21"/>
                      <w:szCs w:val="21"/>
                    </w:rPr>
                  </w:pPr>
                  <w:r>
                    <w:rPr>
                      <w:color w:val="FF0000"/>
                      <w:sz w:val="21"/>
                      <w:szCs w:val="21"/>
                    </w:rPr>
                    <w:t>车速</w:t>
                  </w:r>
                </w:p>
              </w:tc>
              <w:tc>
                <w:tcPr>
                  <w:tcW w:w="2094" w:type="pct"/>
                  <w:gridSpan w:val="5"/>
                  <w:noWrap w:val="0"/>
                  <w:vAlign w:val="center"/>
                </w:tcPr>
                <w:p>
                  <w:pPr>
                    <w:adjustRightInd w:val="0"/>
                    <w:snapToGrid w:val="0"/>
                    <w:spacing w:line="240" w:lineRule="auto"/>
                    <w:jc w:val="center"/>
                    <w:rPr>
                      <w:color w:val="FF0000"/>
                      <w:sz w:val="21"/>
                      <w:szCs w:val="21"/>
                    </w:rPr>
                  </w:pPr>
                  <w:r>
                    <w:rPr>
                      <w:color w:val="FF0000"/>
                      <w:sz w:val="21"/>
                      <w:szCs w:val="21"/>
                    </w:rPr>
                    <w:t>车流量（辆/h）</w:t>
                  </w:r>
                </w:p>
              </w:tc>
              <w:tc>
                <w:tcPr>
                  <w:tcW w:w="486" w:type="pct"/>
                  <w:vMerge w:val="restart"/>
                  <w:noWrap w:val="0"/>
                  <w:vAlign w:val="center"/>
                </w:tcPr>
                <w:p>
                  <w:pPr>
                    <w:adjustRightInd w:val="0"/>
                    <w:snapToGrid w:val="0"/>
                    <w:spacing w:line="240" w:lineRule="auto"/>
                    <w:jc w:val="center"/>
                    <w:rPr>
                      <w:color w:val="FF0000"/>
                      <w:sz w:val="21"/>
                      <w:szCs w:val="21"/>
                    </w:rPr>
                  </w:pPr>
                  <w:r>
                    <w:rPr>
                      <w:color w:val="FF0000"/>
                      <w:sz w:val="21"/>
                      <w:szCs w:val="21"/>
                    </w:rPr>
                    <w:t>路面</w:t>
                  </w:r>
                </w:p>
                <w:p>
                  <w:pPr>
                    <w:adjustRightInd w:val="0"/>
                    <w:snapToGrid w:val="0"/>
                    <w:spacing w:line="240" w:lineRule="auto"/>
                    <w:jc w:val="center"/>
                    <w:rPr>
                      <w:color w:val="FF0000"/>
                      <w:sz w:val="21"/>
                      <w:szCs w:val="21"/>
                    </w:rPr>
                  </w:pPr>
                  <w:r>
                    <w:rPr>
                      <w:color w:val="FF0000"/>
                      <w:sz w:val="21"/>
                      <w:szCs w:val="21"/>
                    </w:rPr>
                    <w:t>类型</w:t>
                  </w:r>
                </w:p>
              </w:tc>
              <w:tc>
                <w:tcPr>
                  <w:tcW w:w="414" w:type="pct"/>
                  <w:vMerge w:val="restart"/>
                  <w:noWrap w:val="0"/>
                  <w:vAlign w:val="center"/>
                </w:tcPr>
                <w:p>
                  <w:pPr>
                    <w:adjustRightInd w:val="0"/>
                    <w:snapToGrid w:val="0"/>
                    <w:spacing w:line="240" w:lineRule="auto"/>
                    <w:jc w:val="center"/>
                    <w:rPr>
                      <w:color w:val="FF0000"/>
                      <w:sz w:val="21"/>
                      <w:szCs w:val="21"/>
                    </w:rPr>
                  </w:pPr>
                  <w:r>
                    <w:rPr>
                      <w:color w:val="FF0000"/>
                      <w:sz w:val="21"/>
                      <w:szCs w:val="21"/>
                    </w:rPr>
                    <w:t>道路宽度</w:t>
                  </w:r>
                </w:p>
              </w:tc>
              <w:tc>
                <w:tcPr>
                  <w:tcW w:w="361" w:type="pct"/>
                  <w:vMerge w:val="restart"/>
                  <w:noWrap w:val="0"/>
                  <w:vAlign w:val="center"/>
                </w:tcPr>
                <w:p>
                  <w:pPr>
                    <w:adjustRightInd w:val="0"/>
                    <w:snapToGrid w:val="0"/>
                    <w:spacing w:line="240" w:lineRule="auto"/>
                    <w:jc w:val="center"/>
                    <w:rPr>
                      <w:color w:val="FF0000"/>
                      <w:sz w:val="21"/>
                      <w:szCs w:val="21"/>
                    </w:rPr>
                  </w:pPr>
                  <w:r>
                    <w:rPr>
                      <w:color w:val="FF0000"/>
                      <w:sz w:val="21"/>
                      <w:szCs w:val="21"/>
                    </w:rPr>
                    <w:t>车道数</w:t>
                  </w:r>
                </w:p>
              </w:tc>
              <w:tc>
                <w:tcPr>
                  <w:tcW w:w="836" w:type="pct"/>
                  <w:vMerge w:val="restart"/>
                  <w:noWrap w:val="0"/>
                  <w:vAlign w:val="center"/>
                </w:tcPr>
                <w:p>
                  <w:pPr>
                    <w:adjustRightInd w:val="0"/>
                    <w:snapToGrid w:val="0"/>
                    <w:spacing w:line="240" w:lineRule="auto"/>
                    <w:jc w:val="center"/>
                    <w:rPr>
                      <w:color w:val="FF0000"/>
                      <w:sz w:val="21"/>
                      <w:szCs w:val="21"/>
                    </w:rPr>
                  </w:pPr>
                  <w:r>
                    <w:rPr>
                      <w:color w:val="FF0000"/>
                      <w:sz w:val="21"/>
                      <w:szCs w:val="21"/>
                    </w:rPr>
                    <w:t>车道中心线距离道路中线的距离(m)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33" w:hRule="atLeast"/>
                <w:jc w:val="center"/>
              </w:trPr>
              <w:tc>
                <w:tcPr>
                  <w:tcW w:w="396" w:type="pct"/>
                  <w:vMerge w:val="continue"/>
                  <w:noWrap w:val="0"/>
                  <w:vAlign w:val="center"/>
                </w:tcPr>
                <w:p>
                  <w:pPr>
                    <w:widowControl/>
                    <w:adjustRightInd w:val="0"/>
                    <w:snapToGrid w:val="0"/>
                    <w:spacing w:line="240" w:lineRule="auto"/>
                    <w:jc w:val="center"/>
                    <w:rPr>
                      <w:color w:val="FF0000"/>
                      <w:sz w:val="21"/>
                      <w:szCs w:val="21"/>
                    </w:rPr>
                  </w:pPr>
                </w:p>
              </w:tc>
              <w:tc>
                <w:tcPr>
                  <w:tcW w:w="408" w:type="pct"/>
                  <w:vMerge w:val="continue"/>
                  <w:noWrap w:val="0"/>
                  <w:vAlign w:val="center"/>
                </w:tcPr>
                <w:p>
                  <w:pPr>
                    <w:widowControl/>
                    <w:adjustRightInd w:val="0"/>
                    <w:snapToGrid w:val="0"/>
                    <w:spacing w:line="240" w:lineRule="auto"/>
                    <w:jc w:val="center"/>
                    <w:rPr>
                      <w:color w:val="FF0000"/>
                      <w:sz w:val="21"/>
                      <w:szCs w:val="21"/>
                    </w:rPr>
                  </w:pPr>
                </w:p>
              </w:tc>
              <w:tc>
                <w:tcPr>
                  <w:tcW w:w="440" w:type="pct"/>
                  <w:noWrap w:val="0"/>
                  <w:vAlign w:val="center"/>
                </w:tcPr>
                <w:p>
                  <w:pPr>
                    <w:adjustRightInd w:val="0"/>
                    <w:snapToGrid w:val="0"/>
                    <w:spacing w:line="240" w:lineRule="auto"/>
                    <w:jc w:val="center"/>
                    <w:rPr>
                      <w:color w:val="FF0000"/>
                      <w:sz w:val="21"/>
                      <w:szCs w:val="21"/>
                    </w:rPr>
                  </w:pPr>
                  <w:r>
                    <w:rPr>
                      <w:color w:val="FF0000"/>
                      <w:sz w:val="21"/>
                      <w:szCs w:val="21"/>
                    </w:rPr>
                    <w:t>特征年</w:t>
                  </w:r>
                </w:p>
              </w:tc>
              <w:tc>
                <w:tcPr>
                  <w:tcW w:w="410" w:type="pct"/>
                  <w:noWrap w:val="0"/>
                  <w:vAlign w:val="center"/>
                </w:tcPr>
                <w:p>
                  <w:pPr>
                    <w:adjustRightInd w:val="0"/>
                    <w:snapToGrid w:val="0"/>
                    <w:spacing w:line="240" w:lineRule="auto"/>
                    <w:jc w:val="center"/>
                    <w:rPr>
                      <w:color w:val="FF0000"/>
                      <w:sz w:val="21"/>
                      <w:szCs w:val="21"/>
                    </w:rPr>
                  </w:pPr>
                  <w:r>
                    <w:rPr>
                      <w:color w:val="FF0000"/>
                      <w:sz w:val="21"/>
                      <w:szCs w:val="21"/>
                    </w:rPr>
                    <w:t>时段</w:t>
                  </w:r>
                </w:p>
              </w:tc>
              <w:tc>
                <w:tcPr>
                  <w:tcW w:w="410" w:type="pct"/>
                  <w:noWrap w:val="0"/>
                  <w:vAlign w:val="center"/>
                </w:tcPr>
                <w:p>
                  <w:pPr>
                    <w:adjustRightInd w:val="0"/>
                    <w:snapToGrid w:val="0"/>
                    <w:spacing w:line="240" w:lineRule="auto"/>
                    <w:jc w:val="center"/>
                    <w:rPr>
                      <w:color w:val="FF0000"/>
                      <w:sz w:val="21"/>
                      <w:szCs w:val="21"/>
                    </w:rPr>
                  </w:pPr>
                  <w:r>
                    <w:rPr>
                      <w:color w:val="FF0000"/>
                      <w:sz w:val="21"/>
                      <w:szCs w:val="21"/>
                    </w:rPr>
                    <w:t>小</w:t>
                  </w:r>
                  <w:r>
                    <w:rPr>
                      <w:rFonts w:hint="eastAsia"/>
                      <w:color w:val="FF0000"/>
                      <w:sz w:val="21"/>
                      <w:szCs w:val="21"/>
                      <w:lang w:val="en-US" w:eastAsia="zh-CN"/>
                    </w:rPr>
                    <w:t>型</w:t>
                  </w:r>
                  <w:r>
                    <w:rPr>
                      <w:color w:val="FF0000"/>
                      <w:sz w:val="21"/>
                      <w:szCs w:val="21"/>
                    </w:rPr>
                    <w:t>车</w:t>
                  </w:r>
                </w:p>
              </w:tc>
              <w:tc>
                <w:tcPr>
                  <w:tcW w:w="430" w:type="pct"/>
                  <w:noWrap w:val="0"/>
                  <w:vAlign w:val="center"/>
                </w:tcPr>
                <w:p>
                  <w:pPr>
                    <w:adjustRightInd w:val="0"/>
                    <w:snapToGrid w:val="0"/>
                    <w:spacing w:line="240" w:lineRule="auto"/>
                    <w:jc w:val="center"/>
                    <w:rPr>
                      <w:color w:val="FF0000"/>
                      <w:sz w:val="21"/>
                      <w:szCs w:val="21"/>
                    </w:rPr>
                  </w:pPr>
                  <w:r>
                    <w:rPr>
                      <w:color w:val="FF0000"/>
                      <w:sz w:val="21"/>
                      <w:szCs w:val="21"/>
                    </w:rPr>
                    <w:t>中</w:t>
                  </w:r>
                  <w:r>
                    <w:rPr>
                      <w:rFonts w:hint="eastAsia"/>
                      <w:color w:val="FF0000"/>
                      <w:sz w:val="21"/>
                      <w:szCs w:val="21"/>
                      <w:lang w:val="en-US" w:eastAsia="zh-CN"/>
                    </w:rPr>
                    <w:t>型</w:t>
                  </w:r>
                  <w:r>
                    <w:rPr>
                      <w:color w:val="FF0000"/>
                      <w:sz w:val="21"/>
                      <w:szCs w:val="21"/>
                    </w:rPr>
                    <w:t>车</w:t>
                  </w:r>
                </w:p>
              </w:tc>
              <w:tc>
                <w:tcPr>
                  <w:tcW w:w="401" w:type="pct"/>
                  <w:noWrap w:val="0"/>
                  <w:vAlign w:val="center"/>
                </w:tcPr>
                <w:p>
                  <w:pPr>
                    <w:adjustRightInd w:val="0"/>
                    <w:snapToGrid w:val="0"/>
                    <w:spacing w:line="240" w:lineRule="auto"/>
                    <w:jc w:val="center"/>
                    <w:rPr>
                      <w:color w:val="FF0000"/>
                      <w:sz w:val="21"/>
                      <w:szCs w:val="21"/>
                    </w:rPr>
                  </w:pPr>
                  <w:r>
                    <w:rPr>
                      <w:color w:val="FF0000"/>
                      <w:sz w:val="21"/>
                      <w:szCs w:val="21"/>
                    </w:rPr>
                    <w:t>大</w:t>
                  </w:r>
                  <w:r>
                    <w:rPr>
                      <w:rFonts w:hint="eastAsia"/>
                      <w:color w:val="FF0000"/>
                      <w:sz w:val="21"/>
                      <w:szCs w:val="21"/>
                      <w:lang w:val="en-US" w:eastAsia="zh-CN"/>
                    </w:rPr>
                    <w:t>型</w:t>
                  </w:r>
                  <w:r>
                    <w:rPr>
                      <w:color w:val="FF0000"/>
                      <w:sz w:val="21"/>
                      <w:szCs w:val="21"/>
                    </w:rPr>
                    <w:t>车</w:t>
                  </w:r>
                </w:p>
              </w:tc>
              <w:tc>
                <w:tcPr>
                  <w:tcW w:w="486" w:type="pct"/>
                  <w:vMerge w:val="continue"/>
                  <w:noWrap w:val="0"/>
                  <w:vAlign w:val="center"/>
                </w:tcPr>
                <w:p>
                  <w:pPr>
                    <w:widowControl/>
                    <w:adjustRightInd w:val="0"/>
                    <w:snapToGrid w:val="0"/>
                    <w:spacing w:line="240" w:lineRule="auto"/>
                    <w:jc w:val="center"/>
                    <w:rPr>
                      <w:color w:val="FF0000"/>
                      <w:sz w:val="21"/>
                      <w:szCs w:val="21"/>
                    </w:rPr>
                  </w:pPr>
                </w:p>
              </w:tc>
              <w:tc>
                <w:tcPr>
                  <w:tcW w:w="414" w:type="pct"/>
                  <w:vMerge w:val="continue"/>
                  <w:noWrap w:val="0"/>
                  <w:vAlign w:val="center"/>
                </w:tcPr>
                <w:p>
                  <w:pPr>
                    <w:widowControl/>
                    <w:adjustRightInd w:val="0"/>
                    <w:snapToGrid w:val="0"/>
                    <w:spacing w:line="240" w:lineRule="auto"/>
                    <w:jc w:val="center"/>
                    <w:rPr>
                      <w:color w:val="FF0000"/>
                      <w:sz w:val="21"/>
                      <w:szCs w:val="21"/>
                    </w:rPr>
                  </w:pPr>
                </w:p>
              </w:tc>
              <w:tc>
                <w:tcPr>
                  <w:tcW w:w="361" w:type="pct"/>
                  <w:vMerge w:val="continue"/>
                  <w:noWrap w:val="0"/>
                  <w:vAlign w:val="center"/>
                </w:tcPr>
                <w:p>
                  <w:pPr>
                    <w:widowControl/>
                    <w:adjustRightInd w:val="0"/>
                    <w:snapToGrid w:val="0"/>
                    <w:spacing w:line="240" w:lineRule="auto"/>
                    <w:jc w:val="center"/>
                    <w:rPr>
                      <w:color w:val="FF0000"/>
                      <w:sz w:val="21"/>
                      <w:szCs w:val="21"/>
                    </w:rPr>
                  </w:pPr>
                </w:p>
              </w:tc>
              <w:tc>
                <w:tcPr>
                  <w:tcW w:w="836" w:type="pct"/>
                  <w:vMerge w:val="continue"/>
                  <w:noWrap w:val="0"/>
                  <w:vAlign w:val="center"/>
                </w:tcPr>
                <w:p>
                  <w:pPr>
                    <w:widowControl/>
                    <w:adjustRightInd w:val="0"/>
                    <w:snapToGrid w:val="0"/>
                    <w:spacing w:line="240" w:lineRule="auto"/>
                    <w:jc w:val="center"/>
                    <w:rPr>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1" w:hRule="atLeast"/>
                <w:jc w:val="center"/>
              </w:trPr>
              <w:tc>
                <w:tcPr>
                  <w:tcW w:w="396" w:type="pct"/>
                  <w:vMerge w:val="restart"/>
                  <w:noWrap w:val="0"/>
                  <w:vAlign w:val="center"/>
                </w:tcPr>
                <w:p>
                  <w:pPr>
                    <w:adjustRightInd w:val="0"/>
                    <w:snapToGrid w:val="0"/>
                    <w:jc w:val="center"/>
                    <w:rPr>
                      <w:color w:val="FF0000"/>
                      <w:szCs w:val="21"/>
                    </w:rPr>
                  </w:pPr>
                  <w:r>
                    <w:rPr>
                      <w:rFonts w:hint="eastAsia"/>
                      <w:color w:val="FF0000"/>
                      <w:sz w:val="21"/>
                      <w:szCs w:val="21"/>
                      <w:highlight w:val="none"/>
                      <w:lang w:eastAsia="zh-CN"/>
                    </w:rPr>
                    <w:t>滨河</w:t>
                  </w:r>
                  <w:r>
                    <w:rPr>
                      <w:rFonts w:hint="eastAsia"/>
                      <w:color w:val="FF0000"/>
                      <w:sz w:val="21"/>
                      <w:szCs w:val="21"/>
                      <w:highlight w:val="none"/>
                      <w:lang w:val="en-US" w:eastAsia="zh-CN"/>
                    </w:rPr>
                    <w:t>大桥</w:t>
                  </w:r>
                </w:p>
              </w:tc>
              <w:tc>
                <w:tcPr>
                  <w:tcW w:w="408" w:type="pct"/>
                  <w:vMerge w:val="restar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40</w:t>
                  </w:r>
                </w:p>
              </w:tc>
              <w:tc>
                <w:tcPr>
                  <w:tcW w:w="440" w:type="pct"/>
                  <w:vMerge w:val="restart"/>
                  <w:noWrap w:val="0"/>
                  <w:vAlign w:val="center"/>
                </w:tcPr>
                <w:p>
                  <w:pPr>
                    <w:adjustRightInd w:val="0"/>
                    <w:snapToGrid w:val="0"/>
                    <w:jc w:val="center"/>
                    <w:rPr>
                      <w:rFonts w:hint="default" w:eastAsia="宋体"/>
                      <w:color w:val="FF0000"/>
                      <w:szCs w:val="21"/>
                      <w:lang w:val="en-US" w:eastAsia="zh-CN"/>
                    </w:rPr>
                  </w:pPr>
                  <w:r>
                    <w:rPr>
                      <w:color w:val="FF0000"/>
                      <w:szCs w:val="21"/>
                    </w:rPr>
                    <w:t>20</w:t>
                  </w:r>
                  <w:r>
                    <w:rPr>
                      <w:rFonts w:hint="eastAsia"/>
                      <w:color w:val="FF0000"/>
                      <w:szCs w:val="21"/>
                      <w:lang w:val="en-US" w:eastAsia="zh-CN"/>
                    </w:rPr>
                    <w:t>24</w:t>
                  </w:r>
                </w:p>
              </w:tc>
              <w:tc>
                <w:tcPr>
                  <w:tcW w:w="410" w:type="pct"/>
                  <w:noWrap w:val="0"/>
                  <w:vAlign w:val="center"/>
                </w:tcPr>
                <w:p>
                  <w:pPr>
                    <w:adjustRightInd w:val="0"/>
                    <w:snapToGrid w:val="0"/>
                    <w:jc w:val="center"/>
                    <w:rPr>
                      <w:color w:val="FF0000"/>
                      <w:szCs w:val="21"/>
                    </w:rPr>
                  </w:pPr>
                  <w:r>
                    <w:rPr>
                      <w:color w:val="FF0000"/>
                      <w:szCs w:val="21"/>
                    </w:rPr>
                    <w:t>昼间</w:t>
                  </w:r>
                </w:p>
              </w:tc>
              <w:tc>
                <w:tcPr>
                  <w:tcW w:w="410"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153</w:t>
                  </w:r>
                </w:p>
              </w:tc>
              <w:tc>
                <w:tcPr>
                  <w:tcW w:w="430"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16</w:t>
                  </w:r>
                </w:p>
              </w:tc>
              <w:tc>
                <w:tcPr>
                  <w:tcW w:w="401"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14</w:t>
                  </w:r>
                </w:p>
              </w:tc>
              <w:tc>
                <w:tcPr>
                  <w:tcW w:w="486" w:type="pct"/>
                  <w:vMerge w:val="restart"/>
                  <w:noWrap w:val="0"/>
                  <w:vAlign w:val="center"/>
                </w:tcPr>
                <w:p>
                  <w:pPr>
                    <w:adjustRightInd w:val="0"/>
                    <w:snapToGrid w:val="0"/>
                    <w:jc w:val="center"/>
                    <w:rPr>
                      <w:color w:val="FF0000"/>
                      <w:szCs w:val="21"/>
                    </w:rPr>
                  </w:pPr>
                  <w:r>
                    <w:rPr>
                      <w:color w:val="FF0000"/>
                      <w:szCs w:val="21"/>
                    </w:rPr>
                    <w:t>沥青</w:t>
                  </w:r>
                </w:p>
                <w:p>
                  <w:pPr>
                    <w:adjustRightInd w:val="0"/>
                    <w:snapToGrid w:val="0"/>
                    <w:jc w:val="center"/>
                    <w:rPr>
                      <w:color w:val="FF0000"/>
                      <w:szCs w:val="21"/>
                    </w:rPr>
                  </w:pPr>
                  <w:r>
                    <w:rPr>
                      <w:color w:val="FF0000"/>
                      <w:szCs w:val="21"/>
                    </w:rPr>
                    <w:t>混凝</w:t>
                  </w:r>
                </w:p>
                <w:p>
                  <w:pPr>
                    <w:adjustRightInd w:val="0"/>
                    <w:snapToGrid w:val="0"/>
                    <w:jc w:val="center"/>
                    <w:rPr>
                      <w:color w:val="FF0000"/>
                      <w:szCs w:val="21"/>
                    </w:rPr>
                  </w:pPr>
                  <w:r>
                    <w:rPr>
                      <w:color w:val="FF0000"/>
                      <w:szCs w:val="21"/>
                    </w:rPr>
                    <w:t>土</w:t>
                  </w:r>
                </w:p>
              </w:tc>
              <w:tc>
                <w:tcPr>
                  <w:tcW w:w="414" w:type="pct"/>
                  <w:vMerge w:val="restar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26</w:t>
                  </w:r>
                </w:p>
              </w:tc>
              <w:tc>
                <w:tcPr>
                  <w:tcW w:w="361" w:type="pct"/>
                  <w:vMerge w:val="restart"/>
                  <w:noWrap w:val="0"/>
                  <w:vAlign w:val="center"/>
                </w:tcPr>
                <w:p>
                  <w:pPr>
                    <w:adjustRightInd w:val="0"/>
                    <w:snapToGrid w:val="0"/>
                    <w:ind w:firstLine="105" w:firstLineChars="50"/>
                    <w:jc w:val="center"/>
                    <w:rPr>
                      <w:rFonts w:hint="eastAsia" w:eastAsia="宋体"/>
                      <w:color w:val="FF0000"/>
                      <w:szCs w:val="21"/>
                      <w:lang w:eastAsia="zh-CN"/>
                    </w:rPr>
                  </w:pPr>
                  <w:r>
                    <w:rPr>
                      <w:rFonts w:hint="eastAsia"/>
                      <w:color w:val="FF0000"/>
                      <w:szCs w:val="21"/>
                      <w:lang w:val="en-US" w:eastAsia="zh-CN"/>
                    </w:rPr>
                    <w:t>4</w:t>
                  </w:r>
                </w:p>
              </w:tc>
              <w:tc>
                <w:tcPr>
                  <w:tcW w:w="836" w:type="pct"/>
                  <w:vMerge w:val="restar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-7.5</w:t>
                  </w:r>
                  <w:r>
                    <w:rPr>
                      <w:rFonts w:hint="eastAsia"/>
                      <w:color w:val="FF0000"/>
                      <w:szCs w:val="21"/>
                      <w:lang w:eastAsia="zh-CN"/>
                    </w:rPr>
                    <w:t>，</w:t>
                  </w:r>
                  <w:r>
                    <w:rPr>
                      <w:color w:val="FF0000"/>
                      <w:szCs w:val="21"/>
                    </w:rPr>
                    <w:t>-</w:t>
                  </w:r>
                  <w:r>
                    <w:rPr>
                      <w:rFonts w:hint="eastAsia"/>
                      <w:color w:val="FF0000"/>
                      <w:szCs w:val="21"/>
                      <w:lang w:val="en-US" w:eastAsia="zh-CN"/>
                    </w:rPr>
                    <w:t>2.5</w:t>
                  </w:r>
                  <w:r>
                    <w:rPr>
                      <w:color w:val="FF0000"/>
                      <w:szCs w:val="21"/>
                    </w:rPr>
                    <w:t>，</w:t>
                  </w:r>
                  <w:r>
                    <w:rPr>
                      <w:rFonts w:hint="eastAsia"/>
                      <w:color w:val="FF0000"/>
                      <w:szCs w:val="21"/>
                      <w:lang w:val="en-US" w:eastAsia="zh-CN"/>
                    </w:rPr>
                    <w:t>2.5，7.5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1" w:hRule="atLeast"/>
                <w:jc w:val="center"/>
              </w:trPr>
              <w:tc>
                <w:tcPr>
                  <w:tcW w:w="396" w:type="pct"/>
                  <w:vMerge w:val="continue"/>
                  <w:noWrap w:val="0"/>
                  <w:vAlign w:val="center"/>
                </w:tcPr>
                <w:p>
                  <w:pPr>
                    <w:widowControl/>
                    <w:adjustRightInd w:val="0"/>
                    <w:snapToGrid w:val="0"/>
                    <w:jc w:val="center"/>
                    <w:rPr>
                      <w:color w:val="FF0000"/>
                      <w:szCs w:val="21"/>
                    </w:rPr>
                  </w:pPr>
                </w:p>
              </w:tc>
              <w:tc>
                <w:tcPr>
                  <w:tcW w:w="408" w:type="pct"/>
                  <w:vMerge w:val="continue"/>
                  <w:noWrap w:val="0"/>
                  <w:vAlign w:val="center"/>
                </w:tcPr>
                <w:p>
                  <w:pPr>
                    <w:widowControl/>
                    <w:adjustRightInd w:val="0"/>
                    <w:snapToGrid w:val="0"/>
                    <w:jc w:val="center"/>
                    <w:rPr>
                      <w:color w:val="FF0000"/>
                      <w:szCs w:val="21"/>
                    </w:rPr>
                  </w:pPr>
                </w:p>
              </w:tc>
              <w:tc>
                <w:tcPr>
                  <w:tcW w:w="440" w:type="pct"/>
                  <w:vMerge w:val="continue"/>
                  <w:noWrap w:val="0"/>
                  <w:vAlign w:val="center"/>
                </w:tcPr>
                <w:p>
                  <w:pPr>
                    <w:widowControl/>
                    <w:adjustRightInd w:val="0"/>
                    <w:snapToGrid w:val="0"/>
                    <w:jc w:val="center"/>
                    <w:rPr>
                      <w:color w:val="FF0000"/>
                      <w:szCs w:val="21"/>
                    </w:rPr>
                  </w:pPr>
                </w:p>
              </w:tc>
              <w:tc>
                <w:tcPr>
                  <w:tcW w:w="410" w:type="pct"/>
                  <w:noWrap w:val="0"/>
                  <w:vAlign w:val="center"/>
                </w:tcPr>
                <w:p>
                  <w:pPr>
                    <w:adjustRightInd w:val="0"/>
                    <w:snapToGrid w:val="0"/>
                    <w:jc w:val="center"/>
                    <w:rPr>
                      <w:color w:val="FF0000"/>
                      <w:szCs w:val="21"/>
                    </w:rPr>
                  </w:pPr>
                  <w:r>
                    <w:rPr>
                      <w:color w:val="FF0000"/>
                      <w:szCs w:val="21"/>
                    </w:rPr>
                    <w:t>夜间</w:t>
                  </w:r>
                </w:p>
              </w:tc>
              <w:tc>
                <w:tcPr>
                  <w:tcW w:w="410"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38</w:t>
                  </w:r>
                </w:p>
              </w:tc>
              <w:tc>
                <w:tcPr>
                  <w:tcW w:w="430"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w:t>
                  </w:r>
                </w:p>
              </w:tc>
              <w:tc>
                <w:tcPr>
                  <w:tcW w:w="401"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3</w:t>
                  </w:r>
                </w:p>
              </w:tc>
              <w:tc>
                <w:tcPr>
                  <w:tcW w:w="486" w:type="pct"/>
                  <w:vMerge w:val="continue"/>
                  <w:noWrap w:val="0"/>
                  <w:vAlign w:val="center"/>
                </w:tcPr>
                <w:p>
                  <w:pPr>
                    <w:widowControl/>
                    <w:adjustRightInd w:val="0"/>
                    <w:snapToGrid w:val="0"/>
                    <w:jc w:val="center"/>
                    <w:rPr>
                      <w:color w:val="FF0000"/>
                      <w:szCs w:val="21"/>
                    </w:rPr>
                  </w:pPr>
                </w:p>
              </w:tc>
              <w:tc>
                <w:tcPr>
                  <w:tcW w:w="414" w:type="pct"/>
                  <w:vMerge w:val="continue"/>
                  <w:noWrap w:val="0"/>
                  <w:vAlign w:val="center"/>
                </w:tcPr>
                <w:p>
                  <w:pPr>
                    <w:widowControl/>
                    <w:adjustRightInd w:val="0"/>
                    <w:snapToGrid w:val="0"/>
                    <w:jc w:val="center"/>
                    <w:rPr>
                      <w:color w:val="FF0000"/>
                      <w:szCs w:val="21"/>
                    </w:rPr>
                  </w:pPr>
                </w:p>
              </w:tc>
              <w:tc>
                <w:tcPr>
                  <w:tcW w:w="361" w:type="pct"/>
                  <w:vMerge w:val="continue"/>
                  <w:noWrap w:val="0"/>
                  <w:vAlign w:val="center"/>
                </w:tcPr>
                <w:p>
                  <w:pPr>
                    <w:widowControl/>
                    <w:adjustRightInd w:val="0"/>
                    <w:snapToGrid w:val="0"/>
                    <w:jc w:val="center"/>
                    <w:rPr>
                      <w:color w:val="FF0000"/>
                      <w:szCs w:val="21"/>
                    </w:rPr>
                  </w:pPr>
                </w:p>
              </w:tc>
              <w:tc>
                <w:tcPr>
                  <w:tcW w:w="836" w:type="pct"/>
                  <w:vMerge w:val="continue"/>
                  <w:noWrap w:val="0"/>
                  <w:vAlign w:val="center"/>
                </w:tcPr>
                <w:p>
                  <w:pPr>
                    <w:widowControl/>
                    <w:adjustRightInd w:val="0"/>
                    <w:snapToGrid w:val="0"/>
                    <w:jc w:val="cente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1" w:hRule="atLeast"/>
                <w:jc w:val="center"/>
              </w:trPr>
              <w:tc>
                <w:tcPr>
                  <w:tcW w:w="396" w:type="pct"/>
                  <w:vMerge w:val="continue"/>
                  <w:noWrap w:val="0"/>
                  <w:vAlign w:val="center"/>
                </w:tcPr>
                <w:p>
                  <w:pPr>
                    <w:widowControl/>
                    <w:adjustRightInd w:val="0"/>
                    <w:snapToGrid w:val="0"/>
                    <w:jc w:val="center"/>
                    <w:rPr>
                      <w:color w:val="FF0000"/>
                      <w:szCs w:val="21"/>
                    </w:rPr>
                  </w:pPr>
                </w:p>
              </w:tc>
              <w:tc>
                <w:tcPr>
                  <w:tcW w:w="408" w:type="pct"/>
                  <w:vMerge w:val="continue"/>
                  <w:noWrap w:val="0"/>
                  <w:vAlign w:val="center"/>
                </w:tcPr>
                <w:p>
                  <w:pPr>
                    <w:widowControl/>
                    <w:adjustRightInd w:val="0"/>
                    <w:snapToGrid w:val="0"/>
                    <w:jc w:val="center"/>
                    <w:rPr>
                      <w:color w:val="FF0000"/>
                      <w:szCs w:val="21"/>
                    </w:rPr>
                  </w:pPr>
                </w:p>
              </w:tc>
              <w:tc>
                <w:tcPr>
                  <w:tcW w:w="440" w:type="pct"/>
                  <w:vMerge w:val="restart"/>
                  <w:noWrap w:val="0"/>
                  <w:vAlign w:val="center"/>
                </w:tcPr>
                <w:p>
                  <w:pPr>
                    <w:adjustRightInd w:val="0"/>
                    <w:snapToGrid w:val="0"/>
                    <w:jc w:val="center"/>
                    <w:rPr>
                      <w:rFonts w:hint="default" w:eastAsia="宋体"/>
                      <w:color w:val="FF0000"/>
                      <w:szCs w:val="21"/>
                      <w:lang w:val="en-US" w:eastAsia="zh-CN"/>
                    </w:rPr>
                  </w:pPr>
                  <w:r>
                    <w:rPr>
                      <w:color w:val="FF0000"/>
                      <w:szCs w:val="21"/>
                    </w:rPr>
                    <w:t>20</w:t>
                  </w:r>
                  <w:r>
                    <w:rPr>
                      <w:rFonts w:hint="eastAsia"/>
                      <w:color w:val="FF0000"/>
                      <w:szCs w:val="21"/>
                      <w:lang w:val="en-US" w:eastAsia="zh-CN"/>
                    </w:rPr>
                    <w:t>30</w:t>
                  </w:r>
                </w:p>
              </w:tc>
              <w:tc>
                <w:tcPr>
                  <w:tcW w:w="410" w:type="pct"/>
                  <w:noWrap w:val="0"/>
                  <w:vAlign w:val="center"/>
                </w:tcPr>
                <w:p>
                  <w:pPr>
                    <w:adjustRightInd w:val="0"/>
                    <w:snapToGrid w:val="0"/>
                    <w:jc w:val="center"/>
                    <w:rPr>
                      <w:color w:val="FF0000"/>
                      <w:szCs w:val="21"/>
                    </w:rPr>
                  </w:pPr>
                  <w:r>
                    <w:rPr>
                      <w:color w:val="FF0000"/>
                      <w:szCs w:val="21"/>
                    </w:rPr>
                    <w:t>昼间</w:t>
                  </w:r>
                </w:p>
              </w:tc>
              <w:tc>
                <w:tcPr>
                  <w:tcW w:w="410"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219</w:t>
                  </w:r>
                </w:p>
              </w:tc>
              <w:tc>
                <w:tcPr>
                  <w:tcW w:w="430"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19</w:t>
                  </w:r>
                </w:p>
              </w:tc>
              <w:tc>
                <w:tcPr>
                  <w:tcW w:w="401"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25</w:t>
                  </w:r>
                </w:p>
              </w:tc>
              <w:tc>
                <w:tcPr>
                  <w:tcW w:w="486" w:type="pct"/>
                  <w:vMerge w:val="continue"/>
                  <w:noWrap w:val="0"/>
                  <w:vAlign w:val="center"/>
                </w:tcPr>
                <w:p>
                  <w:pPr>
                    <w:widowControl/>
                    <w:adjustRightInd w:val="0"/>
                    <w:snapToGrid w:val="0"/>
                    <w:jc w:val="center"/>
                    <w:rPr>
                      <w:color w:val="FF0000"/>
                      <w:szCs w:val="21"/>
                    </w:rPr>
                  </w:pPr>
                </w:p>
              </w:tc>
              <w:tc>
                <w:tcPr>
                  <w:tcW w:w="414" w:type="pct"/>
                  <w:vMerge w:val="continue"/>
                  <w:noWrap w:val="0"/>
                  <w:vAlign w:val="center"/>
                </w:tcPr>
                <w:p>
                  <w:pPr>
                    <w:widowControl/>
                    <w:adjustRightInd w:val="0"/>
                    <w:snapToGrid w:val="0"/>
                    <w:jc w:val="center"/>
                    <w:rPr>
                      <w:color w:val="FF0000"/>
                      <w:szCs w:val="21"/>
                    </w:rPr>
                  </w:pPr>
                </w:p>
              </w:tc>
              <w:tc>
                <w:tcPr>
                  <w:tcW w:w="361" w:type="pct"/>
                  <w:vMerge w:val="continue"/>
                  <w:noWrap w:val="0"/>
                  <w:vAlign w:val="center"/>
                </w:tcPr>
                <w:p>
                  <w:pPr>
                    <w:widowControl/>
                    <w:adjustRightInd w:val="0"/>
                    <w:snapToGrid w:val="0"/>
                    <w:jc w:val="center"/>
                    <w:rPr>
                      <w:color w:val="FF0000"/>
                      <w:szCs w:val="21"/>
                    </w:rPr>
                  </w:pPr>
                </w:p>
              </w:tc>
              <w:tc>
                <w:tcPr>
                  <w:tcW w:w="836" w:type="pct"/>
                  <w:vMerge w:val="continue"/>
                  <w:noWrap w:val="0"/>
                  <w:vAlign w:val="center"/>
                </w:tcPr>
                <w:p>
                  <w:pPr>
                    <w:widowControl/>
                    <w:adjustRightInd w:val="0"/>
                    <w:snapToGrid w:val="0"/>
                    <w:jc w:val="cente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1" w:hRule="atLeast"/>
                <w:jc w:val="center"/>
              </w:trPr>
              <w:tc>
                <w:tcPr>
                  <w:tcW w:w="396" w:type="pct"/>
                  <w:vMerge w:val="continue"/>
                  <w:noWrap w:val="0"/>
                  <w:vAlign w:val="center"/>
                </w:tcPr>
                <w:p>
                  <w:pPr>
                    <w:widowControl/>
                    <w:adjustRightInd w:val="0"/>
                    <w:snapToGrid w:val="0"/>
                    <w:jc w:val="center"/>
                    <w:rPr>
                      <w:color w:val="FF0000"/>
                      <w:szCs w:val="21"/>
                    </w:rPr>
                  </w:pPr>
                </w:p>
              </w:tc>
              <w:tc>
                <w:tcPr>
                  <w:tcW w:w="408" w:type="pct"/>
                  <w:vMerge w:val="continue"/>
                  <w:noWrap w:val="0"/>
                  <w:vAlign w:val="center"/>
                </w:tcPr>
                <w:p>
                  <w:pPr>
                    <w:widowControl/>
                    <w:adjustRightInd w:val="0"/>
                    <w:snapToGrid w:val="0"/>
                    <w:jc w:val="center"/>
                    <w:rPr>
                      <w:color w:val="FF0000"/>
                      <w:szCs w:val="21"/>
                    </w:rPr>
                  </w:pPr>
                </w:p>
              </w:tc>
              <w:tc>
                <w:tcPr>
                  <w:tcW w:w="440" w:type="pct"/>
                  <w:vMerge w:val="continue"/>
                  <w:noWrap w:val="0"/>
                  <w:vAlign w:val="center"/>
                </w:tcPr>
                <w:p>
                  <w:pPr>
                    <w:widowControl/>
                    <w:adjustRightInd w:val="0"/>
                    <w:snapToGrid w:val="0"/>
                    <w:jc w:val="center"/>
                    <w:rPr>
                      <w:color w:val="FF0000"/>
                      <w:szCs w:val="21"/>
                    </w:rPr>
                  </w:pPr>
                </w:p>
              </w:tc>
              <w:tc>
                <w:tcPr>
                  <w:tcW w:w="410" w:type="pct"/>
                  <w:noWrap w:val="0"/>
                  <w:vAlign w:val="center"/>
                </w:tcPr>
                <w:p>
                  <w:pPr>
                    <w:adjustRightInd w:val="0"/>
                    <w:snapToGrid w:val="0"/>
                    <w:jc w:val="center"/>
                    <w:rPr>
                      <w:color w:val="FF0000"/>
                      <w:szCs w:val="21"/>
                    </w:rPr>
                  </w:pPr>
                  <w:r>
                    <w:rPr>
                      <w:color w:val="FF0000"/>
                      <w:szCs w:val="21"/>
                    </w:rPr>
                    <w:t>夜间</w:t>
                  </w:r>
                </w:p>
              </w:tc>
              <w:tc>
                <w:tcPr>
                  <w:tcW w:w="410"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55</w:t>
                  </w:r>
                </w:p>
              </w:tc>
              <w:tc>
                <w:tcPr>
                  <w:tcW w:w="430"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w:t>
                  </w:r>
                </w:p>
              </w:tc>
              <w:tc>
                <w:tcPr>
                  <w:tcW w:w="401"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7</w:t>
                  </w:r>
                </w:p>
              </w:tc>
              <w:tc>
                <w:tcPr>
                  <w:tcW w:w="486" w:type="pct"/>
                  <w:vMerge w:val="continue"/>
                  <w:noWrap w:val="0"/>
                  <w:vAlign w:val="center"/>
                </w:tcPr>
                <w:p>
                  <w:pPr>
                    <w:widowControl/>
                    <w:adjustRightInd w:val="0"/>
                    <w:snapToGrid w:val="0"/>
                    <w:jc w:val="center"/>
                    <w:rPr>
                      <w:color w:val="FF0000"/>
                      <w:szCs w:val="21"/>
                    </w:rPr>
                  </w:pPr>
                </w:p>
              </w:tc>
              <w:tc>
                <w:tcPr>
                  <w:tcW w:w="414" w:type="pct"/>
                  <w:vMerge w:val="continue"/>
                  <w:noWrap w:val="0"/>
                  <w:vAlign w:val="center"/>
                </w:tcPr>
                <w:p>
                  <w:pPr>
                    <w:widowControl/>
                    <w:adjustRightInd w:val="0"/>
                    <w:snapToGrid w:val="0"/>
                    <w:jc w:val="center"/>
                    <w:rPr>
                      <w:color w:val="FF0000"/>
                      <w:szCs w:val="21"/>
                    </w:rPr>
                  </w:pPr>
                </w:p>
              </w:tc>
              <w:tc>
                <w:tcPr>
                  <w:tcW w:w="361" w:type="pct"/>
                  <w:vMerge w:val="continue"/>
                  <w:noWrap w:val="0"/>
                  <w:vAlign w:val="center"/>
                </w:tcPr>
                <w:p>
                  <w:pPr>
                    <w:widowControl/>
                    <w:adjustRightInd w:val="0"/>
                    <w:snapToGrid w:val="0"/>
                    <w:jc w:val="center"/>
                    <w:rPr>
                      <w:color w:val="FF0000"/>
                      <w:szCs w:val="21"/>
                    </w:rPr>
                  </w:pPr>
                </w:p>
              </w:tc>
              <w:tc>
                <w:tcPr>
                  <w:tcW w:w="836" w:type="pct"/>
                  <w:vMerge w:val="continue"/>
                  <w:noWrap w:val="0"/>
                  <w:vAlign w:val="center"/>
                </w:tcPr>
                <w:p>
                  <w:pPr>
                    <w:widowControl/>
                    <w:adjustRightInd w:val="0"/>
                    <w:snapToGrid w:val="0"/>
                    <w:jc w:val="cente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1" w:hRule="atLeast"/>
                <w:jc w:val="center"/>
              </w:trPr>
              <w:tc>
                <w:tcPr>
                  <w:tcW w:w="396" w:type="pct"/>
                  <w:vMerge w:val="continue"/>
                  <w:noWrap w:val="0"/>
                  <w:vAlign w:val="center"/>
                </w:tcPr>
                <w:p>
                  <w:pPr>
                    <w:widowControl/>
                    <w:adjustRightInd w:val="0"/>
                    <w:snapToGrid w:val="0"/>
                    <w:jc w:val="center"/>
                    <w:rPr>
                      <w:color w:val="FF0000"/>
                      <w:szCs w:val="21"/>
                    </w:rPr>
                  </w:pPr>
                </w:p>
              </w:tc>
              <w:tc>
                <w:tcPr>
                  <w:tcW w:w="408" w:type="pct"/>
                  <w:vMerge w:val="continue"/>
                  <w:noWrap w:val="0"/>
                  <w:vAlign w:val="center"/>
                </w:tcPr>
                <w:p>
                  <w:pPr>
                    <w:widowControl/>
                    <w:adjustRightInd w:val="0"/>
                    <w:snapToGrid w:val="0"/>
                    <w:jc w:val="center"/>
                    <w:rPr>
                      <w:color w:val="FF0000"/>
                      <w:szCs w:val="21"/>
                    </w:rPr>
                  </w:pPr>
                </w:p>
              </w:tc>
              <w:tc>
                <w:tcPr>
                  <w:tcW w:w="440" w:type="pct"/>
                  <w:vMerge w:val="restart"/>
                  <w:noWrap w:val="0"/>
                  <w:vAlign w:val="center"/>
                </w:tcPr>
                <w:p>
                  <w:pPr>
                    <w:adjustRightInd w:val="0"/>
                    <w:snapToGrid w:val="0"/>
                    <w:jc w:val="center"/>
                    <w:rPr>
                      <w:rFonts w:hint="eastAsia" w:eastAsia="宋体"/>
                      <w:color w:val="FF0000"/>
                      <w:szCs w:val="21"/>
                      <w:lang w:eastAsia="zh-CN"/>
                    </w:rPr>
                  </w:pPr>
                  <w:r>
                    <w:rPr>
                      <w:color w:val="FF0000"/>
                      <w:szCs w:val="21"/>
                    </w:rPr>
                    <w:t>203</w:t>
                  </w:r>
                  <w:r>
                    <w:rPr>
                      <w:rFonts w:hint="eastAsia"/>
                      <w:color w:val="FF0000"/>
                      <w:szCs w:val="21"/>
                      <w:lang w:val="en-US" w:eastAsia="zh-CN"/>
                    </w:rPr>
                    <w:t>8</w:t>
                  </w:r>
                </w:p>
              </w:tc>
              <w:tc>
                <w:tcPr>
                  <w:tcW w:w="410" w:type="pct"/>
                  <w:noWrap w:val="0"/>
                  <w:vAlign w:val="center"/>
                </w:tcPr>
                <w:p>
                  <w:pPr>
                    <w:adjustRightInd w:val="0"/>
                    <w:snapToGrid w:val="0"/>
                    <w:jc w:val="center"/>
                    <w:rPr>
                      <w:color w:val="FF0000"/>
                      <w:szCs w:val="21"/>
                    </w:rPr>
                  </w:pPr>
                  <w:r>
                    <w:rPr>
                      <w:color w:val="FF0000"/>
                      <w:szCs w:val="21"/>
                    </w:rPr>
                    <w:t>昼间</w:t>
                  </w:r>
                </w:p>
              </w:tc>
              <w:tc>
                <w:tcPr>
                  <w:tcW w:w="410"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308</w:t>
                  </w:r>
                </w:p>
              </w:tc>
              <w:tc>
                <w:tcPr>
                  <w:tcW w:w="430"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30</w:t>
                  </w:r>
                </w:p>
              </w:tc>
              <w:tc>
                <w:tcPr>
                  <w:tcW w:w="401"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39</w:t>
                  </w:r>
                </w:p>
              </w:tc>
              <w:tc>
                <w:tcPr>
                  <w:tcW w:w="486" w:type="pct"/>
                  <w:vMerge w:val="continue"/>
                  <w:noWrap w:val="0"/>
                  <w:vAlign w:val="center"/>
                </w:tcPr>
                <w:p>
                  <w:pPr>
                    <w:widowControl/>
                    <w:adjustRightInd w:val="0"/>
                    <w:snapToGrid w:val="0"/>
                    <w:jc w:val="center"/>
                    <w:rPr>
                      <w:color w:val="FF0000"/>
                      <w:szCs w:val="21"/>
                    </w:rPr>
                  </w:pPr>
                </w:p>
              </w:tc>
              <w:tc>
                <w:tcPr>
                  <w:tcW w:w="414" w:type="pct"/>
                  <w:vMerge w:val="continue"/>
                  <w:noWrap w:val="0"/>
                  <w:vAlign w:val="center"/>
                </w:tcPr>
                <w:p>
                  <w:pPr>
                    <w:widowControl/>
                    <w:adjustRightInd w:val="0"/>
                    <w:snapToGrid w:val="0"/>
                    <w:jc w:val="center"/>
                    <w:rPr>
                      <w:color w:val="FF0000"/>
                      <w:szCs w:val="21"/>
                    </w:rPr>
                  </w:pPr>
                </w:p>
              </w:tc>
              <w:tc>
                <w:tcPr>
                  <w:tcW w:w="361" w:type="pct"/>
                  <w:vMerge w:val="continue"/>
                  <w:noWrap w:val="0"/>
                  <w:vAlign w:val="center"/>
                </w:tcPr>
                <w:p>
                  <w:pPr>
                    <w:widowControl/>
                    <w:adjustRightInd w:val="0"/>
                    <w:snapToGrid w:val="0"/>
                    <w:jc w:val="center"/>
                    <w:rPr>
                      <w:color w:val="FF0000"/>
                      <w:szCs w:val="21"/>
                    </w:rPr>
                  </w:pPr>
                </w:p>
              </w:tc>
              <w:tc>
                <w:tcPr>
                  <w:tcW w:w="836" w:type="pct"/>
                  <w:vMerge w:val="continue"/>
                  <w:noWrap w:val="0"/>
                  <w:vAlign w:val="center"/>
                </w:tcPr>
                <w:p>
                  <w:pPr>
                    <w:adjustRightInd w:val="0"/>
                    <w:snapToGrid w:val="0"/>
                    <w:jc w:val="cente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1" w:hRule="atLeast"/>
                <w:jc w:val="center"/>
              </w:trPr>
              <w:tc>
                <w:tcPr>
                  <w:tcW w:w="396" w:type="pct"/>
                  <w:vMerge w:val="continue"/>
                  <w:noWrap w:val="0"/>
                  <w:vAlign w:val="center"/>
                </w:tcPr>
                <w:p>
                  <w:pPr>
                    <w:widowControl/>
                    <w:adjustRightInd w:val="0"/>
                    <w:snapToGrid w:val="0"/>
                    <w:jc w:val="center"/>
                    <w:rPr>
                      <w:color w:val="FF0000"/>
                      <w:szCs w:val="21"/>
                    </w:rPr>
                  </w:pPr>
                </w:p>
              </w:tc>
              <w:tc>
                <w:tcPr>
                  <w:tcW w:w="408" w:type="pct"/>
                  <w:vMerge w:val="continue"/>
                  <w:noWrap w:val="0"/>
                  <w:vAlign w:val="center"/>
                </w:tcPr>
                <w:p>
                  <w:pPr>
                    <w:widowControl/>
                    <w:adjustRightInd w:val="0"/>
                    <w:snapToGrid w:val="0"/>
                    <w:jc w:val="center"/>
                    <w:rPr>
                      <w:color w:val="FF0000"/>
                      <w:szCs w:val="21"/>
                    </w:rPr>
                  </w:pPr>
                </w:p>
              </w:tc>
              <w:tc>
                <w:tcPr>
                  <w:tcW w:w="440" w:type="pct"/>
                  <w:vMerge w:val="continue"/>
                  <w:noWrap w:val="0"/>
                  <w:vAlign w:val="center"/>
                </w:tcPr>
                <w:p>
                  <w:pPr>
                    <w:widowControl/>
                    <w:adjustRightInd w:val="0"/>
                    <w:snapToGrid w:val="0"/>
                    <w:jc w:val="center"/>
                    <w:rPr>
                      <w:color w:val="FF0000"/>
                      <w:szCs w:val="21"/>
                    </w:rPr>
                  </w:pPr>
                </w:p>
              </w:tc>
              <w:tc>
                <w:tcPr>
                  <w:tcW w:w="410" w:type="pct"/>
                  <w:noWrap w:val="0"/>
                  <w:vAlign w:val="center"/>
                </w:tcPr>
                <w:p>
                  <w:pPr>
                    <w:adjustRightInd w:val="0"/>
                    <w:snapToGrid w:val="0"/>
                    <w:jc w:val="center"/>
                    <w:rPr>
                      <w:color w:val="FF0000"/>
                      <w:szCs w:val="21"/>
                    </w:rPr>
                  </w:pPr>
                  <w:r>
                    <w:rPr>
                      <w:color w:val="FF0000"/>
                      <w:szCs w:val="21"/>
                    </w:rPr>
                    <w:t>夜间</w:t>
                  </w:r>
                </w:p>
              </w:tc>
              <w:tc>
                <w:tcPr>
                  <w:tcW w:w="410"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77</w:t>
                  </w:r>
                </w:p>
              </w:tc>
              <w:tc>
                <w:tcPr>
                  <w:tcW w:w="430"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7</w:t>
                  </w:r>
                </w:p>
              </w:tc>
              <w:tc>
                <w:tcPr>
                  <w:tcW w:w="401"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10</w:t>
                  </w:r>
                </w:p>
              </w:tc>
              <w:tc>
                <w:tcPr>
                  <w:tcW w:w="486" w:type="pct"/>
                  <w:vMerge w:val="continue"/>
                  <w:noWrap w:val="0"/>
                  <w:vAlign w:val="center"/>
                </w:tcPr>
                <w:p>
                  <w:pPr>
                    <w:widowControl/>
                    <w:adjustRightInd w:val="0"/>
                    <w:snapToGrid w:val="0"/>
                    <w:jc w:val="center"/>
                    <w:rPr>
                      <w:color w:val="FF0000"/>
                      <w:szCs w:val="21"/>
                    </w:rPr>
                  </w:pPr>
                </w:p>
              </w:tc>
              <w:tc>
                <w:tcPr>
                  <w:tcW w:w="414" w:type="pct"/>
                  <w:vMerge w:val="continue"/>
                  <w:noWrap w:val="0"/>
                  <w:vAlign w:val="center"/>
                </w:tcPr>
                <w:p>
                  <w:pPr>
                    <w:widowControl/>
                    <w:adjustRightInd w:val="0"/>
                    <w:snapToGrid w:val="0"/>
                    <w:jc w:val="center"/>
                    <w:rPr>
                      <w:color w:val="FF0000"/>
                      <w:szCs w:val="21"/>
                    </w:rPr>
                  </w:pPr>
                </w:p>
              </w:tc>
              <w:tc>
                <w:tcPr>
                  <w:tcW w:w="361" w:type="pct"/>
                  <w:vMerge w:val="continue"/>
                  <w:noWrap w:val="0"/>
                  <w:vAlign w:val="center"/>
                </w:tcPr>
                <w:p>
                  <w:pPr>
                    <w:widowControl/>
                    <w:adjustRightInd w:val="0"/>
                    <w:snapToGrid w:val="0"/>
                    <w:jc w:val="center"/>
                    <w:rPr>
                      <w:color w:val="FF0000"/>
                      <w:szCs w:val="21"/>
                    </w:rPr>
                  </w:pPr>
                </w:p>
              </w:tc>
              <w:tc>
                <w:tcPr>
                  <w:tcW w:w="836" w:type="pct"/>
                  <w:vMerge w:val="continue"/>
                  <w:noWrap w:val="0"/>
                  <w:vAlign w:val="center"/>
                </w:tcPr>
                <w:p>
                  <w:pPr>
                    <w:adjustRightInd w:val="0"/>
                    <w:snapToGrid w:val="0"/>
                    <w:jc w:val="cente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1" w:hRule="atLeast"/>
                <w:jc w:val="center"/>
              </w:trPr>
              <w:tc>
                <w:tcPr>
                  <w:tcW w:w="396" w:type="pct"/>
                  <w:vMerge w:val="restar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滨河东路改造段</w:t>
                  </w:r>
                </w:p>
              </w:tc>
              <w:tc>
                <w:tcPr>
                  <w:tcW w:w="408" w:type="pct"/>
                  <w:vMerge w:val="restar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40</w:t>
                  </w:r>
                </w:p>
              </w:tc>
              <w:tc>
                <w:tcPr>
                  <w:tcW w:w="440" w:type="pct"/>
                  <w:vMerge w:val="restart"/>
                  <w:noWrap w:val="0"/>
                  <w:vAlign w:val="center"/>
                </w:tcPr>
                <w:p>
                  <w:pPr>
                    <w:adjustRightInd w:val="0"/>
                    <w:snapToGrid w:val="0"/>
                    <w:jc w:val="center"/>
                    <w:rPr>
                      <w:color w:val="FF0000"/>
                      <w:szCs w:val="21"/>
                    </w:rPr>
                  </w:pPr>
                  <w:r>
                    <w:rPr>
                      <w:color w:val="FF0000"/>
                      <w:szCs w:val="21"/>
                    </w:rPr>
                    <w:t>20</w:t>
                  </w:r>
                  <w:r>
                    <w:rPr>
                      <w:rFonts w:hint="eastAsia"/>
                      <w:color w:val="FF0000"/>
                      <w:szCs w:val="21"/>
                      <w:lang w:val="en-US" w:eastAsia="zh-CN"/>
                    </w:rPr>
                    <w:t>24</w:t>
                  </w:r>
                </w:p>
              </w:tc>
              <w:tc>
                <w:tcPr>
                  <w:tcW w:w="410" w:type="pct"/>
                  <w:noWrap w:val="0"/>
                  <w:vAlign w:val="center"/>
                </w:tcPr>
                <w:p>
                  <w:pPr>
                    <w:adjustRightInd w:val="0"/>
                    <w:snapToGrid w:val="0"/>
                    <w:jc w:val="center"/>
                    <w:rPr>
                      <w:color w:val="FF0000"/>
                      <w:szCs w:val="21"/>
                    </w:rPr>
                  </w:pPr>
                  <w:r>
                    <w:rPr>
                      <w:color w:val="FF0000"/>
                      <w:szCs w:val="21"/>
                    </w:rPr>
                    <w:t>昼间</w:t>
                  </w:r>
                </w:p>
              </w:tc>
              <w:tc>
                <w:tcPr>
                  <w:tcW w:w="410"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153</w:t>
                  </w:r>
                </w:p>
              </w:tc>
              <w:tc>
                <w:tcPr>
                  <w:tcW w:w="430"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16</w:t>
                  </w:r>
                </w:p>
              </w:tc>
              <w:tc>
                <w:tcPr>
                  <w:tcW w:w="401"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14</w:t>
                  </w:r>
                </w:p>
              </w:tc>
              <w:tc>
                <w:tcPr>
                  <w:tcW w:w="486" w:type="pct"/>
                  <w:vMerge w:val="restart"/>
                  <w:noWrap w:val="0"/>
                  <w:vAlign w:val="center"/>
                </w:tcPr>
                <w:p>
                  <w:pPr>
                    <w:adjustRightInd w:val="0"/>
                    <w:snapToGrid w:val="0"/>
                    <w:jc w:val="center"/>
                    <w:rPr>
                      <w:color w:val="FF0000"/>
                      <w:szCs w:val="21"/>
                    </w:rPr>
                  </w:pPr>
                  <w:r>
                    <w:rPr>
                      <w:color w:val="FF0000"/>
                      <w:szCs w:val="21"/>
                    </w:rPr>
                    <w:t>沥青</w:t>
                  </w:r>
                </w:p>
                <w:p>
                  <w:pPr>
                    <w:adjustRightInd w:val="0"/>
                    <w:snapToGrid w:val="0"/>
                    <w:jc w:val="center"/>
                    <w:rPr>
                      <w:color w:val="FF0000"/>
                      <w:szCs w:val="21"/>
                    </w:rPr>
                  </w:pPr>
                  <w:r>
                    <w:rPr>
                      <w:color w:val="FF0000"/>
                      <w:szCs w:val="21"/>
                    </w:rPr>
                    <w:t>混凝</w:t>
                  </w:r>
                </w:p>
                <w:p>
                  <w:pPr>
                    <w:adjustRightInd w:val="0"/>
                    <w:snapToGrid w:val="0"/>
                    <w:jc w:val="center"/>
                    <w:rPr>
                      <w:color w:val="FF0000"/>
                      <w:szCs w:val="21"/>
                    </w:rPr>
                  </w:pPr>
                  <w:r>
                    <w:rPr>
                      <w:color w:val="FF0000"/>
                      <w:szCs w:val="21"/>
                    </w:rPr>
                    <w:t>土</w:t>
                  </w:r>
                </w:p>
              </w:tc>
              <w:tc>
                <w:tcPr>
                  <w:tcW w:w="414" w:type="pct"/>
                  <w:vMerge w:val="restar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21</w:t>
                  </w:r>
                </w:p>
              </w:tc>
              <w:tc>
                <w:tcPr>
                  <w:tcW w:w="361" w:type="pct"/>
                  <w:vMerge w:val="restart"/>
                  <w:noWrap w:val="0"/>
                  <w:vAlign w:val="center"/>
                </w:tcPr>
                <w:p>
                  <w:pPr>
                    <w:adjustRightInd w:val="0"/>
                    <w:snapToGrid w:val="0"/>
                    <w:ind w:firstLine="105" w:firstLineChars="50"/>
                    <w:jc w:val="center"/>
                    <w:rPr>
                      <w:rFonts w:hint="eastAsia" w:eastAsia="宋体"/>
                      <w:color w:val="FF0000"/>
                      <w:szCs w:val="21"/>
                      <w:lang w:eastAsia="zh-CN"/>
                    </w:rPr>
                  </w:pPr>
                  <w:r>
                    <w:rPr>
                      <w:rFonts w:hint="eastAsia"/>
                      <w:color w:val="FF0000"/>
                      <w:szCs w:val="21"/>
                      <w:lang w:val="en-US" w:eastAsia="zh-CN"/>
                    </w:rPr>
                    <w:t>4</w:t>
                  </w:r>
                </w:p>
              </w:tc>
              <w:tc>
                <w:tcPr>
                  <w:tcW w:w="836" w:type="pct"/>
                  <w:vMerge w:val="restar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-6，</w:t>
                  </w:r>
                  <w:r>
                    <w:rPr>
                      <w:color w:val="FF0000"/>
                      <w:szCs w:val="21"/>
                    </w:rPr>
                    <w:t>-</w:t>
                  </w:r>
                  <w:r>
                    <w:rPr>
                      <w:rFonts w:hint="eastAsia"/>
                      <w:color w:val="FF0000"/>
                      <w:szCs w:val="21"/>
                      <w:lang w:val="en-US" w:eastAsia="zh-CN"/>
                    </w:rPr>
                    <w:t>2</w:t>
                  </w:r>
                  <w:r>
                    <w:rPr>
                      <w:color w:val="FF0000"/>
                      <w:szCs w:val="21"/>
                    </w:rPr>
                    <w:t>，</w:t>
                  </w:r>
                  <w:r>
                    <w:rPr>
                      <w:rFonts w:hint="eastAsia"/>
                      <w:color w:val="FF0000"/>
                      <w:szCs w:val="21"/>
                      <w:lang w:val="en-US" w:eastAsia="zh-CN"/>
                    </w:rPr>
                    <w:t>2，6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1" w:hRule="atLeast"/>
                <w:jc w:val="center"/>
              </w:trPr>
              <w:tc>
                <w:tcPr>
                  <w:tcW w:w="396" w:type="pct"/>
                  <w:vMerge w:val="continue"/>
                  <w:noWrap w:val="0"/>
                  <w:vAlign w:val="center"/>
                </w:tcPr>
                <w:p>
                  <w:pPr>
                    <w:widowControl/>
                    <w:adjustRightInd w:val="0"/>
                    <w:snapToGrid w:val="0"/>
                    <w:jc w:val="center"/>
                    <w:rPr>
                      <w:color w:val="FF0000"/>
                      <w:szCs w:val="21"/>
                    </w:rPr>
                  </w:pPr>
                </w:p>
              </w:tc>
              <w:tc>
                <w:tcPr>
                  <w:tcW w:w="408" w:type="pct"/>
                  <w:vMerge w:val="continue"/>
                  <w:noWrap w:val="0"/>
                  <w:vAlign w:val="center"/>
                </w:tcPr>
                <w:p>
                  <w:pPr>
                    <w:widowControl/>
                    <w:adjustRightInd w:val="0"/>
                    <w:snapToGrid w:val="0"/>
                    <w:jc w:val="center"/>
                    <w:rPr>
                      <w:color w:val="FF0000"/>
                      <w:szCs w:val="21"/>
                    </w:rPr>
                  </w:pPr>
                </w:p>
              </w:tc>
              <w:tc>
                <w:tcPr>
                  <w:tcW w:w="440" w:type="pct"/>
                  <w:vMerge w:val="continue"/>
                  <w:noWrap w:val="0"/>
                  <w:vAlign w:val="center"/>
                </w:tcPr>
                <w:p>
                  <w:pPr>
                    <w:widowControl/>
                    <w:adjustRightInd w:val="0"/>
                    <w:snapToGrid w:val="0"/>
                    <w:jc w:val="center"/>
                    <w:rPr>
                      <w:color w:val="FF0000"/>
                      <w:szCs w:val="21"/>
                    </w:rPr>
                  </w:pPr>
                </w:p>
              </w:tc>
              <w:tc>
                <w:tcPr>
                  <w:tcW w:w="410" w:type="pct"/>
                  <w:noWrap w:val="0"/>
                  <w:vAlign w:val="center"/>
                </w:tcPr>
                <w:p>
                  <w:pPr>
                    <w:adjustRightInd w:val="0"/>
                    <w:snapToGrid w:val="0"/>
                    <w:jc w:val="center"/>
                    <w:rPr>
                      <w:color w:val="FF0000"/>
                      <w:szCs w:val="21"/>
                    </w:rPr>
                  </w:pPr>
                  <w:r>
                    <w:rPr>
                      <w:color w:val="FF0000"/>
                      <w:szCs w:val="21"/>
                    </w:rPr>
                    <w:t>夜间</w:t>
                  </w:r>
                </w:p>
              </w:tc>
              <w:tc>
                <w:tcPr>
                  <w:tcW w:w="410"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38</w:t>
                  </w:r>
                </w:p>
              </w:tc>
              <w:tc>
                <w:tcPr>
                  <w:tcW w:w="430"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w:t>
                  </w:r>
                </w:p>
              </w:tc>
              <w:tc>
                <w:tcPr>
                  <w:tcW w:w="401" w:type="pct"/>
                  <w:noWrap w:val="0"/>
                  <w:vAlign w:val="center"/>
                </w:tcPr>
                <w:p>
                  <w:pPr>
                    <w:adjustRightInd w:val="0"/>
                    <w:snapToGrid w:val="0"/>
                    <w:jc w:val="center"/>
                    <w:rPr>
                      <w:rFonts w:hint="eastAsia" w:eastAsia="宋体"/>
                      <w:color w:val="FF0000"/>
                      <w:szCs w:val="21"/>
                      <w:lang w:eastAsia="zh-CN"/>
                    </w:rPr>
                  </w:pPr>
                  <w:r>
                    <w:rPr>
                      <w:rFonts w:hint="eastAsia"/>
                      <w:color w:val="FF0000"/>
                      <w:szCs w:val="21"/>
                      <w:lang w:val="en-US" w:eastAsia="zh-CN"/>
                    </w:rPr>
                    <w:t>3</w:t>
                  </w:r>
                </w:p>
              </w:tc>
              <w:tc>
                <w:tcPr>
                  <w:tcW w:w="486" w:type="pct"/>
                  <w:vMerge w:val="continue"/>
                  <w:noWrap w:val="0"/>
                  <w:vAlign w:val="center"/>
                </w:tcPr>
                <w:p>
                  <w:pPr>
                    <w:widowControl/>
                    <w:adjustRightInd w:val="0"/>
                    <w:snapToGrid w:val="0"/>
                    <w:jc w:val="center"/>
                    <w:rPr>
                      <w:color w:val="FF0000"/>
                      <w:szCs w:val="21"/>
                    </w:rPr>
                  </w:pPr>
                </w:p>
              </w:tc>
              <w:tc>
                <w:tcPr>
                  <w:tcW w:w="414" w:type="pct"/>
                  <w:vMerge w:val="continue"/>
                  <w:noWrap w:val="0"/>
                  <w:vAlign w:val="center"/>
                </w:tcPr>
                <w:p>
                  <w:pPr>
                    <w:widowControl/>
                    <w:adjustRightInd w:val="0"/>
                    <w:snapToGrid w:val="0"/>
                    <w:jc w:val="center"/>
                    <w:rPr>
                      <w:color w:val="FF0000"/>
                      <w:szCs w:val="21"/>
                    </w:rPr>
                  </w:pPr>
                </w:p>
              </w:tc>
              <w:tc>
                <w:tcPr>
                  <w:tcW w:w="361" w:type="pct"/>
                  <w:vMerge w:val="continue"/>
                  <w:noWrap w:val="0"/>
                  <w:vAlign w:val="center"/>
                </w:tcPr>
                <w:p>
                  <w:pPr>
                    <w:widowControl/>
                    <w:adjustRightInd w:val="0"/>
                    <w:snapToGrid w:val="0"/>
                    <w:jc w:val="center"/>
                    <w:rPr>
                      <w:color w:val="FF0000"/>
                      <w:szCs w:val="21"/>
                    </w:rPr>
                  </w:pPr>
                </w:p>
              </w:tc>
              <w:tc>
                <w:tcPr>
                  <w:tcW w:w="836" w:type="pct"/>
                  <w:vMerge w:val="continue"/>
                  <w:noWrap w:val="0"/>
                  <w:vAlign w:val="center"/>
                </w:tcPr>
                <w:p>
                  <w:pPr>
                    <w:widowControl/>
                    <w:adjustRightInd w:val="0"/>
                    <w:snapToGrid w:val="0"/>
                    <w:jc w:val="cente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1" w:hRule="atLeast"/>
                <w:jc w:val="center"/>
              </w:trPr>
              <w:tc>
                <w:tcPr>
                  <w:tcW w:w="396" w:type="pct"/>
                  <w:vMerge w:val="continue"/>
                  <w:noWrap w:val="0"/>
                  <w:vAlign w:val="center"/>
                </w:tcPr>
                <w:p>
                  <w:pPr>
                    <w:widowControl/>
                    <w:adjustRightInd w:val="0"/>
                    <w:snapToGrid w:val="0"/>
                    <w:jc w:val="center"/>
                    <w:rPr>
                      <w:color w:val="FF0000"/>
                      <w:szCs w:val="21"/>
                    </w:rPr>
                  </w:pPr>
                </w:p>
              </w:tc>
              <w:tc>
                <w:tcPr>
                  <w:tcW w:w="408" w:type="pct"/>
                  <w:vMerge w:val="continue"/>
                  <w:noWrap w:val="0"/>
                  <w:vAlign w:val="center"/>
                </w:tcPr>
                <w:p>
                  <w:pPr>
                    <w:widowControl/>
                    <w:adjustRightInd w:val="0"/>
                    <w:snapToGrid w:val="0"/>
                    <w:jc w:val="center"/>
                    <w:rPr>
                      <w:color w:val="FF0000"/>
                      <w:szCs w:val="21"/>
                    </w:rPr>
                  </w:pPr>
                </w:p>
              </w:tc>
              <w:tc>
                <w:tcPr>
                  <w:tcW w:w="440" w:type="pct"/>
                  <w:vMerge w:val="restart"/>
                  <w:noWrap w:val="0"/>
                  <w:vAlign w:val="center"/>
                </w:tcPr>
                <w:p>
                  <w:pPr>
                    <w:adjustRightInd w:val="0"/>
                    <w:snapToGrid w:val="0"/>
                    <w:jc w:val="center"/>
                    <w:rPr>
                      <w:rFonts w:hint="default" w:eastAsia="宋体"/>
                      <w:color w:val="FF0000"/>
                      <w:szCs w:val="21"/>
                      <w:lang w:val="en-US" w:eastAsia="zh-CN"/>
                    </w:rPr>
                  </w:pPr>
                  <w:r>
                    <w:rPr>
                      <w:color w:val="FF0000"/>
                      <w:szCs w:val="21"/>
                    </w:rPr>
                    <w:t>20</w:t>
                  </w:r>
                  <w:r>
                    <w:rPr>
                      <w:rFonts w:hint="eastAsia"/>
                      <w:color w:val="FF0000"/>
                      <w:szCs w:val="21"/>
                      <w:lang w:val="en-US" w:eastAsia="zh-CN"/>
                    </w:rPr>
                    <w:t>30</w:t>
                  </w:r>
                </w:p>
              </w:tc>
              <w:tc>
                <w:tcPr>
                  <w:tcW w:w="410" w:type="pct"/>
                  <w:noWrap w:val="0"/>
                  <w:vAlign w:val="center"/>
                </w:tcPr>
                <w:p>
                  <w:pPr>
                    <w:adjustRightInd w:val="0"/>
                    <w:snapToGrid w:val="0"/>
                    <w:jc w:val="center"/>
                    <w:rPr>
                      <w:color w:val="FF0000"/>
                      <w:szCs w:val="21"/>
                    </w:rPr>
                  </w:pPr>
                  <w:r>
                    <w:rPr>
                      <w:color w:val="FF0000"/>
                      <w:szCs w:val="21"/>
                    </w:rPr>
                    <w:t>昼间</w:t>
                  </w:r>
                </w:p>
              </w:tc>
              <w:tc>
                <w:tcPr>
                  <w:tcW w:w="410"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219</w:t>
                  </w:r>
                </w:p>
              </w:tc>
              <w:tc>
                <w:tcPr>
                  <w:tcW w:w="430"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19</w:t>
                  </w:r>
                </w:p>
              </w:tc>
              <w:tc>
                <w:tcPr>
                  <w:tcW w:w="401"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25</w:t>
                  </w:r>
                </w:p>
              </w:tc>
              <w:tc>
                <w:tcPr>
                  <w:tcW w:w="486" w:type="pct"/>
                  <w:vMerge w:val="continue"/>
                  <w:noWrap w:val="0"/>
                  <w:vAlign w:val="center"/>
                </w:tcPr>
                <w:p>
                  <w:pPr>
                    <w:widowControl/>
                    <w:adjustRightInd w:val="0"/>
                    <w:snapToGrid w:val="0"/>
                    <w:jc w:val="center"/>
                    <w:rPr>
                      <w:color w:val="FF0000"/>
                      <w:szCs w:val="21"/>
                    </w:rPr>
                  </w:pPr>
                </w:p>
              </w:tc>
              <w:tc>
                <w:tcPr>
                  <w:tcW w:w="414" w:type="pct"/>
                  <w:vMerge w:val="continue"/>
                  <w:noWrap w:val="0"/>
                  <w:vAlign w:val="center"/>
                </w:tcPr>
                <w:p>
                  <w:pPr>
                    <w:widowControl/>
                    <w:adjustRightInd w:val="0"/>
                    <w:snapToGrid w:val="0"/>
                    <w:jc w:val="center"/>
                    <w:rPr>
                      <w:color w:val="FF0000"/>
                      <w:szCs w:val="21"/>
                    </w:rPr>
                  </w:pPr>
                </w:p>
              </w:tc>
              <w:tc>
                <w:tcPr>
                  <w:tcW w:w="361" w:type="pct"/>
                  <w:vMerge w:val="continue"/>
                  <w:noWrap w:val="0"/>
                  <w:vAlign w:val="center"/>
                </w:tcPr>
                <w:p>
                  <w:pPr>
                    <w:widowControl/>
                    <w:adjustRightInd w:val="0"/>
                    <w:snapToGrid w:val="0"/>
                    <w:jc w:val="center"/>
                    <w:rPr>
                      <w:color w:val="FF0000"/>
                      <w:szCs w:val="21"/>
                    </w:rPr>
                  </w:pPr>
                </w:p>
              </w:tc>
              <w:tc>
                <w:tcPr>
                  <w:tcW w:w="836" w:type="pct"/>
                  <w:vMerge w:val="continue"/>
                  <w:noWrap w:val="0"/>
                  <w:vAlign w:val="center"/>
                </w:tcPr>
                <w:p>
                  <w:pPr>
                    <w:widowControl/>
                    <w:adjustRightInd w:val="0"/>
                    <w:snapToGrid w:val="0"/>
                    <w:jc w:val="cente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1" w:hRule="atLeast"/>
                <w:jc w:val="center"/>
              </w:trPr>
              <w:tc>
                <w:tcPr>
                  <w:tcW w:w="396" w:type="pct"/>
                  <w:vMerge w:val="continue"/>
                  <w:noWrap w:val="0"/>
                  <w:vAlign w:val="center"/>
                </w:tcPr>
                <w:p>
                  <w:pPr>
                    <w:widowControl/>
                    <w:adjustRightInd w:val="0"/>
                    <w:snapToGrid w:val="0"/>
                    <w:jc w:val="center"/>
                    <w:rPr>
                      <w:color w:val="FF0000"/>
                      <w:szCs w:val="21"/>
                    </w:rPr>
                  </w:pPr>
                </w:p>
              </w:tc>
              <w:tc>
                <w:tcPr>
                  <w:tcW w:w="408" w:type="pct"/>
                  <w:vMerge w:val="continue"/>
                  <w:noWrap w:val="0"/>
                  <w:vAlign w:val="center"/>
                </w:tcPr>
                <w:p>
                  <w:pPr>
                    <w:widowControl/>
                    <w:adjustRightInd w:val="0"/>
                    <w:snapToGrid w:val="0"/>
                    <w:jc w:val="center"/>
                    <w:rPr>
                      <w:color w:val="FF0000"/>
                      <w:szCs w:val="21"/>
                    </w:rPr>
                  </w:pPr>
                </w:p>
              </w:tc>
              <w:tc>
                <w:tcPr>
                  <w:tcW w:w="440" w:type="pct"/>
                  <w:vMerge w:val="continue"/>
                  <w:noWrap w:val="0"/>
                  <w:vAlign w:val="center"/>
                </w:tcPr>
                <w:p>
                  <w:pPr>
                    <w:widowControl/>
                    <w:adjustRightInd w:val="0"/>
                    <w:snapToGrid w:val="0"/>
                    <w:jc w:val="center"/>
                    <w:rPr>
                      <w:color w:val="FF0000"/>
                      <w:szCs w:val="21"/>
                    </w:rPr>
                  </w:pPr>
                </w:p>
              </w:tc>
              <w:tc>
                <w:tcPr>
                  <w:tcW w:w="410" w:type="pct"/>
                  <w:noWrap w:val="0"/>
                  <w:vAlign w:val="center"/>
                </w:tcPr>
                <w:p>
                  <w:pPr>
                    <w:adjustRightInd w:val="0"/>
                    <w:snapToGrid w:val="0"/>
                    <w:jc w:val="center"/>
                    <w:rPr>
                      <w:color w:val="FF0000"/>
                      <w:szCs w:val="21"/>
                    </w:rPr>
                  </w:pPr>
                  <w:r>
                    <w:rPr>
                      <w:color w:val="FF0000"/>
                      <w:szCs w:val="21"/>
                    </w:rPr>
                    <w:t>夜间</w:t>
                  </w:r>
                </w:p>
              </w:tc>
              <w:tc>
                <w:tcPr>
                  <w:tcW w:w="410"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55</w:t>
                  </w:r>
                </w:p>
              </w:tc>
              <w:tc>
                <w:tcPr>
                  <w:tcW w:w="430"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w:t>
                  </w:r>
                </w:p>
              </w:tc>
              <w:tc>
                <w:tcPr>
                  <w:tcW w:w="401" w:type="pct"/>
                  <w:noWrap w:val="0"/>
                  <w:vAlign w:val="center"/>
                </w:tcPr>
                <w:p>
                  <w:pPr>
                    <w:adjustRightInd w:val="0"/>
                    <w:snapToGrid w:val="0"/>
                    <w:jc w:val="center"/>
                    <w:rPr>
                      <w:rFonts w:hint="eastAsia" w:eastAsia="宋体"/>
                      <w:color w:val="FF0000"/>
                      <w:szCs w:val="21"/>
                      <w:lang w:val="en-US" w:eastAsia="zh-CN"/>
                    </w:rPr>
                  </w:pPr>
                  <w:r>
                    <w:rPr>
                      <w:rFonts w:hint="eastAsia"/>
                      <w:color w:val="FF0000"/>
                      <w:szCs w:val="21"/>
                      <w:lang w:val="en-US" w:eastAsia="zh-CN"/>
                    </w:rPr>
                    <w:t>7</w:t>
                  </w:r>
                </w:p>
              </w:tc>
              <w:tc>
                <w:tcPr>
                  <w:tcW w:w="486" w:type="pct"/>
                  <w:vMerge w:val="continue"/>
                  <w:noWrap w:val="0"/>
                  <w:vAlign w:val="center"/>
                </w:tcPr>
                <w:p>
                  <w:pPr>
                    <w:widowControl/>
                    <w:adjustRightInd w:val="0"/>
                    <w:snapToGrid w:val="0"/>
                    <w:jc w:val="center"/>
                    <w:rPr>
                      <w:color w:val="FF0000"/>
                      <w:szCs w:val="21"/>
                    </w:rPr>
                  </w:pPr>
                </w:p>
              </w:tc>
              <w:tc>
                <w:tcPr>
                  <w:tcW w:w="414" w:type="pct"/>
                  <w:vMerge w:val="continue"/>
                  <w:noWrap w:val="0"/>
                  <w:vAlign w:val="center"/>
                </w:tcPr>
                <w:p>
                  <w:pPr>
                    <w:widowControl/>
                    <w:adjustRightInd w:val="0"/>
                    <w:snapToGrid w:val="0"/>
                    <w:jc w:val="center"/>
                    <w:rPr>
                      <w:color w:val="FF0000"/>
                      <w:szCs w:val="21"/>
                    </w:rPr>
                  </w:pPr>
                </w:p>
              </w:tc>
              <w:tc>
                <w:tcPr>
                  <w:tcW w:w="361" w:type="pct"/>
                  <w:vMerge w:val="continue"/>
                  <w:noWrap w:val="0"/>
                  <w:vAlign w:val="center"/>
                </w:tcPr>
                <w:p>
                  <w:pPr>
                    <w:widowControl/>
                    <w:adjustRightInd w:val="0"/>
                    <w:snapToGrid w:val="0"/>
                    <w:jc w:val="center"/>
                    <w:rPr>
                      <w:color w:val="FF0000"/>
                      <w:szCs w:val="21"/>
                    </w:rPr>
                  </w:pPr>
                </w:p>
              </w:tc>
              <w:tc>
                <w:tcPr>
                  <w:tcW w:w="836" w:type="pct"/>
                  <w:vMerge w:val="continue"/>
                  <w:noWrap w:val="0"/>
                  <w:vAlign w:val="center"/>
                </w:tcPr>
                <w:p>
                  <w:pPr>
                    <w:widowControl/>
                    <w:adjustRightInd w:val="0"/>
                    <w:snapToGrid w:val="0"/>
                    <w:jc w:val="cente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1" w:hRule="atLeast"/>
                <w:jc w:val="center"/>
              </w:trPr>
              <w:tc>
                <w:tcPr>
                  <w:tcW w:w="396" w:type="pct"/>
                  <w:vMerge w:val="continue"/>
                  <w:noWrap w:val="0"/>
                  <w:vAlign w:val="center"/>
                </w:tcPr>
                <w:p>
                  <w:pPr>
                    <w:widowControl/>
                    <w:adjustRightInd w:val="0"/>
                    <w:snapToGrid w:val="0"/>
                    <w:jc w:val="center"/>
                    <w:rPr>
                      <w:color w:val="FF0000"/>
                      <w:szCs w:val="21"/>
                    </w:rPr>
                  </w:pPr>
                </w:p>
              </w:tc>
              <w:tc>
                <w:tcPr>
                  <w:tcW w:w="408" w:type="pct"/>
                  <w:vMerge w:val="continue"/>
                  <w:noWrap w:val="0"/>
                  <w:vAlign w:val="center"/>
                </w:tcPr>
                <w:p>
                  <w:pPr>
                    <w:widowControl/>
                    <w:adjustRightInd w:val="0"/>
                    <w:snapToGrid w:val="0"/>
                    <w:jc w:val="center"/>
                    <w:rPr>
                      <w:color w:val="FF0000"/>
                      <w:szCs w:val="21"/>
                    </w:rPr>
                  </w:pPr>
                </w:p>
              </w:tc>
              <w:tc>
                <w:tcPr>
                  <w:tcW w:w="440" w:type="pct"/>
                  <w:vMerge w:val="restart"/>
                  <w:noWrap w:val="0"/>
                  <w:vAlign w:val="center"/>
                </w:tcPr>
                <w:p>
                  <w:pPr>
                    <w:adjustRightInd w:val="0"/>
                    <w:snapToGrid w:val="0"/>
                    <w:jc w:val="center"/>
                    <w:rPr>
                      <w:rFonts w:hint="eastAsia" w:eastAsia="宋体"/>
                      <w:color w:val="FF0000"/>
                      <w:szCs w:val="21"/>
                      <w:lang w:eastAsia="zh-CN"/>
                    </w:rPr>
                  </w:pPr>
                  <w:r>
                    <w:rPr>
                      <w:color w:val="FF0000"/>
                      <w:szCs w:val="21"/>
                    </w:rPr>
                    <w:t>203</w:t>
                  </w:r>
                  <w:r>
                    <w:rPr>
                      <w:rFonts w:hint="eastAsia"/>
                      <w:color w:val="FF0000"/>
                      <w:szCs w:val="21"/>
                      <w:lang w:val="en-US" w:eastAsia="zh-CN"/>
                    </w:rPr>
                    <w:t>8</w:t>
                  </w:r>
                </w:p>
              </w:tc>
              <w:tc>
                <w:tcPr>
                  <w:tcW w:w="410" w:type="pct"/>
                  <w:noWrap w:val="0"/>
                  <w:vAlign w:val="center"/>
                </w:tcPr>
                <w:p>
                  <w:pPr>
                    <w:adjustRightInd w:val="0"/>
                    <w:snapToGrid w:val="0"/>
                    <w:jc w:val="center"/>
                    <w:rPr>
                      <w:color w:val="FF0000"/>
                      <w:szCs w:val="21"/>
                    </w:rPr>
                  </w:pPr>
                  <w:r>
                    <w:rPr>
                      <w:color w:val="FF0000"/>
                      <w:szCs w:val="21"/>
                    </w:rPr>
                    <w:t>昼间</w:t>
                  </w:r>
                </w:p>
              </w:tc>
              <w:tc>
                <w:tcPr>
                  <w:tcW w:w="410"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308</w:t>
                  </w:r>
                </w:p>
              </w:tc>
              <w:tc>
                <w:tcPr>
                  <w:tcW w:w="430"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30</w:t>
                  </w:r>
                </w:p>
              </w:tc>
              <w:tc>
                <w:tcPr>
                  <w:tcW w:w="401"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39</w:t>
                  </w:r>
                </w:p>
              </w:tc>
              <w:tc>
                <w:tcPr>
                  <w:tcW w:w="486" w:type="pct"/>
                  <w:vMerge w:val="continue"/>
                  <w:noWrap w:val="0"/>
                  <w:vAlign w:val="center"/>
                </w:tcPr>
                <w:p>
                  <w:pPr>
                    <w:widowControl/>
                    <w:adjustRightInd w:val="0"/>
                    <w:snapToGrid w:val="0"/>
                    <w:jc w:val="center"/>
                    <w:rPr>
                      <w:color w:val="FF0000"/>
                      <w:szCs w:val="21"/>
                    </w:rPr>
                  </w:pPr>
                </w:p>
              </w:tc>
              <w:tc>
                <w:tcPr>
                  <w:tcW w:w="414" w:type="pct"/>
                  <w:vMerge w:val="continue"/>
                  <w:noWrap w:val="0"/>
                  <w:vAlign w:val="center"/>
                </w:tcPr>
                <w:p>
                  <w:pPr>
                    <w:widowControl/>
                    <w:adjustRightInd w:val="0"/>
                    <w:snapToGrid w:val="0"/>
                    <w:jc w:val="center"/>
                    <w:rPr>
                      <w:color w:val="FF0000"/>
                      <w:szCs w:val="21"/>
                    </w:rPr>
                  </w:pPr>
                </w:p>
              </w:tc>
              <w:tc>
                <w:tcPr>
                  <w:tcW w:w="361" w:type="pct"/>
                  <w:vMerge w:val="continue"/>
                  <w:noWrap w:val="0"/>
                  <w:vAlign w:val="center"/>
                </w:tcPr>
                <w:p>
                  <w:pPr>
                    <w:widowControl/>
                    <w:adjustRightInd w:val="0"/>
                    <w:snapToGrid w:val="0"/>
                    <w:jc w:val="center"/>
                    <w:rPr>
                      <w:color w:val="FF0000"/>
                      <w:szCs w:val="21"/>
                    </w:rPr>
                  </w:pPr>
                </w:p>
              </w:tc>
              <w:tc>
                <w:tcPr>
                  <w:tcW w:w="836" w:type="pct"/>
                  <w:vMerge w:val="continue"/>
                  <w:noWrap w:val="0"/>
                  <w:vAlign w:val="center"/>
                </w:tcPr>
                <w:p>
                  <w:pPr>
                    <w:adjustRightInd w:val="0"/>
                    <w:snapToGrid w:val="0"/>
                    <w:jc w:val="cente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1" w:hRule="atLeast"/>
                <w:jc w:val="center"/>
              </w:trPr>
              <w:tc>
                <w:tcPr>
                  <w:tcW w:w="396" w:type="pct"/>
                  <w:vMerge w:val="continue"/>
                  <w:noWrap w:val="0"/>
                  <w:vAlign w:val="center"/>
                </w:tcPr>
                <w:p>
                  <w:pPr>
                    <w:widowControl/>
                    <w:adjustRightInd w:val="0"/>
                    <w:snapToGrid w:val="0"/>
                    <w:jc w:val="center"/>
                    <w:rPr>
                      <w:color w:val="FF0000"/>
                      <w:szCs w:val="21"/>
                    </w:rPr>
                  </w:pPr>
                </w:p>
              </w:tc>
              <w:tc>
                <w:tcPr>
                  <w:tcW w:w="408" w:type="pct"/>
                  <w:vMerge w:val="continue"/>
                  <w:noWrap w:val="0"/>
                  <w:vAlign w:val="center"/>
                </w:tcPr>
                <w:p>
                  <w:pPr>
                    <w:widowControl/>
                    <w:adjustRightInd w:val="0"/>
                    <w:snapToGrid w:val="0"/>
                    <w:jc w:val="center"/>
                    <w:rPr>
                      <w:color w:val="FF0000"/>
                      <w:szCs w:val="21"/>
                    </w:rPr>
                  </w:pPr>
                </w:p>
              </w:tc>
              <w:tc>
                <w:tcPr>
                  <w:tcW w:w="440" w:type="pct"/>
                  <w:vMerge w:val="continue"/>
                  <w:noWrap w:val="0"/>
                  <w:vAlign w:val="center"/>
                </w:tcPr>
                <w:p>
                  <w:pPr>
                    <w:widowControl/>
                    <w:adjustRightInd w:val="0"/>
                    <w:snapToGrid w:val="0"/>
                    <w:jc w:val="center"/>
                    <w:rPr>
                      <w:color w:val="FF0000"/>
                      <w:szCs w:val="21"/>
                    </w:rPr>
                  </w:pPr>
                </w:p>
              </w:tc>
              <w:tc>
                <w:tcPr>
                  <w:tcW w:w="410" w:type="pct"/>
                  <w:noWrap w:val="0"/>
                  <w:vAlign w:val="center"/>
                </w:tcPr>
                <w:p>
                  <w:pPr>
                    <w:adjustRightInd w:val="0"/>
                    <w:snapToGrid w:val="0"/>
                    <w:jc w:val="center"/>
                    <w:rPr>
                      <w:color w:val="FF0000"/>
                      <w:szCs w:val="21"/>
                    </w:rPr>
                  </w:pPr>
                  <w:r>
                    <w:rPr>
                      <w:color w:val="FF0000"/>
                      <w:szCs w:val="21"/>
                    </w:rPr>
                    <w:t>夜间</w:t>
                  </w:r>
                </w:p>
              </w:tc>
              <w:tc>
                <w:tcPr>
                  <w:tcW w:w="410"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77</w:t>
                  </w:r>
                </w:p>
              </w:tc>
              <w:tc>
                <w:tcPr>
                  <w:tcW w:w="430"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7</w:t>
                  </w:r>
                </w:p>
              </w:tc>
              <w:tc>
                <w:tcPr>
                  <w:tcW w:w="401" w:type="pct"/>
                  <w:noWrap w:val="0"/>
                  <w:vAlign w:val="center"/>
                </w:tcPr>
                <w:p>
                  <w:pPr>
                    <w:adjustRightInd w:val="0"/>
                    <w:snapToGrid w:val="0"/>
                    <w:jc w:val="center"/>
                    <w:rPr>
                      <w:rFonts w:hint="eastAsia" w:eastAsia="宋体"/>
                      <w:color w:val="FF0000"/>
                      <w:szCs w:val="21"/>
                      <w:lang w:val="en-US" w:eastAsia="zh-CN"/>
                    </w:rPr>
                  </w:pPr>
                  <w:r>
                    <w:rPr>
                      <w:rFonts w:hint="eastAsia"/>
                      <w:color w:val="FF0000"/>
                      <w:szCs w:val="21"/>
                      <w:lang w:val="en-US" w:eastAsia="zh-CN"/>
                    </w:rPr>
                    <w:t>10</w:t>
                  </w:r>
                </w:p>
              </w:tc>
              <w:tc>
                <w:tcPr>
                  <w:tcW w:w="486" w:type="pct"/>
                  <w:vMerge w:val="continue"/>
                  <w:noWrap w:val="0"/>
                  <w:vAlign w:val="center"/>
                </w:tcPr>
                <w:p>
                  <w:pPr>
                    <w:widowControl/>
                    <w:adjustRightInd w:val="0"/>
                    <w:snapToGrid w:val="0"/>
                    <w:jc w:val="center"/>
                    <w:rPr>
                      <w:color w:val="FF0000"/>
                      <w:szCs w:val="21"/>
                    </w:rPr>
                  </w:pPr>
                </w:p>
              </w:tc>
              <w:tc>
                <w:tcPr>
                  <w:tcW w:w="414" w:type="pct"/>
                  <w:vMerge w:val="continue"/>
                  <w:noWrap w:val="0"/>
                  <w:vAlign w:val="center"/>
                </w:tcPr>
                <w:p>
                  <w:pPr>
                    <w:widowControl/>
                    <w:adjustRightInd w:val="0"/>
                    <w:snapToGrid w:val="0"/>
                    <w:jc w:val="center"/>
                    <w:rPr>
                      <w:color w:val="FF0000"/>
                      <w:szCs w:val="21"/>
                    </w:rPr>
                  </w:pPr>
                </w:p>
              </w:tc>
              <w:tc>
                <w:tcPr>
                  <w:tcW w:w="361" w:type="pct"/>
                  <w:vMerge w:val="continue"/>
                  <w:noWrap w:val="0"/>
                  <w:vAlign w:val="center"/>
                </w:tcPr>
                <w:p>
                  <w:pPr>
                    <w:widowControl/>
                    <w:adjustRightInd w:val="0"/>
                    <w:snapToGrid w:val="0"/>
                    <w:jc w:val="center"/>
                    <w:rPr>
                      <w:color w:val="FF0000"/>
                      <w:szCs w:val="21"/>
                    </w:rPr>
                  </w:pPr>
                </w:p>
              </w:tc>
              <w:tc>
                <w:tcPr>
                  <w:tcW w:w="836" w:type="pct"/>
                  <w:vMerge w:val="continue"/>
                  <w:noWrap w:val="0"/>
                  <w:vAlign w:val="center"/>
                </w:tcPr>
                <w:p>
                  <w:pPr>
                    <w:adjustRightInd w:val="0"/>
                    <w:snapToGrid w:val="0"/>
                    <w:jc w:val="cente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1" w:hRule="atLeast"/>
                <w:jc w:val="center"/>
              </w:trPr>
              <w:tc>
                <w:tcPr>
                  <w:tcW w:w="396" w:type="pct"/>
                  <w:vMerge w:val="restar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滨河西路改造段</w:t>
                  </w:r>
                </w:p>
              </w:tc>
              <w:tc>
                <w:tcPr>
                  <w:tcW w:w="408" w:type="pct"/>
                  <w:vMerge w:val="restar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40</w:t>
                  </w:r>
                </w:p>
              </w:tc>
              <w:tc>
                <w:tcPr>
                  <w:tcW w:w="440" w:type="pct"/>
                  <w:vMerge w:val="restart"/>
                  <w:noWrap w:val="0"/>
                  <w:vAlign w:val="center"/>
                </w:tcPr>
                <w:p>
                  <w:pPr>
                    <w:adjustRightInd w:val="0"/>
                    <w:snapToGrid w:val="0"/>
                    <w:jc w:val="center"/>
                    <w:rPr>
                      <w:color w:val="FF0000"/>
                      <w:szCs w:val="21"/>
                    </w:rPr>
                  </w:pPr>
                  <w:r>
                    <w:rPr>
                      <w:color w:val="FF0000"/>
                      <w:szCs w:val="21"/>
                    </w:rPr>
                    <w:t>20</w:t>
                  </w:r>
                  <w:r>
                    <w:rPr>
                      <w:rFonts w:hint="eastAsia"/>
                      <w:color w:val="FF0000"/>
                      <w:szCs w:val="21"/>
                      <w:lang w:val="en-US" w:eastAsia="zh-CN"/>
                    </w:rPr>
                    <w:t>24</w:t>
                  </w:r>
                </w:p>
              </w:tc>
              <w:tc>
                <w:tcPr>
                  <w:tcW w:w="410" w:type="pct"/>
                  <w:noWrap w:val="0"/>
                  <w:vAlign w:val="center"/>
                </w:tcPr>
                <w:p>
                  <w:pPr>
                    <w:adjustRightInd w:val="0"/>
                    <w:snapToGrid w:val="0"/>
                    <w:jc w:val="center"/>
                    <w:rPr>
                      <w:color w:val="FF0000"/>
                      <w:szCs w:val="21"/>
                    </w:rPr>
                  </w:pPr>
                  <w:r>
                    <w:rPr>
                      <w:color w:val="FF0000"/>
                      <w:szCs w:val="21"/>
                    </w:rPr>
                    <w:t>昼间</w:t>
                  </w:r>
                </w:p>
              </w:tc>
              <w:tc>
                <w:tcPr>
                  <w:tcW w:w="410"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153</w:t>
                  </w:r>
                </w:p>
              </w:tc>
              <w:tc>
                <w:tcPr>
                  <w:tcW w:w="430"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16</w:t>
                  </w:r>
                </w:p>
              </w:tc>
              <w:tc>
                <w:tcPr>
                  <w:tcW w:w="401"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14</w:t>
                  </w:r>
                </w:p>
              </w:tc>
              <w:tc>
                <w:tcPr>
                  <w:tcW w:w="486" w:type="pct"/>
                  <w:vMerge w:val="restart"/>
                  <w:noWrap w:val="0"/>
                  <w:vAlign w:val="center"/>
                </w:tcPr>
                <w:p>
                  <w:pPr>
                    <w:adjustRightInd w:val="0"/>
                    <w:snapToGrid w:val="0"/>
                    <w:jc w:val="center"/>
                    <w:rPr>
                      <w:color w:val="FF0000"/>
                      <w:szCs w:val="21"/>
                    </w:rPr>
                  </w:pPr>
                  <w:r>
                    <w:rPr>
                      <w:color w:val="FF0000"/>
                      <w:szCs w:val="21"/>
                    </w:rPr>
                    <w:t>沥青</w:t>
                  </w:r>
                </w:p>
                <w:p>
                  <w:pPr>
                    <w:adjustRightInd w:val="0"/>
                    <w:snapToGrid w:val="0"/>
                    <w:jc w:val="center"/>
                    <w:rPr>
                      <w:color w:val="FF0000"/>
                      <w:szCs w:val="21"/>
                    </w:rPr>
                  </w:pPr>
                  <w:r>
                    <w:rPr>
                      <w:color w:val="FF0000"/>
                      <w:szCs w:val="21"/>
                    </w:rPr>
                    <w:t>混凝</w:t>
                  </w:r>
                </w:p>
                <w:p>
                  <w:pPr>
                    <w:adjustRightInd w:val="0"/>
                    <w:snapToGrid w:val="0"/>
                    <w:jc w:val="center"/>
                    <w:rPr>
                      <w:color w:val="FF0000"/>
                      <w:szCs w:val="21"/>
                    </w:rPr>
                  </w:pPr>
                  <w:r>
                    <w:rPr>
                      <w:color w:val="FF0000"/>
                      <w:szCs w:val="21"/>
                    </w:rPr>
                    <w:t>土</w:t>
                  </w:r>
                </w:p>
              </w:tc>
              <w:tc>
                <w:tcPr>
                  <w:tcW w:w="414" w:type="pct"/>
                  <w:vMerge w:val="restar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18</w:t>
                  </w:r>
                </w:p>
              </w:tc>
              <w:tc>
                <w:tcPr>
                  <w:tcW w:w="361" w:type="pct"/>
                  <w:vMerge w:val="restart"/>
                  <w:noWrap w:val="0"/>
                  <w:vAlign w:val="center"/>
                </w:tcPr>
                <w:p>
                  <w:pPr>
                    <w:adjustRightInd w:val="0"/>
                    <w:snapToGrid w:val="0"/>
                    <w:ind w:firstLine="105" w:firstLineChars="50"/>
                    <w:jc w:val="center"/>
                    <w:rPr>
                      <w:rFonts w:hint="eastAsia" w:eastAsia="宋体"/>
                      <w:color w:val="FF0000"/>
                      <w:szCs w:val="21"/>
                      <w:lang w:eastAsia="zh-CN"/>
                    </w:rPr>
                  </w:pPr>
                  <w:r>
                    <w:rPr>
                      <w:rFonts w:hint="eastAsia"/>
                      <w:color w:val="FF0000"/>
                      <w:szCs w:val="21"/>
                      <w:lang w:val="en-US" w:eastAsia="zh-CN"/>
                    </w:rPr>
                    <w:t>4</w:t>
                  </w:r>
                </w:p>
              </w:tc>
              <w:tc>
                <w:tcPr>
                  <w:tcW w:w="836" w:type="pct"/>
                  <w:vMerge w:val="restar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-5.625，</w:t>
                  </w:r>
                  <w:r>
                    <w:rPr>
                      <w:color w:val="FF0000"/>
                      <w:szCs w:val="21"/>
                    </w:rPr>
                    <w:t>-</w:t>
                  </w:r>
                  <w:r>
                    <w:rPr>
                      <w:rFonts w:hint="eastAsia"/>
                      <w:color w:val="FF0000"/>
                      <w:szCs w:val="21"/>
                      <w:lang w:val="en-US" w:eastAsia="zh-CN"/>
                    </w:rPr>
                    <w:t>1.875</w:t>
                  </w:r>
                  <w:r>
                    <w:rPr>
                      <w:color w:val="FF0000"/>
                      <w:szCs w:val="21"/>
                    </w:rPr>
                    <w:t>，</w:t>
                  </w:r>
                  <w:r>
                    <w:rPr>
                      <w:rFonts w:hint="eastAsia"/>
                      <w:color w:val="FF0000"/>
                      <w:szCs w:val="21"/>
                      <w:lang w:val="en-US" w:eastAsia="zh-CN"/>
                    </w:rPr>
                    <w:t>1.875，5.625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1" w:hRule="atLeast"/>
                <w:jc w:val="center"/>
              </w:trPr>
              <w:tc>
                <w:tcPr>
                  <w:tcW w:w="396" w:type="pct"/>
                  <w:vMerge w:val="continue"/>
                  <w:noWrap w:val="0"/>
                  <w:vAlign w:val="center"/>
                </w:tcPr>
                <w:p>
                  <w:pPr>
                    <w:widowControl/>
                    <w:adjustRightInd w:val="0"/>
                    <w:snapToGrid w:val="0"/>
                    <w:jc w:val="center"/>
                    <w:rPr>
                      <w:color w:val="FF0000"/>
                      <w:szCs w:val="21"/>
                    </w:rPr>
                  </w:pPr>
                </w:p>
              </w:tc>
              <w:tc>
                <w:tcPr>
                  <w:tcW w:w="408" w:type="pct"/>
                  <w:vMerge w:val="continue"/>
                  <w:noWrap w:val="0"/>
                  <w:vAlign w:val="center"/>
                </w:tcPr>
                <w:p>
                  <w:pPr>
                    <w:widowControl/>
                    <w:adjustRightInd w:val="0"/>
                    <w:snapToGrid w:val="0"/>
                    <w:jc w:val="center"/>
                    <w:rPr>
                      <w:color w:val="FF0000"/>
                      <w:szCs w:val="21"/>
                    </w:rPr>
                  </w:pPr>
                </w:p>
              </w:tc>
              <w:tc>
                <w:tcPr>
                  <w:tcW w:w="440" w:type="pct"/>
                  <w:vMerge w:val="continue"/>
                  <w:noWrap w:val="0"/>
                  <w:vAlign w:val="center"/>
                </w:tcPr>
                <w:p>
                  <w:pPr>
                    <w:widowControl/>
                    <w:adjustRightInd w:val="0"/>
                    <w:snapToGrid w:val="0"/>
                    <w:jc w:val="center"/>
                    <w:rPr>
                      <w:color w:val="FF0000"/>
                      <w:szCs w:val="21"/>
                    </w:rPr>
                  </w:pPr>
                </w:p>
              </w:tc>
              <w:tc>
                <w:tcPr>
                  <w:tcW w:w="410" w:type="pct"/>
                  <w:noWrap w:val="0"/>
                  <w:vAlign w:val="center"/>
                </w:tcPr>
                <w:p>
                  <w:pPr>
                    <w:adjustRightInd w:val="0"/>
                    <w:snapToGrid w:val="0"/>
                    <w:jc w:val="center"/>
                    <w:rPr>
                      <w:color w:val="FF0000"/>
                      <w:szCs w:val="21"/>
                    </w:rPr>
                  </w:pPr>
                  <w:r>
                    <w:rPr>
                      <w:color w:val="FF0000"/>
                      <w:szCs w:val="21"/>
                    </w:rPr>
                    <w:t>夜间</w:t>
                  </w:r>
                </w:p>
              </w:tc>
              <w:tc>
                <w:tcPr>
                  <w:tcW w:w="410"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38</w:t>
                  </w:r>
                </w:p>
              </w:tc>
              <w:tc>
                <w:tcPr>
                  <w:tcW w:w="430"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w:t>
                  </w:r>
                </w:p>
              </w:tc>
              <w:tc>
                <w:tcPr>
                  <w:tcW w:w="401" w:type="pct"/>
                  <w:noWrap w:val="0"/>
                  <w:vAlign w:val="center"/>
                </w:tcPr>
                <w:p>
                  <w:pPr>
                    <w:adjustRightInd w:val="0"/>
                    <w:snapToGrid w:val="0"/>
                    <w:jc w:val="center"/>
                    <w:rPr>
                      <w:rFonts w:hint="eastAsia" w:eastAsia="宋体"/>
                      <w:color w:val="FF0000"/>
                      <w:szCs w:val="21"/>
                      <w:lang w:eastAsia="zh-CN"/>
                    </w:rPr>
                  </w:pPr>
                  <w:r>
                    <w:rPr>
                      <w:rFonts w:hint="eastAsia"/>
                      <w:color w:val="FF0000"/>
                      <w:szCs w:val="21"/>
                      <w:lang w:val="en-US" w:eastAsia="zh-CN"/>
                    </w:rPr>
                    <w:t>3</w:t>
                  </w:r>
                </w:p>
              </w:tc>
              <w:tc>
                <w:tcPr>
                  <w:tcW w:w="486" w:type="pct"/>
                  <w:vMerge w:val="continue"/>
                  <w:noWrap w:val="0"/>
                  <w:vAlign w:val="center"/>
                </w:tcPr>
                <w:p>
                  <w:pPr>
                    <w:widowControl/>
                    <w:adjustRightInd w:val="0"/>
                    <w:snapToGrid w:val="0"/>
                    <w:jc w:val="center"/>
                    <w:rPr>
                      <w:color w:val="FF0000"/>
                      <w:szCs w:val="21"/>
                    </w:rPr>
                  </w:pPr>
                </w:p>
              </w:tc>
              <w:tc>
                <w:tcPr>
                  <w:tcW w:w="414" w:type="pct"/>
                  <w:vMerge w:val="continue"/>
                  <w:noWrap w:val="0"/>
                  <w:vAlign w:val="center"/>
                </w:tcPr>
                <w:p>
                  <w:pPr>
                    <w:widowControl/>
                    <w:adjustRightInd w:val="0"/>
                    <w:snapToGrid w:val="0"/>
                    <w:jc w:val="center"/>
                    <w:rPr>
                      <w:color w:val="FF0000"/>
                      <w:szCs w:val="21"/>
                    </w:rPr>
                  </w:pPr>
                </w:p>
              </w:tc>
              <w:tc>
                <w:tcPr>
                  <w:tcW w:w="361" w:type="pct"/>
                  <w:vMerge w:val="continue"/>
                  <w:noWrap w:val="0"/>
                  <w:vAlign w:val="center"/>
                </w:tcPr>
                <w:p>
                  <w:pPr>
                    <w:widowControl/>
                    <w:adjustRightInd w:val="0"/>
                    <w:snapToGrid w:val="0"/>
                    <w:jc w:val="center"/>
                    <w:rPr>
                      <w:color w:val="FF0000"/>
                      <w:szCs w:val="21"/>
                    </w:rPr>
                  </w:pPr>
                </w:p>
              </w:tc>
              <w:tc>
                <w:tcPr>
                  <w:tcW w:w="836" w:type="pct"/>
                  <w:vMerge w:val="continue"/>
                  <w:noWrap w:val="0"/>
                  <w:vAlign w:val="center"/>
                </w:tcPr>
                <w:p>
                  <w:pPr>
                    <w:widowControl/>
                    <w:adjustRightInd w:val="0"/>
                    <w:snapToGrid w:val="0"/>
                    <w:jc w:val="cente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1" w:hRule="atLeast"/>
                <w:jc w:val="center"/>
              </w:trPr>
              <w:tc>
                <w:tcPr>
                  <w:tcW w:w="396" w:type="pct"/>
                  <w:vMerge w:val="continue"/>
                  <w:noWrap w:val="0"/>
                  <w:vAlign w:val="center"/>
                </w:tcPr>
                <w:p>
                  <w:pPr>
                    <w:widowControl/>
                    <w:adjustRightInd w:val="0"/>
                    <w:snapToGrid w:val="0"/>
                    <w:jc w:val="center"/>
                    <w:rPr>
                      <w:color w:val="FF0000"/>
                      <w:szCs w:val="21"/>
                    </w:rPr>
                  </w:pPr>
                </w:p>
              </w:tc>
              <w:tc>
                <w:tcPr>
                  <w:tcW w:w="408" w:type="pct"/>
                  <w:vMerge w:val="continue"/>
                  <w:noWrap w:val="0"/>
                  <w:vAlign w:val="center"/>
                </w:tcPr>
                <w:p>
                  <w:pPr>
                    <w:widowControl/>
                    <w:adjustRightInd w:val="0"/>
                    <w:snapToGrid w:val="0"/>
                    <w:jc w:val="center"/>
                    <w:rPr>
                      <w:color w:val="FF0000"/>
                      <w:szCs w:val="21"/>
                    </w:rPr>
                  </w:pPr>
                </w:p>
              </w:tc>
              <w:tc>
                <w:tcPr>
                  <w:tcW w:w="440" w:type="pct"/>
                  <w:vMerge w:val="restart"/>
                  <w:noWrap w:val="0"/>
                  <w:vAlign w:val="center"/>
                </w:tcPr>
                <w:p>
                  <w:pPr>
                    <w:adjustRightInd w:val="0"/>
                    <w:snapToGrid w:val="0"/>
                    <w:jc w:val="center"/>
                    <w:rPr>
                      <w:rFonts w:hint="default" w:eastAsia="宋体"/>
                      <w:color w:val="FF0000"/>
                      <w:szCs w:val="21"/>
                      <w:lang w:val="en-US" w:eastAsia="zh-CN"/>
                    </w:rPr>
                  </w:pPr>
                  <w:r>
                    <w:rPr>
                      <w:color w:val="FF0000"/>
                      <w:szCs w:val="21"/>
                    </w:rPr>
                    <w:t>20</w:t>
                  </w:r>
                  <w:r>
                    <w:rPr>
                      <w:rFonts w:hint="eastAsia"/>
                      <w:color w:val="FF0000"/>
                      <w:szCs w:val="21"/>
                      <w:lang w:val="en-US" w:eastAsia="zh-CN"/>
                    </w:rPr>
                    <w:t>30</w:t>
                  </w:r>
                </w:p>
              </w:tc>
              <w:tc>
                <w:tcPr>
                  <w:tcW w:w="410" w:type="pct"/>
                  <w:noWrap w:val="0"/>
                  <w:vAlign w:val="center"/>
                </w:tcPr>
                <w:p>
                  <w:pPr>
                    <w:adjustRightInd w:val="0"/>
                    <w:snapToGrid w:val="0"/>
                    <w:jc w:val="center"/>
                    <w:rPr>
                      <w:color w:val="FF0000"/>
                      <w:szCs w:val="21"/>
                    </w:rPr>
                  </w:pPr>
                  <w:r>
                    <w:rPr>
                      <w:color w:val="FF0000"/>
                      <w:szCs w:val="21"/>
                    </w:rPr>
                    <w:t>昼间</w:t>
                  </w:r>
                </w:p>
              </w:tc>
              <w:tc>
                <w:tcPr>
                  <w:tcW w:w="410"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219</w:t>
                  </w:r>
                </w:p>
              </w:tc>
              <w:tc>
                <w:tcPr>
                  <w:tcW w:w="430"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19</w:t>
                  </w:r>
                </w:p>
              </w:tc>
              <w:tc>
                <w:tcPr>
                  <w:tcW w:w="401"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25</w:t>
                  </w:r>
                </w:p>
              </w:tc>
              <w:tc>
                <w:tcPr>
                  <w:tcW w:w="486" w:type="pct"/>
                  <w:vMerge w:val="continue"/>
                  <w:noWrap w:val="0"/>
                  <w:vAlign w:val="center"/>
                </w:tcPr>
                <w:p>
                  <w:pPr>
                    <w:widowControl/>
                    <w:adjustRightInd w:val="0"/>
                    <w:snapToGrid w:val="0"/>
                    <w:jc w:val="center"/>
                    <w:rPr>
                      <w:color w:val="FF0000"/>
                      <w:szCs w:val="21"/>
                    </w:rPr>
                  </w:pPr>
                </w:p>
              </w:tc>
              <w:tc>
                <w:tcPr>
                  <w:tcW w:w="414" w:type="pct"/>
                  <w:vMerge w:val="continue"/>
                  <w:noWrap w:val="0"/>
                  <w:vAlign w:val="center"/>
                </w:tcPr>
                <w:p>
                  <w:pPr>
                    <w:widowControl/>
                    <w:adjustRightInd w:val="0"/>
                    <w:snapToGrid w:val="0"/>
                    <w:jc w:val="center"/>
                    <w:rPr>
                      <w:color w:val="FF0000"/>
                      <w:szCs w:val="21"/>
                    </w:rPr>
                  </w:pPr>
                </w:p>
              </w:tc>
              <w:tc>
                <w:tcPr>
                  <w:tcW w:w="361" w:type="pct"/>
                  <w:vMerge w:val="continue"/>
                  <w:noWrap w:val="0"/>
                  <w:vAlign w:val="center"/>
                </w:tcPr>
                <w:p>
                  <w:pPr>
                    <w:widowControl/>
                    <w:adjustRightInd w:val="0"/>
                    <w:snapToGrid w:val="0"/>
                    <w:jc w:val="center"/>
                    <w:rPr>
                      <w:color w:val="FF0000"/>
                      <w:szCs w:val="21"/>
                    </w:rPr>
                  </w:pPr>
                </w:p>
              </w:tc>
              <w:tc>
                <w:tcPr>
                  <w:tcW w:w="836" w:type="pct"/>
                  <w:vMerge w:val="continue"/>
                  <w:noWrap w:val="0"/>
                  <w:vAlign w:val="center"/>
                </w:tcPr>
                <w:p>
                  <w:pPr>
                    <w:widowControl/>
                    <w:adjustRightInd w:val="0"/>
                    <w:snapToGrid w:val="0"/>
                    <w:jc w:val="cente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1" w:hRule="atLeast"/>
                <w:jc w:val="center"/>
              </w:trPr>
              <w:tc>
                <w:tcPr>
                  <w:tcW w:w="396" w:type="pct"/>
                  <w:vMerge w:val="continue"/>
                  <w:noWrap w:val="0"/>
                  <w:vAlign w:val="center"/>
                </w:tcPr>
                <w:p>
                  <w:pPr>
                    <w:widowControl/>
                    <w:adjustRightInd w:val="0"/>
                    <w:snapToGrid w:val="0"/>
                    <w:jc w:val="center"/>
                    <w:rPr>
                      <w:color w:val="FF0000"/>
                      <w:szCs w:val="21"/>
                    </w:rPr>
                  </w:pPr>
                </w:p>
              </w:tc>
              <w:tc>
                <w:tcPr>
                  <w:tcW w:w="408" w:type="pct"/>
                  <w:vMerge w:val="continue"/>
                  <w:noWrap w:val="0"/>
                  <w:vAlign w:val="center"/>
                </w:tcPr>
                <w:p>
                  <w:pPr>
                    <w:widowControl/>
                    <w:adjustRightInd w:val="0"/>
                    <w:snapToGrid w:val="0"/>
                    <w:jc w:val="center"/>
                    <w:rPr>
                      <w:color w:val="FF0000"/>
                      <w:szCs w:val="21"/>
                    </w:rPr>
                  </w:pPr>
                </w:p>
              </w:tc>
              <w:tc>
                <w:tcPr>
                  <w:tcW w:w="440" w:type="pct"/>
                  <w:vMerge w:val="continue"/>
                  <w:noWrap w:val="0"/>
                  <w:vAlign w:val="center"/>
                </w:tcPr>
                <w:p>
                  <w:pPr>
                    <w:widowControl/>
                    <w:adjustRightInd w:val="0"/>
                    <w:snapToGrid w:val="0"/>
                    <w:jc w:val="center"/>
                    <w:rPr>
                      <w:color w:val="FF0000"/>
                      <w:szCs w:val="21"/>
                    </w:rPr>
                  </w:pPr>
                </w:p>
              </w:tc>
              <w:tc>
                <w:tcPr>
                  <w:tcW w:w="410" w:type="pct"/>
                  <w:noWrap w:val="0"/>
                  <w:vAlign w:val="center"/>
                </w:tcPr>
                <w:p>
                  <w:pPr>
                    <w:adjustRightInd w:val="0"/>
                    <w:snapToGrid w:val="0"/>
                    <w:jc w:val="center"/>
                    <w:rPr>
                      <w:color w:val="FF0000"/>
                      <w:szCs w:val="21"/>
                    </w:rPr>
                  </w:pPr>
                  <w:r>
                    <w:rPr>
                      <w:color w:val="FF0000"/>
                      <w:szCs w:val="21"/>
                    </w:rPr>
                    <w:t>夜间</w:t>
                  </w:r>
                </w:p>
              </w:tc>
              <w:tc>
                <w:tcPr>
                  <w:tcW w:w="410"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55</w:t>
                  </w:r>
                </w:p>
              </w:tc>
              <w:tc>
                <w:tcPr>
                  <w:tcW w:w="430"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w:t>
                  </w:r>
                </w:p>
              </w:tc>
              <w:tc>
                <w:tcPr>
                  <w:tcW w:w="401" w:type="pct"/>
                  <w:noWrap w:val="0"/>
                  <w:vAlign w:val="center"/>
                </w:tcPr>
                <w:p>
                  <w:pPr>
                    <w:adjustRightInd w:val="0"/>
                    <w:snapToGrid w:val="0"/>
                    <w:jc w:val="center"/>
                    <w:rPr>
                      <w:rFonts w:hint="eastAsia" w:eastAsia="宋体"/>
                      <w:color w:val="FF0000"/>
                      <w:szCs w:val="21"/>
                      <w:lang w:val="en-US" w:eastAsia="zh-CN"/>
                    </w:rPr>
                  </w:pPr>
                  <w:r>
                    <w:rPr>
                      <w:rFonts w:hint="eastAsia"/>
                      <w:color w:val="FF0000"/>
                      <w:szCs w:val="21"/>
                      <w:lang w:val="en-US" w:eastAsia="zh-CN"/>
                    </w:rPr>
                    <w:t>7</w:t>
                  </w:r>
                </w:p>
              </w:tc>
              <w:tc>
                <w:tcPr>
                  <w:tcW w:w="486" w:type="pct"/>
                  <w:vMerge w:val="continue"/>
                  <w:noWrap w:val="0"/>
                  <w:vAlign w:val="center"/>
                </w:tcPr>
                <w:p>
                  <w:pPr>
                    <w:widowControl/>
                    <w:adjustRightInd w:val="0"/>
                    <w:snapToGrid w:val="0"/>
                    <w:jc w:val="center"/>
                    <w:rPr>
                      <w:color w:val="FF0000"/>
                      <w:szCs w:val="21"/>
                    </w:rPr>
                  </w:pPr>
                </w:p>
              </w:tc>
              <w:tc>
                <w:tcPr>
                  <w:tcW w:w="414" w:type="pct"/>
                  <w:vMerge w:val="continue"/>
                  <w:noWrap w:val="0"/>
                  <w:vAlign w:val="center"/>
                </w:tcPr>
                <w:p>
                  <w:pPr>
                    <w:widowControl/>
                    <w:adjustRightInd w:val="0"/>
                    <w:snapToGrid w:val="0"/>
                    <w:jc w:val="center"/>
                    <w:rPr>
                      <w:color w:val="FF0000"/>
                      <w:szCs w:val="21"/>
                    </w:rPr>
                  </w:pPr>
                </w:p>
              </w:tc>
              <w:tc>
                <w:tcPr>
                  <w:tcW w:w="361" w:type="pct"/>
                  <w:vMerge w:val="continue"/>
                  <w:noWrap w:val="0"/>
                  <w:vAlign w:val="center"/>
                </w:tcPr>
                <w:p>
                  <w:pPr>
                    <w:widowControl/>
                    <w:adjustRightInd w:val="0"/>
                    <w:snapToGrid w:val="0"/>
                    <w:jc w:val="center"/>
                    <w:rPr>
                      <w:color w:val="FF0000"/>
                      <w:szCs w:val="21"/>
                    </w:rPr>
                  </w:pPr>
                </w:p>
              </w:tc>
              <w:tc>
                <w:tcPr>
                  <w:tcW w:w="836" w:type="pct"/>
                  <w:vMerge w:val="continue"/>
                  <w:noWrap w:val="0"/>
                  <w:vAlign w:val="center"/>
                </w:tcPr>
                <w:p>
                  <w:pPr>
                    <w:widowControl/>
                    <w:adjustRightInd w:val="0"/>
                    <w:snapToGrid w:val="0"/>
                    <w:jc w:val="cente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1" w:hRule="atLeast"/>
                <w:jc w:val="center"/>
              </w:trPr>
              <w:tc>
                <w:tcPr>
                  <w:tcW w:w="396" w:type="pct"/>
                  <w:vMerge w:val="continue"/>
                  <w:noWrap w:val="0"/>
                  <w:vAlign w:val="center"/>
                </w:tcPr>
                <w:p>
                  <w:pPr>
                    <w:widowControl/>
                    <w:adjustRightInd w:val="0"/>
                    <w:snapToGrid w:val="0"/>
                    <w:jc w:val="center"/>
                    <w:rPr>
                      <w:color w:val="FF0000"/>
                      <w:szCs w:val="21"/>
                    </w:rPr>
                  </w:pPr>
                </w:p>
              </w:tc>
              <w:tc>
                <w:tcPr>
                  <w:tcW w:w="408" w:type="pct"/>
                  <w:vMerge w:val="continue"/>
                  <w:noWrap w:val="0"/>
                  <w:vAlign w:val="center"/>
                </w:tcPr>
                <w:p>
                  <w:pPr>
                    <w:widowControl/>
                    <w:adjustRightInd w:val="0"/>
                    <w:snapToGrid w:val="0"/>
                    <w:jc w:val="center"/>
                    <w:rPr>
                      <w:color w:val="FF0000"/>
                      <w:szCs w:val="21"/>
                    </w:rPr>
                  </w:pPr>
                </w:p>
              </w:tc>
              <w:tc>
                <w:tcPr>
                  <w:tcW w:w="440" w:type="pct"/>
                  <w:vMerge w:val="restart"/>
                  <w:noWrap w:val="0"/>
                  <w:vAlign w:val="center"/>
                </w:tcPr>
                <w:p>
                  <w:pPr>
                    <w:adjustRightInd w:val="0"/>
                    <w:snapToGrid w:val="0"/>
                    <w:jc w:val="center"/>
                    <w:rPr>
                      <w:rFonts w:hint="eastAsia" w:eastAsia="宋体"/>
                      <w:color w:val="FF0000"/>
                      <w:szCs w:val="21"/>
                      <w:lang w:eastAsia="zh-CN"/>
                    </w:rPr>
                  </w:pPr>
                  <w:r>
                    <w:rPr>
                      <w:color w:val="FF0000"/>
                      <w:szCs w:val="21"/>
                    </w:rPr>
                    <w:t>203</w:t>
                  </w:r>
                  <w:r>
                    <w:rPr>
                      <w:rFonts w:hint="eastAsia"/>
                      <w:color w:val="FF0000"/>
                      <w:szCs w:val="21"/>
                      <w:lang w:val="en-US" w:eastAsia="zh-CN"/>
                    </w:rPr>
                    <w:t>8</w:t>
                  </w:r>
                </w:p>
              </w:tc>
              <w:tc>
                <w:tcPr>
                  <w:tcW w:w="410" w:type="pct"/>
                  <w:noWrap w:val="0"/>
                  <w:vAlign w:val="center"/>
                </w:tcPr>
                <w:p>
                  <w:pPr>
                    <w:adjustRightInd w:val="0"/>
                    <w:snapToGrid w:val="0"/>
                    <w:jc w:val="center"/>
                    <w:rPr>
                      <w:color w:val="FF0000"/>
                      <w:szCs w:val="21"/>
                    </w:rPr>
                  </w:pPr>
                  <w:r>
                    <w:rPr>
                      <w:color w:val="FF0000"/>
                      <w:szCs w:val="21"/>
                    </w:rPr>
                    <w:t>昼间</w:t>
                  </w:r>
                </w:p>
              </w:tc>
              <w:tc>
                <w:tcPr>
                  <w:tcW w:w="410"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308</w:t>
                  </w:r>
                </w:p>
              </w:tc>
              <w:tc>
                <w:tcPr>
                  <w:tcW w:w="430"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30</w:t>
                  </w:r>
                </w:p>
              </w:tc>
              <w:tc>
                <w:tcPr>
                  <w:tcW w:w="401"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39</w:t>
                  </w:r>
                </w:p>
              </w:tc>
              <w:tc>
                <w:tcPr>
                  <w:tcW w:w="486" w:type="pct"/>
                  <w:vMerge w:val="continue"/>
                  <w:noWrap w:val="0"/>
                  <w:vAlign w:val="center"/>
                </w:tcPr>
                <w:p>
                  <w:pPr>
                    <w:widowControl/>
                    <w:adjustRightInd w:val="0"/>
                    <w:snapToGrid w:val="0"/>
                    <w:jc w:val="center"/>
                    <w:rPr>
                      <w:color w:val="FF0000"/>
                      <w:szCs w:val="21"/>
                    </w:rPr>
                  </w:pPr>
                </w:p>
              </w:tc>
              <w:tc>
                <w:tcPr>
                  <w:tcW w:w="414" w:type="pct"/>
                  <w:vMerge w:val="continue"/>
                  <w:noWrap w:val="0"/>
                  <w:vAlign w:val="center"/>
                </w:tcPr>
                <w:p>
                  <w:pPr>
                    <w:widowControl/>
                    <w:adjustRightInd w:val="0"/>
                    <w:snapToGrid w:val="0"/>
                    <w:jc w:val="center"/>
                    <w:rPr>
                      <w:color w:val="FF0000"/>
                      <w:szCs w:val="21"/>
                    </w:rPr>
                  </w:pPr>
                </w:p>
              </w:tc>
              <w:tc>
                <w:tcPr>
                  <w:tcW w:w="361" w:type="pct"/>
                  <w:vMerge w:val="continue"/>
                  <w:noWrap w:val="0"/>
                  <w:vAlign w:val="center"/>
                </w:tcPr>
                <w:p>
                  <w:pPr>
                    <w:widowControl/>
                    <w:adjustRightInd w:val="0"/>
                    <w:snapToGrid w:val="0"/>
                    <w:jc w:val="center"/>
                    <w:rPr>
                      <w:color w:val="FF0000"/>
                      <w:szCs w:val="21"/>
                    </w:rPr>
                  </w:pPr>
                </w:p>
              </w:tc>
              <w:tc>
                <w:tcPr>
                  <w:tcW w:w="836" w:type="pct"/>
                  <w:vMerge w:val="continue"/>
                  <w:noWrap w:val="0"/>
                  <w:vAlign w:val="center"/>
                </w:tcPr>
                <w:p>
                  <w:pPr>
                    <w:adjustRightInd w:val="0"/>
                    <w:snapToGrid w:val="0"/>
                    <w:jc w:val="cente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37" w:hRule="atLeast"/>
                <w:jc w:val="center"/>
              </w:trPr>
              <w:tc>
                <w:tcPr>
                  <w:tcW w:w="396" w:type="pct"/>
                  <w:vMerge w:val="continue"/>
                  <w:noWrap w:val="0"/>
                  <w:vAlign w:val="center"/>
                </w:tcPr>
                <w:p>
                  <w:pPr>
                    <w:widowControl/>
                    <w:adjustRightInd w:val="0"/>
                    <w:snapToGrid w:val="0"/>
                    <w:jc w:val="center"/>
                    <w:rPr>
                      <w:color w:val="FF0000"/>
                      <w:szCs w:val="21"/>
                    </w:rPr>
                  </w:pPr>
                </w:p>
              </w:tc>
              <w:tc>
                <w:tcPr>
                  <w:tcW w:w="408" w:type="pct"/>
                  <w:vMerge w:val="continue"/>
                  <w:noWrap w:val="0"/>
                  <w:vAlign w:val="center"/>
                </w:tcPr>
                <w:p>
                  <w:pPr>
                    <w:widowControl/>
                    <w:adjustRightInd w:val="0"/>
                    <w:snapToGrid w:val="0"/>
                    <w:jc w:val="center"/>
                    <w:rPr>
                      <w:color w:val="FF0000"/>
                      <w:szCs w:val="21"/>
                    </w:rPr>
                  </w:pPr>
                </w:p>
              </w:tc>
              <w:tc>
                <w:tcPr>
                  <w:tcW w:w="440" w:type="pct"/>
                  <w:vMerge w:val="continue"/>
                  <w:noWrap w:val="0"/>
                  <w:vAlign w:val="center"/>
                </w:tcPr>
                <w:p>
                  <w:pPr>
                    <w:widowControl/>
                    <w:adjustRightInd w:val="0"/>
                    <w:snapToGrid w:val="0"/>
                    <w:jc w:val="center"/>
                    <w:rPr>
                      <w:color w:val="FF0000"/>
                      <w:szCs w:val="21"/>
                    </w:rPr>
                  </w:pPr>
                </w:p>
              </w:tc>
              <w:tc>
                <w:tcPr>
                  <w:tcW w:w="410" w:type="pct"/>
                  <w:noWrap w:val="0"/>
                  <w:vAlign w:val="center"/>
                </w:tcPr>
                <w:p>
                  <w:pPr>
                    <w:adjustRightInd w:val="0"/>
                    <w:snapToGrid w:val="0"/>
                    <w:jc w:val="center"/>
                    <w:rPr>
                      <w:color w:val="FF0000"/>
                      <w:szCs w:val="21"/>
                    </w:rPr>
                  </w:pPr>
                  <w:r>
                    <w:rPr>
                      <w:color w:val="FF0000"/>
                      <w:szCs w:val="21"/>
                    </w:rPr>
                    <w:t>夜间</w:t>
                  </w:r>
                </w:p>
              </w:tc>
              <w:tc>
                <w:tcPr>
                  <w:tcW w:w="410"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77</w:t>
                  </w:r>
                </w:p>
              </w:tc>
              <w:tc>
                <w:tcPr>
                  <w:tcW w:w="430" w:type="pct"/>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7</w:t>
                  </w:r>
                </w:p>
              </w:tc>
              <w:tc>
                <w:tcPr>
                  <w:tcW w:w="401" w:type="pct"/>
                  <w:noWrap w:val="0"/>
                  <w:vAlign w:val="center"/>
                </w:tcPr>
                <w:p>
                  <w:pPr>
                    <w:adjustRightInd w:val="0"/>
                    <w:snapToGrid w:val="0"/>
                    <w:jc w:val="center"/>
                    <w:rPr>
                      <w:rFonts w:hint="eastAsia" w:eastAsia="宋体"/>
                      <w:color w:val="FF0000"/>
                      <w:szCs w:val="21"/>
                      <w:lang w:val="en-US" w:eastAsia="zh-CN"/>
                    </w:rPr>
                  </w:pPr>
                  <w:r>
                    <w:rPr>
                      <w:rFonts w:hint="eastAsia"/>
                      <w:color w:val="FF0000"/>
                      <w:szCs w:val="21"/>
                      <w:lang w:val="en-US" w:eastAsia="zh-CN"/>
                    </w:rPr>
                    <w:t>10</w:t>
                  </w:r>
                </w:p>
              </w:tc>
              <w:tc>
                <w:tcPr>
                  <w:tcW w:w="486" w:type="pct"/>
                  <w:vMerge w:val="continue"/>
                  <w:noWrap w:val="0"/>
                  <w:vAlign w:val="center"/>
                </w:tcPr>
                <w:p>
                  <w:pPr>
                    <w:widowControl/>
                    <w:adjustRightInd w:val="0"/>
                    <w:snapToGrid w:val="0"/>
                    <w:jc w:val="center"/>
                    <w:rPr>
                      <w:color w:val="FF0000"/>
                      <w:szCs w:val="21"/>
                    </w:rPr>
                  </w:pPr>
                </w:p>
              </w:tc>
              <w:tc>
                <w:tcPr>
                  <w:tcW w:w="414" w:type="pct"/>
                  <w:vMerge w:val="continue"/>
                  <w:noWrap w:val="0"/>
                  <w:vAlign w:val="center"/>
                </w:tcPr>
                <w:p>
                  <w:pPr>
                    <w:widowControl/>
                    <w:adjustRightInd w:val="0"/>
                    <w:snapToGrid w:val="0"/>
                    <w:jc w:val="center"/>
                    <w:rPr>
                      <w:color w:val="FF0000"/>
                      <w:szCs w:val="21"/>
                    </w:rPr>
                  </w:pPr>
                </w:p>
              </w:tc>
              <w:tc>
                <w:tcPr>
                  <w:tcW w:w="361" w:type="pct"/>
                  <w:vMerge w:val="continue"/>
                  <w:noWrap w:val="0"/>
                  <w:vAlign w:val="center"/>
                </w:tcPr>
                <w:p>
                  <w:pPr>
                    <w:widowControl/>
                    <w:adjustRightInd w:val="0"/>
                    <w:snapToGrid w:val="0"/>
                    <w:jc w:val="center"/>
                    <w:rPr>
                      <w:color w:val="FF0000"/>
                      <w:szCs w:val="21"/>
                    </w:rPr>
                  </w:pPr>
                </w:p>
              </w:tc>
              <w:tc>
                <w:tcPr>
                  <w:tcW w:w="836" w:type="pct"/>
                  <w:vMerge w:val="continue"/>
                  <w:noWrap w:val="0"/>
                  <w:vAlign w:val="center"/>
                </w:tcPr>
                <w:p>
                  <w:pPr>
                    <w:adjustRightInd w:val="0"/>
                    <w:snapToGrid w:val="0"/>
                    <w:jc w:val="center"/>
                    <w:rPr>
                      <w:color w:val="FF0000"/>
                      <w:szCs w:val="21"/>
                    </w:rPr>
                  </w:pP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color w:val="auto"/>
                <w:sz w:val="24"/>
              </w:rPr>
            </w:pPr>
            <w:r>
              <w:rPr>
                <w:rFonts w:hint="eastAsia"/>
                <w:color w:val="auto"/>
                <w:sz w:val="24"/>
              </w:rPr>
              <w:t>5</w:t>
            </w:r>
            <w:r>
              <w:rPr>
                <w:color w:val="auto"/>
                <w:sz w:val="24"/>
              </w:rPr>
              <w:t>.3.2预测点、预测断面</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宋体"/>
                <w:color w:val="auto"/>
                <w:sz w:val="24"/>
                <w:lang w:val="en-US" w:eastAsia="zh-CN"/>
              </w:rPr>
            </w:pPr>
            <w:r>
              <w:rPr>
                <w:color w:val="auto"/>
                <w:sz w:val="24"/>
              </w:rPr>
              <w:t>⑴离散点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FF0000"/>
                <w:sz w:val="24"/>
              </w:rPr>
            </w:pPr>
            <w:r>
              <w:rPr>
                <w:color w:val="FF0000"/>
                <w:sz w:val="24"/>
              </w:rPr>
              <w:t>本次评价预测离散点选取本项目评价范围内现有的</w:t>
            </w:r>
            <w:r>
              <w:rPr>
                <w:rFonts w:hint="eastAsia"/>
                <w:color w:val="FF0000"/>
                <w:sz w:val="24"/>
                <w:lang w:val="en-US" w:eastAsia="zh-CN"/>
              </w:rPr>
              <w:t>1</w:t>
            </w:r>
            <w:r>
              <w:rPr>
                <w:color w:val="FF0000"/>
                <w:sz w:val="24"/>
              </w:rPr>
              <w:t>个敏感点，</w:t>
            </w:r>
            <w:r>
              <w:rPr>
                <w:rFonts w:hint="eastAsia"/>
                <w:color w:val="FF0000"/>
                <w:sz w:val="24"/>
                <w:lang w:eastAsia="zh-CN"/>
              </w:rPr>
              <w:t>距离道路</w:t>
            </w:r>
            <w:r>
              <w:rPr>
                <w:rFonts w:hint="eastAsia"/>
                <w:color w:val="FF0000"/>
                <w:sz w:val="24"/>
                <w:lang w:val="en-US" w:eastAsia="zh-CN"/>
              </w:rPr>
              <w:t>40m。</w:t>
            </w:r>
            <w:r>
              <w:rPr>
                <w:rFonts w:hAnsi="宋体"/>
                <w:color w:val="FF0000"/>
                <w:sz w:val="24"/>
              </w:rPr>
              <w:t>其预测敏感点情况见表</w:t>
            </w:r>
            <w:r>
              <w:rPr>
                <w:rFonts w:hint="eastAsia" w:hAnsi="宋体"/>
                <w:color w:val="FF0000"/>
                <w:sz w:val="24"/>
                <w:lang w:val="en-US" w:eastAsia="zh-CN"/>
              </w:rPr>
              <w:t>8</w:t>
            </w:r>
            <w:r>
              <w:rPr>
                <w:rFonts w:hint="eastAsia" w:hAnsi="宋体"/>
                <w:color w:val="FF0000"/>
                <w:sz w:val="24"/>
              </w:rPr>
              <w:t>-9</w:t>
            </w:r>
            <w:r>
              <w:rPr>
                <w:rFonts w:hAnsi="宋体"/>
                <w:color w:val="FF0000"/>
                <w:sz w:val="24"/>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198"/>
              <w:jc w:val="center"/>
              <w:textAlignment w:val="auto"/>
              <w:rPr>
                <w:b/>
                <w:snapToGrid w:val="0"/>
                <w:color w:val="FF0000"/>
                <w:kern w:val="0"/>
                <w:sz w:val="21"/>
                <w:szCs w:val="21"/>
              </w:rPr>
            </w:pPr>
            <w:r>
              <w:rPr>
                <w:b/>
                <w:snapToGrid w:val="0"/>
                <w:color w:val="FF0000"/>
                <w:kern w:val="0"/>
                <w:sz w:val="21"/>
                <w:szCs w:val="21"/>
              </w:rPr>
              <w:t>表</w:t>
            </w:r>
            <w:r>
              <w:rPr>
                <w:rFonts w:hint="eastAsia"/>
                <w:b/>
                <w:snapToGrid w:val="0"/>
                <w:color w:val="FF0000"/>
                <w:kern w:val="0"/>
                <w:sz w:val="21"/>
                <w:szCs w:val="21"/>
                <w:lang w:val="en-US" w:eastAsia="zh-CN"/>
              </w:rPr>
              <w:t>8</w:t>
            </w:r>
            <w:r>
              <w:rPr>
                <w:rFonts w:hint="eastAsia"/>
                <w:b/>
                <w:snapToGrid w:val="0"/>
                <w:color w:val="FF0000"/>
                <w:kern w:val="0"/>
                <w:sz w:val="21"/>
                <w:szCs w:val="21"/>
              </w:rPr>
              <w:t>-9</w:t>
            </w:r>
            <w:r>
              <w:rPr>
                <w:b/>
                <w:snapToGrid w:val="0"/>
                <w:color w:val="FF0000"/>
                <w:kern w:val="0"/>
                <w:sz w:val="21"/>
                <w:szCs w:val="21"/>
              </w:rPr>
              <w:t xml:space="preserve">       </w:t>
            </w:r>
            <w:r>
              <w:rPr>
                <w:rFonts w:hint="eastAsia"/>
                <w:b/>
                <w:snapToGrid w:val="0"/>
                <w:color w:val="FF0000"/>
                <w:kern w:val="0"/>
                <w:sz w:val="21"/>
                <w:szCs w:val="21"/>
              </w:rPr>
              <w:t>本</w:t>
            </w:r>
            <w:r>
              <w:rPr>
                <w:b/>
                <w:snapToGrid w:val="0"/>
                <w:color w:val="FF0000"/>
                <w:kern w:val="0"/>
                <w:sz w:val="21"/>
                <w:szCs w:val="21"/>
              </w:rPr>
              <w:t>项目预测敏感点情况</w:t>
            </w:r>
          </w:p>
          <w:tbl>
            <w:tblPr>
              <w:tblStyle w:val="26"/>
              <w:tblW w:w="823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56"/>
              <w:gridCol w:w="2131"/>
              <w:gridCol w:w="1778"/>
              <w:gridCol w:w="1745"/>
              <w:gridCol w:w="182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7" w:hRule="atLeast"/>
                <w:jc w:val="center"/>
              </w:trPr>
              <w:tc>
                <w:tcPr>
                  <w:tcW w:w="756"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color w:val="FF0000"/>
                      <w:sz w:val="21"/>
                      <w:szCs w:val="21"/>
                    </w:rPr>
                  </w:pPr>
                  <w:r>
                    <w:rPr>
                      <w:color w:val="FF0000"/>
                      <w:sz w:val="21"/>
                      <w:szCs w:val="21"/>
                    </w:rPr>
                    <w:t>序号</w:t>
                  </w:r>
                </w:p>
              </w:tc>
              <w:tc>
                <w:tcPr>
                  <w:tcW w:w="2131"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color w:val="FF0000"/>
                      <w:sz w:val="21"/>
                      <w:szCs w:val="21"/>
                    </w:rPr>
                  </w:pPr>
                  <w:r>
                    <w:rPr>
                      <w:color w:val="FF0000"/>
                      <w:sz w:val="21"/>
                      <w:szCs w:val="21"/>
                    </w:rPr>
                    <w:t>名称</w:t>
                  </w:r>
                </w:p>
              </w:tc>
              <w:tc>
                <w:tcPr>
                  <w:tcW w:w="1778"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color w:val="FF0000"/>
                      <w:sz w:val="21"/>
                      <w:szCs w:val="21"/>
                    </w:rPr>
                  </w:pPr>
                  <w:r>
                    <w:rPr>
                      <w:color w:val="FF0000"/>
                      <w:sz w:val="21"/>
                      <w:szCs w:val="21"/>
                    </w:rPr>
                    <w:t>X坐标（m）</w:t>
                  </w:r>
                </w:p>
              </w:tc>
              <w:tc>
                <w:tcPr>
                  <w:tcW w:w="1745"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color w:val="FF0000"/>
                      <w:sz w:val="21"/>
                      <w:szCs w:val="21"/>
                    </w:rPr>
                  </w:pPr>
                  <w:r>
                    <w:rPr>
                      <w:color w:val="FF0000"/>
                      <w:sz w:val="21"/>
                      <w:szCs w:val="21"/>
                    </w:rPr>
                    <w:t>Y坐标（m）</w:t>
                  </w:r>
                </w:p>
              </w:tc>
              <w:tc>
                <w:tcPr>
                  <w:tcW w:w="1829"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color w:val="FF0000"/>
                      <w:sz w:val="21"/>
                      <w:szCs w:val="21"/>
                    </w:rPr>
                  </w:pPr>
                  <w:r>
                    <w:rPr>
                      <w:color w:val="FF0000"/>
                      <w:sz w:val="21"/>
                      <w:szCs w:val="21"/>
                    </w:rPr>
                    <w:t>预测高度（m）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35" w:hRule="atLeast"/>
                <w:jc w:val="center"/>
              </w:trPr>
              <w:tc>
                <w:tcPr>
                  <w:tcW w:w="756" w:type="dxa"/>
                  <w:noWrap w:val="0"/>
                  <w:vAlign w:val="center"/>
                </w:tcPr>
                <w:p>
                  <w:pPr>
                    <w:pStyle w:val="23"/>
                    <w:keepNext w:val="0"/>
                    <w:keepLines w:val="0"/>
                    <w:pageBreakBefore w:val="0"/>
                    <w:kinsoku/>
                    <w:wordWrap/>
                    <w:overflowPunct/>
                    <w:topLinePunct w:val="0"/>
                    <w:autoSpaceDE/>
                    <w:autoSpaceDN/>
                    <w:bidi w:val="0"/>
                    <w:adjustRightInd w:val="0"/>
                    <w:snapToGrid w:val="0"/>
                    <w:spacing w:before="0" w:after="0"/>
                    <w:jc w:val="center"/>
                    <w:textAlignment w:val="auto"/>
                    <w:rPr>
                      <w:rFonts w:ascii="Times New Roman" w:hAnsi="Times New Roman" w:cs="Times New Roman"/>
                      <w:color w:val="FF0000"/>
                      <w:sz w:val="21"/>
                      <w:szCs w:val="21"/>
                    </w:rPr>
                  </w:pPr>
                  <w:r>
                    <w:rPr>
                      <w:rFonts w:hint="eastAsia" w:ascii="Times New Roman" w:hAnsi="Times New Roman" w:eastAsia="宋体" w:cs="Times New Roman"/>
                      <w:b w:val="0"/>
                      <w:bCs/>
                      <w:color w:val="FF0000"/>
                      <w:kern w:val="2"/>
                      <w:sz w:val="21"/>
                      <w:szCs w:val="21"/>
                      <w:lang w:val="en-US" w:eastAsia="zh-CN" w:bidi="ar-SA"/>
                    </w:rPr>
                    <w:t>1</w:t>
                  </w:r>
                </w:p>
              </w:tc>
              <w:tc>
                <w:tcPr>
                  <w:tcW w:w="2131" w:type="dxa"/>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color w:val="FF0000"/>
                      <w:kern w:val="0"/>
                      <w:sz w:val="21"/>
                      <w:szCs w:val="21"/>
                    </w:rPr>
                  </w:pPr>
                  <w:r>
                    <w:rPr>
                      <w:rFonts w:hint="eastAsia"/>
                      <w:bCs/>
                      <w:color w:val="FF0000"/>
                      <w:sz w:val="21"/>
                      <w:szCs w:val="21"/>
                      <w:lang w:eastAsia="zh-CN"/>
                    </w:rPr>
                    <w:t>凤凰上镜小区</w:t>
                  </w:r>
                </w:p>
              </w:tc>
              <w:tc>
                <w:tcPr>
                  <w:tcW w:w="1778"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color w:val="FF0000"/>
                      <w:sz w:val="21"/>
                      <w:szCs w:val="21"/>
                    </w:rPr>
                  </w:pPr>
                  <w:r>
                    <w:rPr>
                      <w:color w:val="FF0000"/>
                      <w:sz w:val="21"/>
                      <w:szCs w:val="21"/>
                      <w:lang w:val="en-US" w:eastAsia="zh-CN"/>
                    </w:rPr>
                    <w:t>143.21</w:t>
                  </w:r>
                </w:p>
              </w:tc>
              <w:tc>
                <w:tcPr>
                  <w:tcW w:w="1745"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color w:val="FF0000"/>
                      <w:sz w:val="21"/>
                      <w:szCs w:val="21"/>
                    </w:rPr>
                  </w:pPr>
                  <w:r>
                    <w:rPr>
                      <w:color w:val="FF0000"/>
                      <w:sz w:val="21"/>
                      <w:szCs w:val="21"/>
                      <w:lang w:val="en-US" w:eastAsia="zh-CN"/>
                    </w:rPr>
                    <w:t>-127.6</w:t>
                  </w:r>
                </w:p>
              </w:tc>
              <w:tc>
                <w:tcPr>
                  <w:tcW w:w="1829"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color w:val="FF0000"/>
                      <w:sz w:val="21"/>
                      <w:szCs w:val="21"/>
                    </w:rPr>
                  </w:pPr>
                  <w:r>
                    <w:rPr>
                      <w:color w:val="FF0000"/>
                      <w:sz w:val="21"/>
                      <w:szCs w:val="21"/>
                    </w:rPr>
                    <w:t>1.2</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color w:val="auto"/>
                <w:sz w:val="24"/>
              </w:rPr>
            </w:pPr>
            <w:r>
              <w:rPr>
                <w:color w:val="auto"/>
                <w:sz w:val="24"/>
              </w:rPr>
              <w:t>⑵水平预测断面</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rPr>
            </w:pPr>
            <w:r>
              <w:rPr>
                <w:color w:val="auto"/>
                <w:sz w:val="24"/>
              </w:rPr>
              <w:t>在不考虑高差、道路两侧建筑物分布的情况下，共设置两条水平预测断面。</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rPr>
            </w:pPr>
            <w:r>
              <w:rPr>
                <w:color w:val="auto"/>
                <w:sz w:val="24"/>
              </w:rPr>
              <w:t>断面1：设置于本道路边界北侧0~200m处，线段步长为</w:t>
            </w:r>
            <w:r>
              <w:rPr>
                <w:rFonts w:hint="eastAsia"/>
                <w:color w:val="auto"/>
                <w:sz w:val="24"/>
                <w:lang w:val="en-US" w:eastAsia="zh-CN"/>
              </w:rPr>
              <w:t>2</w:t>
            </w:r>
            <w:r>
              <w:rPr>
                <w:color w:val="auto"/>
                <w:sz w:val="24"/>
              </w:rPr>
              <w:t>m，预测高度1.2m；</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rPr>
            </w:pPr>
            <w:r>
              <w:rPr>
                <w:color w:val="auto"/>
                <w:sz w:val="24"/>
              </w:rPr>
              <w:t>断面2：设置于本道路边界南侧0~200m处，线段步长为</w:t>
            </w:r>
            <w:r>
              <w:rPr>
                <w:rFonts w:hint="eastAsia"/>
                <w:color w:val="auto"/>
                <w:sz w:val="24"/>
                <w:lang w:val="en-US" w:eastAsia="zh-CN"/>
              </w:rPr>
              <w:t>2</w:t>
            </w:r>
            <w:r>
              <w:rPr>
                <w:color w:val="auto"/>
                <w:sz w:val="24"/>
              </w:rPr>
              <w:t>m，预测高度1.2m；</w:t>
            </w:r>
          </w:p>
          <w:p>
            <w:pPr>
              <w:keepNext w:val="0"/>
              <w:keepLines w:val="0"/>
              <w:pageBreakBefore w:val="0"/>
              <w:widowControl w:val="0"/>
              <w:kinsoku/>
              <w:wordWrap/>
              <w:overflowPunct/>
              <w:topLinePunct w:val="0"/>
              <w:autoSpaceDE/>
              <w:autoSpaceDN/>
              <w:bidi w:val="0"/>
              <w:adjustRightInd w:val="0"/>
              <w:snapToGrid w:val="0"/>
              <w:spacing w:line="360" w:lineRule="auto"/>
              <w:ind w:firstLine="436" w:firstLineChars="182"/>
              <w:textAlignment w:val="auto"/>
              <w:rPr>
                <w:color w:val="auto"/>
                <w:sz w:val="24"/>
              </w:rPr>
            </w:pPr>
            <w:r>
              <w:rPr>
                <w:rFonts w:hint="eastAsia"/>
                <w:color w:val="auto"/>
                <w:sz w:val="24"/>
              </w:rPr>
              <w:t>5</w:t>
            </w:r>
            <w:r>
              <w:rPr>
                <w:color w:val="auto"/>
                <w:sz w:val="24"/>
              </w:rPr>
              <w:t>.3.3预测内容</w:t>
            </w:r>
          </w:p>
          <w:p>
            <w:pPr>
              <w:adjustRightInd w:val="0"/>
              <w:snapToGrid w:val="0"/>
              <w:spacing w:line="360" w:lineRule="auto"/>
              <w:ind w:firstLine="480" w:firstLineChars="200"/>
              <w:rPr>
                <w:color w:val="auto"/>
                <w:sz w:val="24"/>
              </w:rPr>
            </w:pPr>
            <w:r>
              <w:rPr>
                <w:color w:val="auto"/>
                <w:sz w:val="24"/>
              </w:rPr>
              <w:t>⑴根据本项目预测交通量，由模式预测本道路建成后，在理想路段（即不考虑建筑插入噪声损失），仅考虑交通噪声贡献情况下，对道路两侧200m范围内的水平声场进行预测，绘出等声线图，并给出交通噪声防护距离；</w:t>
            </w:r>
          </w:p>
          <w:p>
            <w:pPr>
              <w:adjustRightInd w:val="0"/>
              <w:snapToGrid w:val="0"/>
              <w:spacing w:line="360" w:lineRule="auto"/>
              <w:ind w:firstLine="480" w:firstLineChars="200"/>
              <w:rPr>
                <w:color w:val="auto"/>
                <w:sz w:val="24"/>
              </w:rPr>
            </w:pPr>
            <w:r>
              <w:rPr>
                <w:color w:val="auto"/>
                <w:sz w:val="24"/>
              </w:rPr>
              <w:t>⑵本项目建成达到设计流量后，由交通噪声预测值叠加相应的声环境背景值，预测各环境保护目标的声环境质量。</w:t>
            </w:r>
          </w:p>
          <w:p>
            <w:pPr>
              <w:adjustRightInd w:val="0"/>
              <w:snapToGrid w:val="0"/>
              <w:spacing w:line="360" w:lineRule="auto"/>
              <w:ind w:firstLine="436" w:firstLineChars="182"/>
              <w:rPr>
                <w:color w:val="auto"/>
                <w:sz w:val="24"/>
              </w:rPr>
            </w:pPr>
            <w:r>
              <w:rPr>
                <w:rFonts w:hint="eastAsia"/>
                <w:color w:val="auto"/>
                <w:sz w:val="24"/>
              </w:rPr>
              <w:t>5</w:t>
            </w:r>
            <w:r>
              <w:rPr>
                <w:color w:val="auto"/>
                <w:sz w:val="24"/>
              </w:rPr>
              <w:t>.3.4声环境影响预测及分析</w:t>
            </w:r>
          </w:p>
          <w:p>
            <w:pPr>
              <w:adjustRightInd w:val="0"/>
              <w:snapToGrid w:val="0"/>
              <w:spacing w:line="360" w:lineRule="auto"/>
              <w:ind w:firstLine="480" w:firstLineChars="200"/>
              <w:rPr>
                <w:color w:val="auto"/>
                <w:sz w:val="24"/>
              </w:rPr>
            </w:pPr>
            <w:bookmarkStart w:id="43" w:name="_Ref216693722"/>
            <w:r>
              <w:rPr>
                <w:color w:val="auto"/>
                <w:sz w:val="24"/>
              </w:rPr>
              <w:t>⑴水平声场分布预测结果分析</w:t>
            </w:r>
          </w:p>
          <w:p>
            <w:pPr>
              <w:adjustRightInd w:val="0"/>
              <w:snapToGrid w:val="0"/>
              <w:spacing w:line="360" w:lineRule="auto"/>
              <w:ind w:firstLine="480" w:firstLineChars="200"/>
              <w:rPr>
                <w:color w:val="auto"/>
                <w:sz w:val="24"/>
              </w:rPr>
            </w:pPr>
            <w:r>
              <w:rPr>
                <w:color w:val="auto"/>
                <w:sz w:val="24"/>
              </w:rPr>
              <w:t>为了解本项目水平声场分布情况，本次评价分别在道路两侧选择了两个典型的水平声场预测断面，该预测断面噪声分布不考虑高差、道路两侧建筑物的分布，仅考虑道路水平声场衰减情况，其各断面水平声场预测结果见表</w:t>
            </w:r>
            <w:r>
              <w:rPr>
                <w:rFonts w:hint="eastAsia"/>
                <w:color w:val="auto"/>
                <w:sz w:val="24"/>
              </w:rPr>
              <w:t>8-</w:t>
            </w:r>
            <w:r>
              <w:rPr>
                <w:rFonts w:hint="eastAsia"/>
                <w:color w:val="auto"/>
                <w:sz w:val="24"/>
                <w:lang w:val="en-US" w:eastAsia="zh-CN"/>
              </w:rPr>
              <w:t>10</w:t>
            </w:r>
            <w:r>
              <w:rPr>
                <w:color w:val="auto"/>
                <w:sz w:val="24"/>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198"/>
              <w:jc w:val="center"/>
              <w:textAlignment w:val="auto"/>
              <w:rPr>
                <w:b/>
                <w:snapToGrid w:val="0"/>
                <w:color w:val="FF0000"/>
                <w:kern w:val="0"/>
                <w:sz w:val="21"/>
                <w:szCs w:val="21"/>
              </w:rPr>
            </w:pPr>
            <w:r>
              <w:rPr>
                <w:b/>
                <w:snapToGrid w:val="0"/>
                <w:color w:val="FF0000"/>
                <w:kern w:val="0"/>
                <w:sz w:val="21"/>
                <w:szCs w:val="21"/>
              </w:rPr>
              <w:t>表</w:t>
            </w:r>
            <w:r>
              <w:rPr>
                <w:rFonts w:hint="eastAsia"/>
                <w:b/>
                <w:snapToGrid w:val="0"/>
                <w:color w:val="FF0000"/>
                <w:kern w:val="0"/>
                <w:sz w:val="21"/>
                <w:szCs w:val="21"/>
              </w:rPr>
              <w:t>8-</w:t>
            </w:r>
            <w:r>
              <w:rPr>
                <w:rFonts w:hint="eastAsia"/>
                <w:b/>
                <w:snapToGrid w:val="0"/>
                <w:color w:val="FF0000"/>
                <w:kern w:val="0"/>
                <w:sz w:val="21"/>
                <w:szCs w:val="21"/>
                <w:lang w:val="en-US" w:eastAsia="zh-CN"/>
              </w:rPr>
              <w:t>10</w:t>
            </w:r>
            <w:r>
              <w:rPr>
                <w:rFonts w:hint="eastAsia"/>
                <w:b/>
                <w:snapToGrid w:val="0"/>
                <w:color w:val="FF0000"/>
                <w:kern w:val="0"/>
                <w:sz w:val="21"/>
                <w:szCs w:val="21"/>
              </w:rPr>
              <w:t xml:space="preserve">  </w:t>
            </w:r>
            <w:r>
              <w:rPr>
                <w:b/>
                <w:snapToGrid w:val="0"/>
                <w:color w:val="FF0000"/>
                <w:kern w:val="0"/>
                <w:sz w:val="21"/>
                <w:szCs w:val="21"/>
              </w:rPr>
              <w:t xml:space="preserve"> 本道路各特征年交通噪声贡献值预测结果</w:t>
            </w:r>
            <w:bookmarkEnd w:id="43"/>
            <w:r>
              <w:rPr>
                <w:b/>
                <w:snapToGrid w:val="0"/>
                <w:color w:val="FF0000"/>
                <w:kern w:val="0"/>
                <w:sz w:val="21"/>
                <w:szCs w:val="21"/>
              </w:rPr>
              <w:t xml:space="preserve">    单位：dB（A）</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575"/>
              <w:gridCol w:w="795"/>
              <w:gridCol w:w="705"/>
              <w:gridCol w:w="575"/>
              <w:gridCol w:w="689"/>
              <w:gridCol w:w="689"/>
              <w:gridCol w:w="689"/>
              <w:gridCol w:w="689"/>
              <w:gridCol w:w="689"/>
              <w:gridCol w:w="689"/>
              <w:gridCol w:w="689"/>
              <w:gridCol w:w="68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75" w:type="dxa"/>
                  <w:vMerge w:val="restart"/>
                  <w:noWrap w:val="0"/>
                  <w:vAlign w:val="center"/>
                </w:tcPr>
                <w:p>
                  <w:pPr>
                    <w:widowControl/>
                    <w:adjustRightInd w:val="0"/>
                    <w:snapToGrid w:val="0"/>
                    <w:ind w:left="-105" w:leftChars="-50" w:right="-105" w:rightChars="-50"/>
                    <w:jc w:val="center"/>
                    <w:rPr>
                      <w:color w:val="FF0000"/>
                      <w:kern w:val="0"/>
                      <w:sz w:val="21"/>
                      <w:szCs w:val="21"/>
                    </w:rPr>
                  </w:pPr>
                  <w:r>
                    <w:rPr>
                      <w:color w:val="FF0000"/>
                      <w:kern w:val="0"/>
                      <w:sz w:val="21"/>
                      <w:szCs w:val="21"/>
                    </w:rPr>
                    <w:t>道路名称</w:t>
                  </w:r>
                </w:p>
              </w:tc>
              <w:tc>
                <w:tcPr>
                  <w:tcW w:w="1500" w:type="dxa"/>
                  <w:gridSpan w:val="2"/>
                  <w:vMerge w:val="restart"/>
                  <w:noWrap w:val="0"/>
                  <w:vAlign w:val="center"/>
                </w:tcPr>
                <w:p>
                  <w:pPr>
                    <w:widowControl/>
                    <w:adjustRightInd w:val="0"/>
                    <w:snapToGrid w:val="0"/>
                    <w:ind w:left="-105" w:leftChars="-50" w:right="-105" w:rightChars="-50"/>
                    <w:jc w:val="center"/>
                    <w:rPr>
                      <w:rFonts w:hint="eastAsia" w:eastAsia="宋体"/>
                      <w:color w:val="FF0000"/>
                      <w:kern w:val="0"/>
                      <w:sz w:val="21"/>
                      <w:szCs w:val="21"/>
                      <w:lang w:eastAsia="zh-CN"/>
                    </w:rPr>
                  </w:pPr>
                  <w:r>
                    <w:rPr>
                      <w:rFonts w:hint="eastAsia"/>
                      <w:color w:val="FF0000"/>
                      <w:kern w:val="0"/>
                      <w:sz w:val="21"/>
                      <w:szCs w:val="21"/>
                      <w:lang w:eastAsia="zh-CN"/>
                    </w:rPr>
                    <w:t>特征年</w:t>
                  </w:r>
                </w:p>
              </w:tc>
              <w:tc>
                <w:tcPr>
                  <w:tcW w:w="6087" w:type="dxa"/>
                  <w:gridSpan w:val="9"/>
                  <w:noWrap w:val="0"/>
                  <w:vAlign w:val="center"/>
                </w:tcPr>
                <w:p>
                  <w:pPr>
                    <w:widowControl/>
                    <w:adjustRightInd w:val="0"/>
                    <w:snapToGrid w:val="0"/>
                    <w:ind w:left="-105" w:leftChars="-50" w:right="-105" w:rightChars="-50"/>
                    <w:jc w:val="center"/>
                    <w:rPr>
                      <w:color w:val="FF0000"/>
                      <w:kern w:val="0"/>
                      <w:sz w:val="21"/>
                      <w:szCs w:val="21"/>
                    </w:rPr>
                  </w:pPr>
                  <w:r>
                    <w:rPr>
                      <w:color w:val="FF0000"/>
                      <w:sz w:val="21"/>
                      <w:szCs w:val="21"/>
                    </w:rPr>
                    <w:t>距道路中心线距离（m）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4" w:hRule="atLeast"/>
                <w:jc w:val="center"/>
              </w:trPr>
              <w:tc>
                <w:tcPr>
                  <w:tcW w:w="575" w:type="dxa"/>
                  <w:vMerge w:val="continue"/>
                  <w:noWrap w:val="0"/>
                  <w:vAlign w:val="center"/>
                </w:tcPr>
                <w:p>
                  <w:pPr>
                    <w:adjustRightInd w:val="0"/>
                    <w:snapToGrid w:val="0"/>
                    <w:ind w:left="-105" w:leftChars="-50" w:right="-105" w:rightChars="-50"/>
                    <w:jc w:val="center"/>
                    <w:rPr>
                      <w:color w:val="FF0000"/>
                      <w:kern w:val="0"/>
                      <w:sz w:val="21"/>
                      <w:szCs w:val="21"/>
                    </w:rPr>
                  </w:pPr>
                </w:p>
              </w:tc>
              <w:tc>
                <w:tcPr>
                  <w:tcW w:w="1500" w:type="dxa"/>
                  <w:gridSpan w:val="2"/>
                  <w:vMerge w:val="continue"/>
                  <w:noWrap w:val="0"/>
                  <w:vAlign w:val="center"/>
                </w:tcPr>
                <w:p>
                  <w:pPr>
                    <w:adjustRightInd w:val="0"/>
                    <w:snapToGrid w:val="0"/>
                    <w:ind w:left="-105" w:leftChars="-50" w:right="-105" w:rightChars="-50"/>
                    <w:jc w:val="center"/>
                    <w:rPr>
                      <w:color w:val="FF0000"/>
                      <w:kern w:val="0"/>
                      <w:sz w:val="21"/>
                      <w:szCs w:val="21"/>
                    </w:rPr>
                  </w:pPr>
                </w:p>
              </w:tc>
              <w:tc>
                <w:tcPr>
                  <w:tcW w:w="575" w:type="dxa"/>
                  <w:noWrap w:val="0"/>
                  <w:vAlign w:val="center"/>
                </w:tcPr>
                <w:p>
                  <w:pPr>
                    <w:adjustRightInd w:val="0"/>
                    <w:snapToGrid w:val="0"/>
                    <w:ind w:left="-105" w:leftChars="-50" w:right="-105" w:rightChars="-50"/>
                    <w:jc w:val="center"/>
                    <w:rPr>
                      <w:color w:val="FF0000"/>
                      <w:kern w:val="0"/>
                      <w:sz w:val="21"/>
                      <w:szCs w:val="21"/>
                    </w:rPr>
                  </w:pPr>
                  <w:r>
                    <w:rPr>
                      <w:color w:val="FF0000"/>
                      <w:kern w:val="0"/>
                      <w:sz w:val="21"/>
                      <w:szCs w:val="21"/>
                    </w:rPr>
                    <w:t>7.5</w:t>
                  </w:r>
                </w:p>
              </w:tc>
              <w:tc>
                <w:tcPr>
                  <w:tcW w:w="0" w:type="auto"/>
                  <w:noWrap w:val="0"/>
                  <w:vAlign w:val="center"/>
                </w:tcPr>
                <w:p>
                  <w:pPr>
                    <w:adjustRightInd w:val="0"/>
                    <w:snapToGrid w:val="0"/>
                    <w:ind w:left="-105" w:leftChars="-50" w:right="-105" w:rightChars="-50"/>
                    <w:jc w:val="center"/>
                    <w:rPr>
                      <w:color w:val="FF0000"/>
                      <w:kern w:val="0"/>
                      <w:sz w:val="21"/>
                      <w:szCs w:val="21"/>
                    </w:rPr>
                  </w:pPr>
                  <w:r>
                    <w:rPr>
                      <w:color w:val="FF0000"/>
                      <w:kern w:val="0"/>
                      <w:sz w:val="21"/>
                      <w:szCs w:val="21"/>
                    </w:rPr>
                    <w:t>20</w:t>
                  </w:r>
                </w:p>
              </w:tc>
              <w:tc>
                <w:tcPr>
                  <w:tcW w:w="0" w:type="auto"/>
                  <w:noWrap w:val="0"/>
                  <w:vAlign w:val="center"/>
                </w:tcPr>
                <w:p>
                  <w:pPr>
                    <w:adjustRightInd w:val="0"/>
                    <w:snapToGrid w:val="0"/>
                    <w:ind w:left="-105" w:leftChars="-50" w:right="-105" w:rightChars="-50"/>
                    <w:jc w:val="center"/>
                    <w:rPr>
                      <w:color w:val="FF0000"/>
                      <w:kern w:val="0"/>
                      <w:sz w:val="21"/>
                      <w:szCs w:val="21"/>
                    </w:rPr>
                  </w:pPr>
                  <w:r>
                    <w:rPr>
                      <w:color w:val="FF0000"/>
                      <w:kern w:val="0"/>
                      <w:sz w:val="21"/>
                      <w:szCs w:val="21"/>
                    </w:rPr>
                    <w:t>40</w:t>
                  </w:r>
                </w:p>
              </w:tc>
              <w:tc>
                <w:tcPr>
                  <w:tcW w:w="0" w:type="auto"/>
                  <w:noWrap w:val="0"/>
                  <w:vAlign w:val="center"/>
                </w:tcPr>
                <w:p>
                  <w:pPr>
                    <w:adjustRightInd w:val="0"/>
                    <w:snapToGrid w:val="0"/>
                    <w:ind w:left="-105" w:leftChars="-50" w:right="-105" w:rightChars="-50"/>
                    <w:jc w:val="center"/>
                    <w:rPr>
                      <w:color w:val="FF0000"/>
                      <w:kern w:val="0"/>
                      <w:sz w:val="21"/>
                      <w:szCs w:val="21"/>
                    </w:rPr>
                  </w:pPr>
                  <w:r>
                    <w:rPr>
                      <w:color w:val="FF0000"/>
                      <w:kern w:val="0"/>
                      <w:sz w:val="21"/>
                      <w:szCs w:val="21"/>
                    </w:rPr>
                    <w:t>60</w:t>
                  </w:r>
                </w:p>
              </w:tc>
              <w:tc>
                <w:tcPr>
                  <w:tcW w:w="0" w:type="auto"/>
                  <w:noWrap w:val="0"/>
                  <w:vAlign w:val="center"/>
                </w:tcPr>
                <w:p>
                  <w:pPr>
                    <w:adjustRightInd w:val="0"/>
                    <w:snapToGrid w:val="0"/>
                    <w:ind w:left="-105" w:leftChars="-50" w:right="-105" w:rightChars="-50"/>
                    <w:jc w:val="center"/>
                    <w:rPr>
                      <w:color w:val="FF0000"/>
                      <w:kern w:val="0"/>
                      <w:sz w:val="21"/>
                      <w:szCs w:val="21"/>
                    </w:rPr>
                  </w:pPr>
                  <w:r>
                    <w:rPr>
                      <w:color w:val="FF0000"/>
                      <w:kern w:val="0"/>
                      <w:sz w:val="21"/>
                      <w:szCs w:val="21"/>
                    </w:rPr>
                    <w:t>80</w:t>
                  </w:r>
                </w:p>
              </w:tc>
              <w:tc>
                <w:tcPr>
                  <w:tcW w:w="0" w:type="auto"/>
                  <w:noWrap w:val="0"/>
                  <w:vAlign w:val="center"/>
                </w:tcPr>
                <w:p>
                  <w:pPr>
                    <w:adjustRightInd w:val="0"/>
                    <w:snapToGrid w:val="0"/>
                    <w:ind w:left="-105" w:leftChars="-50" w:right="-105" w:rightChars="-50"/>
                    <w:jc w:val="center"/>
                    <w:rPr>
                      <w:color w:val="FF0000"/>
                      <w:kern w:val="0"/>
                      <w:sz w:val="21"/>
                      <w:szCs w:val="21"/>
                    </w:rPr>
                  </w:pPr>
                  <w:r>
                    <w:rPr>
                      <w:color w:val="FF0000"/>
                      <w:kern w:val="0"/>
                      <w:sz w:val="21"/>
                      <w:szCs w:val="21"/>
                    </w:rPr>
                    <w:t>100</w:t>
                  </w:r>
                </w:p>
              </w:tc>
              <w:tc>
                <w:tcPr>
                  <w:tcW w:w="0" w:type="auto"/>
                  <w:noWrap w:val="0"/>
                  <w:vAlign w:val="center"/>
                </w:tcPr>
                <w:p>
                  <w:pPr>
                    <w:adjustRightInd w:val="0"/>
                    <w:snapToGrid w:val="0"/>
                    <w:ind w:left="-105" w:leftChars="-50" w:right="-105" w:rightChars="-50"/>
                    <w:jc w:val="center"/>
                    <w:rPr>
                      <w:color w:val="FF0000"/>
                      <w:kern w:val="0"/>
                      <w:sz w:val="21"/>
                      <w:szCs w:val="21"/>
                    </w:rPr>
                  </w:pPr>
                  <w:r>
                    <w:rPr>
                      <w:color w:val="FF0000"/>
                      <w:kern w:val="0"/>
                      <w:sz w:val="21"/>
                      <w:szCs w:val="21"/>
                    </w:rPr>
                    <w:t>120</w:t>
                  </w:r>
                </w:p>
              </w:tc>
              <w:tc>
                <w:tcPr>
                  <w:tcW w:w="0" w:type="auto"/>
                  <w:noWrap w:val="0"/>
                  <w:vAlign w:val="center"/>
                </w:tcPr>
                <w:p>
                  <w:pPr>
                    <w:adjustRightInd w:val="0"/>
                    <w:snapToGrid w:val="0"/>
                    <w:ind w:left="-105" w:leftChars="-50" w:right="-105" w:rightChars="-50"/>
                    <w:jc w:val="center"/>
                    <w:rPr>
                      <w:color w:val="FF0000"/>
                      <w:kern w:val="0"/>
                      <w:sz w:val="21"/>
                      <w:szCs w:val="21"/>
                    </w:rPr>
                  </w:pPr>
                  <w:r>
                    <w:rPr>
                      <w:color w:val="FF0000"/>
                      <w:kern w:val="0"/>
                      <w:sz w:val="21"/>
                      <w:szCs w:val="21"/>
                    </w:rPr>
                    <w:t>150</w:t>
                  </w:r>
                </w:p>
              </w:tc>
              <w:tc>
                <w:tcPr>
                  <w:tcW w:w="0" w:type="auto"/>
                  <w:noWrap w:val="0"/>
                  <w:vAlign w:val="center"/>
                </w:tcPr>
                <w:p>
                  <w:pPr>
                    <w:adjustRightInd w:val="0"/>
                    <w:snapToGrid w:val="0"/>
                    <w:ind w:left="-105" w:leftChars="-50" w:right="-105" w:rightChars="-50"/>
                    <w:jc w:val="center"/>
                    <w:rPr>
                      <w:color w:val="FF0000"/>
                      <w:kern w:val="0"/>
                      <w:sz w:val="21"/>
                      <w:szCs w:val="21"/>
                    </w:rPr>
                  </w:pPr>
                  <w:r>
                    <w:rPr>
                      <w:color w:val="FF0000"/>
                      <w:kern w:val="0"/>
                      <w:sz w:val="21"/>
                      <w:szCs w:val="21"/>
                    </w:rPr>
                    <w:t>200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575" w:type="dxa"/>
                  <w:vMerge w:val="restart"/>
                  <w:noWrap w:val="0"/>
                  <w:vAlign w:val="center"/>
                </w:tcPr>
                <w:p>
                  <w:pPr>
                    <w:adjustRightInd w:val="0"/>
                    <w:snapToGrid w:val="0"/>
                    <w:jc w:val="center"/>
                    <w:rPr>
                      <w:color w:val="FF0000"/>
                      <w:kern w:val="0"/>
                      <w:sz w:val="21"/>
                      <w:szCs w:val="21"/>
                    </w:rPr>
                  </w:pPr>
                  <w:bookmarkStart w:id="44" w:name="OLE_LINK6"/>
                  <w:bookmarkStart w:id="45" w:name="OLE_LINK5"/>
                  <w:r>
                    <w:rPr>
                      <w:rFonts w:hint="eastAsia"/>
                      <w:color w:val="FF0000"/>
                      <w:sz w:val="21"/>
                      <w:szCs w:val="21"/>
                      <w:highlight w:val="none"/>
                      <w:lang w:eastAsia="zh-CN"/>
                    </w:rPr>
                    <w:t>滨河</w:t>
                  </w:r>
                  <w:r>
                    <w:rPr>
                      <w:rFonts w:hint="eastAsia"/>
                      <w:color w:val="FF0000"/>
                      <w:sz w:val="21"/>
                      <w:szCs w:val="21"/>
                      <w:highlight w:val="none"/>
                      <w:lang w:val="en-US" w:eastAsia="zh-CN"/>
                    </w:rPr>
                    <w:t>大桥</w:t>
                  </w:r>
                </w:p>
              </w:tc>
              <w:tc>
                <w:tcPr>
                  <w:tcW w:w="795" w:type="dxa"/>
                  <w:vMerge w:val="restart"/>
                  <w:noWrap w:val="0"/>
                  <w:vAlign w:val="center"/>
                </w:tcPr>
                <w:p>
                  <w:pPr>
                    <w:adjustRightInd w:val="0"/>
                    <w:snapToGrid w:val="0"/>
                    <w:ind w:left="-105" w:leftChars="-50" w:right="-105" w:rightChars="-50"/>
                    <w:jc w:val="center"/>
                    <w:rPr>
                      <w:rFonts w:hint="eastAsia" w:eastAsia="宋体"/>
                      <w:color w:val="FF0000"/>
                      <w:kern w:val="0"/>
                      <w:sz w:val="21"/>
                      <w:szCs w:val="21"/>
                      <w:lang w:eastAsia="zh-CN"/>
                    </w:rPr>
                  </w:pPr>
                  <w:r>
                    <w:rPr>
                      <w:color w:val="FF0000"/>
                      <w:kern w:val="0"/>
                      <w:sz w:val="21"/>
                      <w:szCs w:val="21"/>
                    </w:rPr>
                    <w:t>202</w:t>
                  </w:r>
                  <w:r>
                    <w:rPr>
                      <w:rFonts w:hint="eastAsia"/>
                      <w:color w:val="FF0000"/>
                      <w:kern w:val="0"/>
                      <w:sz w:val="21"/>
                      <w:szCs w:val="21"/>
                      <w:lang w:val="en-US" w:eastAsia="zh-CN"/>
                    </w:rPr>
                    <w:t>4</w:t>
                  </w:r>
                  <w:r>
                    <w:rPr>
                      <w:color w:val="FF0000"/>
                      <w:kern w:val="0"/>
                      <w:sz w:val="21"/>
                      <w:szCs w:val="21"/>
                    </w:rPr>
                    <w:t>年</w:t>
                  </w:r>
                </w:p>
              </w:tc>
              <w:tc>
                <w:tcPr>
                  <w:tcW w:w="705" w:type="dxa"/>
                  <w:noWrap w:val="0"/>
                  <w:vAlign w:val="center"/>
                </w:tcPr>
                <w:p>
                  <w:pPr>
                    <w:adjustRightInd w:val="0"/>
                    <w:snapToGrid w:val="0"/>
                    <w:ind w:left="-105" w:leftChars="-50" w:right="-105" w:rightChars="-50"/>
                    <w:jc w:val="center"/>
                    <w:rPr>
                      <w:color w:val="FF0000"/>
                      <w:kern w:val="0"/>
                      <w:sz w:val="21"/>
                      <w:szCs w:val="21"/>
                    </w:rPr>
                  </w:pPr>
                  <w:r>
                    <w:rPr>
                      <w:color w:val="FF0000"/>
                      <w:kern w:val="0"/>
                      <w:sz w:val="21"/>
                      <w:szCs w:val="21"/>
                    </w:rPr>
                    <w:t>昼间</w:t>
                  </w:r>
                </w:p>
              </w:tc>
              <w:tc>
                <w:tcPr>
                  <w:tcW w:w="575" w:type="dxa"/>
                  <w:noWrap w:val="0"/>
                  <w:vAlign w:val="center"/>
                </w:tcPr>
                <w:p>
                  <w:pPr>
                    <w:adjustRightInd w:val="0"/>
                    <w:snapToGrid w:val="0"/>
                    <w:ind w:left="-105" w:leftChars="-50" w:right="-105" w:rightChars="-50"/>
                    <w:jc w:val="center"/>
                    <w:rPr>
                      <w:rFonts w:hint="default" w:eastAsia="宋体"/>
                      <w:color w:val="FF0000"/>
                      <w:kern w:val="0"/>
                      <w:sz w:val="21"/>
                      <w:szCs w:val="21"/>
                      <w:lang w:val="en-US" w:eastAsia="zh-CN" w:bidi="ar"/>
                    </w:rPr>
                  </w:pPr>
                  <w:r>
                    <w:rPr>
                      <w:rFonts w:hint="eastAsia"/>
                      <w:color w:val="FF0000"/>
                      <w:kern w:val="0"/>
                      <w:sz w:val="21"/>
                      <w:szCs w:val="21"/>
                      <w:lang w:val="en-US" w:eastAsia="zh-CN" w:bidi="ar"/>
                    </w:rPr>
                    <w:t>72.41</w:t>
                  </w:r>
                </w:p>
              </w:tc>
              <w:tc>
                <w:tcPr>
                  <w:tcW w:w="0" w:type="auto"/>
                  <w:noWrap w:val="0"/>
                  <w:vAlign w:val="center"/>
                </w:tcPr>
                <w:p>
                  <w:pPr>
                    <w:widowControl/>
                    <w:adjustRightInd w:val="0"/>
                    <w:snapToGrid w:val="0"/>
                    <w:jc w:val="center"/>
                    <w:textAlignment w:val="bottom"/>
                    <w:rPr>
                      <w:color w:val="FF0000"/>
                      <w:kern w:val="0"/>
                      <w:sz w:val="21"/>
                      <w:szCs w:val="21"/>
                      <w:lang w:bidi="ar"/>
                    </w:rPr>
                  </w:pPr>
                  <w:r>
                    <w:rPr>
                      <w:rFonts w:hint="eastAsia"/>
                      <w:color w:val="FF0000"/>
                      <w:kern w:val="0"/>
                      <w:sz w:val="21"/>
                      <w:szCs w:val="21"/>
                      <w:lang w:bidi="ar"/>
                    </w:rPr>
                    <w:t>47.25</w:t>
                  </w:r>
                </w:p>
              </w:tc>
              <w:tc>
                <w:tcPr>
                  <w:tcW w:w="0" w:type="auto"/>
                  <w:noWrap w:val="0"/>
                  <w:vAlign w:val="center"/>
                </w:tcPr>
                <w:p>
                  <w:pPr>
                    <w:widowControl/>
                    <w:adjustRightInd w:val="0"/>
                    <w:snapToGrid w:val="0"/>
                    <w:jc w:val="center"/>
                    <w:textAlignment w:val="bottom"/>
                    <w:rPr>
                      <w:rFonts w:hint="default" w:eastAsia="宋体"/>
                      <w:color w:val="FF0000"/>
                      <w:kern w:val="0"/>
                      <w:sz w:val="21"/>
                      <w:szCs w:val="21"/>
                      <w:lang w:val="en-US" w:eastAsia="zh-CN" w:bidi="ar"/>
                    </w:rPr>
                  </w:pPr>
                  <w:r>
                    <w:rPr>
                      <w:rFonts w:hint="eastAsia"/>
                      <w:color w:val="FF0000"/>
                      <w:kern w:val="0"/>
                      <w:sz w:val="21"/>
                      <w:szCs w:val="21"/>
                      <w:lang w:bidi="ar"/>
                    </w:rPr>
                    <w:t>38.95</w:t>
                  </w:r>
                </w:p>
              </w:tc>
              <w:tc>
                <w:tcPr>
                  <w:tcW w:w="0" w:type="auto"/>
                  <w:noWrap w:val="0"/>
                  <w:vAlign w:val="center"/>
                </w:tcPr>
                <w:p>
                  <w:pPr>
                    <w:widowControl/>
                    <w:adjustRightInd w:val="0"/>
                    <w:snapToGrid w:val="0"/>
                    <w:jc w:val="center"/>
                    <w:textAlignment w:val="bottom"/>
                    <w:rPr>
                      <w:color w:val="FF0000"/>
                      <w:kern w:val="0"/>
                      <w:sz w:val="21"/>
                      <w:szCs w:val="21"/>
                      <w:lang w:bidi="ar"/>
                    </w:rPr>
                  </w:pPr>
                  <w:r>
                    <w:rPr>
                      <w:rFonts w:hint="eastAsia"/>
                      <w:color w:val="FF0000"/>
                      <w:kern w:val="0"/>
                      <w:sz w:val="21"/>
                      <w:szCs w:val="21"/>
                      <w:lang w:bidi="ar"/>
                    </w:rPr>
                    <w:t>34.78</w:t>
                  </w:r>
                </w:p>
              </w:tc>
              <w:tc>
                <w:tcPr>
                  <w:tcW w:w="0" w:type="auto"/>
                  <w:noWrap w:val="0"/>
                  <w:vAlign w:val="center"/>
                </w:tcPr>
                <w:p>
                  <w:pPr>
                    <w:widowControl/>
                    <w:adjustRightInd w:val="0"/>
                    <w:snapToGrid w:val="0"/>
                    <w:jc w:val="center"/>
                    <w:textAlignment w:val="bottom"/>
                    <w:rPr>
                      <w:color w:val="FF0000"/>
                      <w:kern w:val="0"/>
                      <w:sz w:val="21"/>
                      <w:szCs w:val="21"/>
                      <w:lang w:bidi="ar"/>
                    </w:rPr>
                  </w:pPr>
                  <w:r>
                    <w:rPr>
                      <w:rFonts w:hint="eastAsia"/>
                      <w:color w:val="FF0000"/>
                      <w:kern w:val="0"/>
                      <w:sz w:val="21"/>
                      <w:szCs w:val="21"/>
                      <w:lang w:bidi="ar"/>
                    </w:rPr>
                    <w:t>31.98</w:t>
                  </w:r>
                </w:p>
              </w:tc>
              <w:tc>
                <w:tcPr>
                  <w:tcW w:w="0" w:type="auto"/>
                  <w:noWrap w:val="0"/>
                  <w:vAlign w:val="center"/>
                </w:tcPr>
                <w:p>
                  <w:pPr>
                    <w:widowControl/>
                    <w:adjustRightInd w:val="0"/>
                    <w:snapToGrid w:val="0"/>
                    <w:jc w:val="center"/>
                    <w:textAlignment w:val="bottom"/>
                    <w:rPr>
                      <w:color w:val="FF0000"/>
                      <w:kern w:val="0"/>
                      <w:sz w:val="21"/>
                      <w:szCs w:val="21"/>
                      <w:lang w:bidi="ar"/>
                    </w:rPr>
                  </w:pPr>
                  <w:r>
                    <w:rPr>
                      <w:rFonts w:hint="eastAsia"/>
                      <w:color w:val="FF0000"/>
                      <w:kern w:val="0"/>
                      <w:sz w:val="21"/>
                      <w:szCs w:val="21"/>
                      <w:lang w:bidi="ar"/>
                    </w:rPr>
                    <w:t>29.86</w:t>
                  </w:r>
                </w:p>
              </w:tc>
              <w:tc>
                <w:tcPr>
                  <w:tcW w:w="0" w:type="auto"/>
                  <w:noWrap w:val="0"/>
                  <w:vAlign w:val="center"/>
                </w:tcPr>
                <w:p>
                  <w:pPr>
                    <w:widowControl/>
                    <w:adjustRightInd w:val="0"/>
                    <w:snapToGrid w:val="0"/>
                    <w:jc w:val="center"/>
                    <w:textAlignment w:val="bottom"/>
                    <w:rPr>
                      <w:color w:val="FF0000"/>
                      <w:kern w:val="0"/>
                      <w:sz w:val="21"/>
                      <w:szCs w:val="21"/>
                      <w:lang w:bidi="ar"/>
                    </w:rPr>
                  </w:pPr>
                  <w:r>
                    <w:rPr>
                      <w:rFonts w:hint="eastAsia"/>
                      <w:color w:val="FF0000"/>
                      <w:kern w:val="0"/>
                      <w:sz w:val="21"/>
                      <w:szCs w:val="21"/>
                      <w:lang w:bidi="ar"/>
                    </w:rPr>
                    <w:t>28.17</w:t>
                  </w:r>
                </w:p>
              </w:tc>
              <w:tc>
                <w:tcPr>
                  <w:tcW w:w="0" w:type="auto"/>
                  <w:noWrap w:val="0"/>
                  <w:vAlign w:val="center"/>
                </w:tcPr>
                <w:p>
                  <w:pPr>
                    <w:widowControl/>
                    <w:adjustRightInd w:val="0"/>
                    <w:snapToGrid w:val="0"/>
                    <w:jc w:val="center"/>
                    <w:textAlignment w:val="bottom"/>
                    <w:rPr>
                      <w:color w:val="FF0000"/>
                      <w:kern w:val="0"/>
                      <w:sz w:val="21"/>
                      <w:szCs w:val="21"/>
                      <w:lang w:bidi="ar"/>
                    </w:rPr>
                  </w:pPr>
                  <w:r>
                    <w:rPr>
                      <w:rFonts w:hint="eastAsia"/>
                      <w:color w:val="FF0000"/>
                      <w:kern w:val="0"/>
                      <w:sz w:val="21"/>
                      <w:szCs w:val="21"/>
                      <w:lang w:bidi="ar"/>
                    </w:rPr>
                    <w:t>26.11</w:t>
                  </w:r>
                </w:p>
              </w:tc>
              <w:tc>
                <w:tcPr>
                  <w:tcW w:w="0" w:type="auto"/>
                  <w:noWrap w:val="0"/>
                  <w:vAlign w:val="center"/>
                </w:tcPr>
                <w:p>
                  <w:pPr>
                    <w:widowControl/>
                    <w:adjustRightInd w:val="0"/>
                    <w:snapToGrid w:val="0"/>
                    <w:jc w:val="center"/>
                    <w:textAlignment w:val="bottom"/>
                    <w:rPr>
                      <w:color w:val="FF0000"/>
                      <w:kern w:val="0"/>
                      <w:sz w:val="21"/>
                      <w:szCs w:val="21"/>
                      <w:lang w:bidi="ar"/>
                    </w:rPr>
                  </w:pPr>
                  <w:r>
                    <w:rPr>
                      <w:rFonts w:hint="eastAsia"/>
                      <w:color w:val="FF0000"/>
                      <w:kern w:val="0"/>
                      <w:sz w:val="21"/>
                      <w:szCs w:val="21"/>
                      <w:lang w:bidi="ar"/>
                    </w:rPr>
                    <w:t>23.50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575" w:type="dxa"/>
                  <w:vMerge w:val="continue"/>
                  <w:noWrap w:val="0"/>
                  <w:vAlign w:val="center"/>
                </w:tcPr>
                <w:p>
                  <w:pPr>
                    <w:adjustRightInd w:val="0"/>
                    <w:snapToGrid w:val="0"/>
                    <w:ind w:left="-105" w:leftChars="-50" w:right="-105" w:rightChars="-50"/>
                    <w:jc w:val="center"/>
                    <w:rPr>
                      <w:color w:val="FF0000"/>
                      <w:kern w:val="0"/>
                      <w:sz w:val="21"/>
                      <w:szCs w:val="21"/>
                    </w:rPr>
                  </w:pPr>
                </w:p>
              </w:tc>
              <w:tc>
                <w:tcPr>
                  <w:tcW w:w="795" w:type="dxa"/>
                  <w:vMerge w:val="continue"/>
                  <w:noWrap w:val="0"/>
                  <w:vAlign w:val="center"/>
                </w:tcPr>
                <w:p>
                  <w:pPr>
                    <w:adjustRightInd w:val="0"/>
                    <w:snapToGrid w:val="0"/>
                    <w:ind w:left="-105" w:leftChars="-50" w:right="-105" w:rightChars="-50"/>
                    <w:jc w:val="center"/>
                    <w:rPr>
                      <w:color w:val="FF0000"/>
                      <w:kern w:val="0"/>
                      <w:sz w:val="21"/>
                      <w:szCs w:val="21"/>
                    </w:rPr>
                  </w:pPr>
                </w:p>
              </w:tc>
              <w:tc>
                <w:tcPr>
                  <w:tcW w:w="705" w:type="dxa"/>
                  <w:noWrap w:val="0"/>
                  <w:vAlign w:val="center"/>
                </w:tcPr>
                <w:p>
                  <w:pPr>
                    <w:adjustRightInd w:val="0"/>
                    <w:snapToGrid w:val="0"/>
                    <w:ind w:left="-105" w:leftChars="-50" w:right="-105" w:rightChars="-50"/>
                    <w:jc w:val="center"/>
                    <w:rPr>
                      <w:color w:val="FF0000"/>
                      <w:kern w:val="0"/>
                      <w:sz w:val="21"/>
                      <w:szCs w:val="21"/>
                    </w:rPr>
                  </w:pPr>
                  <w:r>
                    <w:rPr>
                      <w:color w:val="FF0000"/>
                      <w:kern w:val="0"/>
                      <w:sz w:val="21"/>
                      <w:szCs w:val="21"/>
                    </w:rPr>
                    <w:t>夜间</w:t>
                  </w:r>
                </w:p>
              </w:tc>
              <w:tc>
                <w:tcPr>
                  <w:tcW w:w="575" w:type="dxa"/>
                  <w:noWrap w:val="0"/>
                  <w:vAlign w:val="center"/>
                </w:tcPr>
                <w:p>
                  <w:pPr>
                    <w:adjustRightInd w:val="0"/>
                    <w:snapToGrid w:val="0"/>
                    <w:ind w:left="-105" w:leftChars="-50" w:right="-105" w:rightChars="-50"/>
                    <w:jc w:val="center"/>
                    <w:rPr>
                      <w:rFonts w:hint="default" w:eastAsia="宋体"/>
                      <w:color w:val="FF0000"/>
                      <w:kern w:val="0"/>
                      <w:sz w:val="21"/>
                      <w:szCs w:val="21"/>
                      <w:lang w:val="en-US" w:eastAsia="zh-CN" w:bidi="ar"/>
                    </w:rPr>
                  </w:pPr>
                  <w:r>
                    <w:rPr>
                      <w:rFonts w:hint="eastAsia"/>
                      <w:color w:val="FF0000"/>
                      <w:kern w:val="0"/>
                      <w:sz w:val="21"/>
                      <w:szCs w:val="21"/>
                      <w:lang w:val="en-US" w:eastAsia="zh-CN" w:bidi="ar"/>
                    </w:rPr>
                    <w:t>72.25</w:t>
                  </w:r>
                </w:p>
              </w:tc>
              <w:tc>
                <w:tcPr>
                  <w:tcW w:w="0" w:type="auto"/>
                  <w:noWrap w:val="0"/>
                  <w:vAlign w:val="center"/>
                </w:tcPr>
                <w:p>
                  <w:pPr>
                    <w:widowControl/>
                    <w:adjustRightInd w:val="0"/>
                    <w:snapToGrid w:val="0"/>
                    <w:jc w:val="center"/>
                    <w:textAlignment w:val="bottom"/>
                    <w:rPr>
                      <w:color w:val="FF0000"/>
                      <w:kern w:val="0"/>
                      <w:sz w:val="21"/>
                      <w:szCs w:val="21"/>
                      <w:lang w:bidi="ar"/>
                    </w:rPr>
                  </w:pPr>
                  <w:r>
                    <w:rPr>
                      <w:rFonts w:hint="eastAsia"/>
                      <w:color w:val="FF0000"/>
                      <w:kern w:val="0"/>
                      <w:sz w:val="21"/>
                      <w:szCs w:val="21"/>
                      <w:lang w:bidi="ar"/>
                    </w:rPr>
                    <w:t>46.87</w:t>
                  </w:r>
                </w:p>
              </w:tc>
              <w:tc>
                <w:tcPr>
                  <w:tcW w:w="0" w:type="auto"/>
                  <w:noWrap w:val="0"/>
                  <w:vAlign w:val="center"/>
                </w:tcPr>
                <w:p>
                  <w:pPr>
                    <w:widowControl/>
                    <w:adjustRightInd w:val="0"/>
                    <w:snapToGrid w:val="0"/>
                    <w:jc w:val="center"/>
                    <w:textAlignment w:val="bottom"/>
                    <w:rPr>
                      <w:rFonts w:hint="default" w:eastAsia="宋体"/>
                      <w:color w:val="FF0000"/>
                      <w:kern w:val="0"/>
                      <w:sz w:val="21"/>
                      <w:szCs w:val="21"/>
                      <w:lang w:val="en-US" w:eastAsia="zh-CN" w:bidi="ar"/>
                    </w:rPr>
                  </w:pPr>
                  <w:r>
                    <w:rPr>
                      <w:rFonts w:hint="eastAsia"/>
                      <w:color w:val="FF0000"/>
                      <w:kern w:val="0"/>
                      <w:sz w:val="21"/>
                      <w:szCs w:val="21"/>
                      <w:lang w:bidi="ar"/>
                    </w:rPr>
                    <w:t>38.57</w:t>
                  </w:r>
                </w:p>
              </w:tc>
              <w:tc>
                <w:tcPr>
                  <w:tcW w:w="0" w:type="auto"/>
                  <w:noWrap w:val="0"/>
                  <w:vAlign w:val="center"/>
                </w:tcPr>
                <w:p>
                  <w:pPr>
                    <w:widowControl/>
                    <w:adjustRightInd w:val="0"/>
                    <w:snapToGrid w:val="0"/>
                    <w:jc w:val="center"/>
                    <w:textAlignment w:val="bottom"/>
                    <w:rPr>
                      <w:color w:val="FF0000"/>
                      <w:kern w:val="0"/>
                      <w:sz w:val="21"/>
                      <w:szCs w:val="21"/>
                      <w:lang w:bidi="ar"/>
                    </w:rPr>
                  </w:pPr>
                  <w:r>
                    <w:rPr>
                      <w:rFonts w:hint="eastAsia"/>
                      <w:color w:val="FF0000"/>
                      <w:kern w:val="0"/>
                      <w:sz w:val="21"/>
                      <w:szCs w:val="21"/>
                      <w:lang w:bidi="ar"/>
                    </w:rPr>
                    <w:t>34.41</w:t>
                  </w:r>
                </w:p>
              </w:tc>
              <w:tc>
                <w:tcPr>
                  <w:tcW w:w="0" w:type="auto"/>
                  <w:noWrap w:val="0"/>
                  <w:vAlign w:val="center"/>
                </w:tcPr>
                <w:p>
                  <w:pPr>
                    <w:widowControl/>
                    <w:adjustRightInd w:val="0"/>
                    <w:snapToGrid w:val="0"/>
                    <w:jc w:val="center"/>
                    <w:textAlignment w:val="bottom"/>
                    <w:rPr>
                      <w:color w:val="FF0000"/>
                      <w:kern w:val="0"/>
                      <w:sz w:val="21"/>
                      <w:szCs w:val="21"/>
                      <w:lang w:bidi="ar"/>
                    </w:rPr>
                  </w:pPr>
                  <w:r>
                    <w:rPr>
                      <w:rFonts w:hint="eastAsia"/>
                      <w:color w:val="FF0000"/>
                      <w:kern w:val="0"/>
                      <w:sz w:val="21"/>
                      <w:szCs w:val="21"/>
                      <w:lang w:bidi="ar"/>
                    </w:rPr>
                    <w:t>31.60</w:t>
                  </w:r>
                </w:p>
              </w:tc>
              <w:tc>
                <w:tcPr>
                  <w:tcW w:w="0" w:type="auto"/>
                  <w:noWrap w:val="0"/>
                  <w:vAlign w:val="center"/>
                </w:tcPr>
                <w:p>
                  <w:pPr>
                    <w:widowControl/>
                    <w:adjustRightInd w:val="0"/>
                    <w:snapToGrid w:val="0"/>
                    <w:jc w:val="center"/>
                    <w:textAlignment w:val="bottom"/>
                    <w:rPr>
                      <w:color w:val="FF0000"/>
                      <w:kern w:val="0"/>
                      <w:sz w:val="21"/>
                      <w:szCs w:val="21"/>
                      <w:lang w:bidi="ar"/>
                    </w:rPr>
                  </w:pPr>
                  <w:r>
                    <w:rPr>
                      <w:rFonts w:hint="eastAsia"/>
                      <w:color w:val="FF0000"/>
                      <w:kern w:val="0"/>
                      <w:sz w:val="21"/>
                      <w:szCs w:val="21"/>
                      <w:lang w:bidi="ar"/>
                    </w:rPr>
                    <w:t>29.48</w:t>
                  </w:r>
                </w:p>
              </w:tc>
              <w:tc>
                <w:tcPr>
                  <w:tcW w:w="0" w:type="auto"/>
                  <w:noWrap w:val="0"/>
                  <w:vAlign w:val="center"/>
                </w:tcPr>
                <w:p>
                  <w:pPr>
                    <w:widowControl/>
                    <w:adjustRightInd w:val="0"/>
                    <w:snapToGrid w:val="0"/>
                    <w:jc w:val="center"/>
                    <w:textAlignment w:val="bottom"/>
                    <w:rPr>
                      <w:color w:val="FF0000"/>
                      <w:kern w:val="0"/>
                      <w:sz w:val="21"/>
                      <w:szCs w:val="21"/>
                      <w:lang w:bidi="ar"/>
                    </w:rPr>
                  </w:pPr>
                  <w:r>
                    <w:rPr>
                      <w:rFonts w:hint="eastAsia"/>
                      <w:color w:val="FF0000"/>
                      <w:kern w:val="0"/>
                      <w:sz w:val="21"/>
                      <w:szCs w:val="21"/>
                      <w:lang w:bidi="ar"/>
                    </w:rPr>
                    <w:t>27.78</w:t>
                  </w:r>
                </w:p>
              </w:tc>
              <w:tc>
                <w:tcPr>
                  <w:tcW w:w="0" w:type="auto"/>
                  <w:noWrap w:val="0"/>
                  <w:vAlign w:val="center"/>
                </w:tcPr>
                <w:p>
                  <w:pPr>
                    <w:widowControl/>
                    <w:adjustRightInd w:val="0"/>
                    <w:snapToGrid w:val="0"/>
                    <w:jc w:val="center"/>
                    <w:textAlignment w:val="bottom"/>
                    <w:rPr>
                      <w:color w:val="FF0000"/>
                      <w:kern w:val="0"/>
                      <w:sz w:val="21"/>
                      <w:szCs w:val="21"/>
                      <w:lang w:bidi="ar"/>
                    </w:rPr>
                  </w:pPr>
                  <w:r>
                    <w:rPr>
                      <w:rFonts w:hint="eastAsia"/>
                      <w:color w:val="FF0000"/>
                      <w:kern w:val="0"/>
                      <w:sz w:val="21"/>
                      <w:szCs w:val="21"/>
                      <w:lang w:bidi="ar"/>
                    </w:rPr>
                    <w:t>25.73</w:t>
                  </w:r>
                </w:p>
              </w:tc>
              <w:tc>
                <w:tcPr>
                  <w:tcW w:w="0" w:type="auto"/>
                  <w:noWrap w:val="0"/>
                  <w:vAlign w:val="center"/>
                </w:tcPr>
                <w:p>
                  <w:pPr>
                    <w:widowControl/>
                    <w:adjustRightInd w:val="0"/>
                    <w:snapToGrid w:val="0"/>
                    <w:jc w:val="center"/>
                    <w:textAlignment w:val="bottom"/>
                    <w:rPr>
                      <w:color w:val="FF0000"/>
                      <w:kern w:val="0"/>
                      <w:sz w:val="21"/>
                      <w:szCs w:val="21"/>
                      <w:lang w:bidi="ar"/>
                    </w:rPr>
                  </w:pPr>
                  <w:r>
                    <w:rPr>
                      <w:rFonts w:hint="eastAsia"/>
                      <w:color w:val="FF0000"/>
                      <w:kern w:val="0"/>
                      <w:sz w:val="21"/>
                      <w:szCs w:val="21"/>
                      <w:lang w:bidi="ar"/>
                    </w:rPr>
                    <w:t>23.12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575" w:type="dxa"/>
                  <w:vMerge w:val="continue"/>
                  <w:noWrap w:val="0"/>
                  <w:vAlign w:val="center"/>
                </w:tcPr>
                <w:p>
                  <w:pPr>
                    <w:adjustRightInd w:val="0"/>
                    <w:snapToGrid w:val="0"/>
                    <w:ind w:left="-105" w:leftChars="-50" w:right="-105" w:rightChars="-50"/>
                    <w:jc w:val="center"/>
                    <w:rPr>
                      <w:color w:val="FF0000"/>
                      <w:kern w:val="0"/>
                      <w:sz w:val="21"/>
                      <w:szCs w:val="21"/>
                    </w:rPr>
                  </w:pPr>
                </w:p>
              </w:tc>
              <w:tc>
                <w:tcPr>
                  <w:tcW w:w="795" w:type="dxa"/>
                  <w:vMerge w:val="restart"/>
                  <w:noWrap w:val="0"/>
                  <w:vAlign w:val="center"/>
                </w:tcPr>
                <w:p>
                  <w:pPr>
                    <w:adjustRightInd w:val="0"/>
                    <w:snapToGrid w:val="0"/>
                    <w:ind w:left="-105" w:leftChars="-50" w:right="-105" w:rightChars="-50"/>
                    <w:jc w:val="center"/>
                    <w:rPr>
                      <w:color w:val="FF0000"/>
                      <w:kern w:val="0"/>
                      <w:sz w:val="21"/>
                      <w:szCs w:val="21"/>
                    </w:rPr>
                  </w:pPr>
                  <w:r>
                    <w:rPr>
                      <w:color w:val="FF0000"/>
                      <w:kern w:val="0"/>
                      <w:sz w:val="21"/>
                      <w:szCs w:val="21"/>
                    </w:rPr>
                    <w:t>20</w:t>
                  </w:r>
                  <w:r>
                    <w:rPr>
                      <w:rFonts w:hint="eastAsia"/>
                      <w:color w:val="FF0000"/>
                      <w:kern w:val="0"/>
                      <w:sz w:val="21"/>
                      <w:szCs w:val="21"/>
                      <w:lang w:val="en-US" w:eastAsia="zh-CN"/>
                    </w:rPr>
                    <w:t>30</w:t>
                  </w:r>
                  <w:r>
                    <w:rPr>
                      <w:color w:val="FF0000"/>
                      <w:kern w:val="0"/>
                      <w:sz w:val="21"/>
                      <w:szCs w:val="21"/>
                    </w:rPr>
                    <w:t>年</w:t>
                  </w:r>
                </w:p>
              </w:tc>
              <w:tc>
                <w:tcPr>
                  <w:tcW w:w="705" w:type="dxa"/>
                  <w:noWrap w:val="0"/>
                  <w:vAlign w:val="center"/>
                </w:tcPr>
                <w:p>
                  <w:pPr>
                    <w:adjustRightInd w:val="0"/>
                    <w:snapToGrid w:val="0"/>
                    <w:ind w:left="-105" w:leftChars="-50" w:right="-105" w:rightChars="-50"/>
                    <w:jc w:val="center"/>
                    <w:rPr>
                      <w:color w:val="FF0000"/>
                      <w:kern w:val="0"/>
                      <w:sz w:val="21"/>
                      <w:szCs w:val="21"/>
                    </w:rPr>
                  </w:pPr>
                  <w:r>
                    <w:rPr>
                      <w:color w:val="FF0000"/>
                      <w:kern w:val="0"/>
                      <w:sz w:val="21"/>
                      <w:szCs w:val="21"/>
                    </w:rPr>
                    <w:t>昼间</w:t>
                  </w:r>
                </w:p>
              </w:tc>
              <w:tc>
                <w:tcPr>
                  <w:tcW w:w="575" w:type="dxa"/>
                  <w:noWrap w:val="0"/>
                  <w:vAlign w:val="center"/>
                </w:tcPr>
                <w:p>
                  <w:pPr>
                    <w:adjustRightInd w:val="0"/>
                    <w:snapToGrid w:val="0"/>
                    <w:ind w:left="-105" w:leftChars="-50" w:right="-105" w:rightChars="-50"/>
                    <w:jc w:val="center"/>
                    <w:rPr>
                      <w:rFonts w:hint="default" w:eastAsia="宋体"/>
                      <w:color w:val="FF0000"/>
                      <w:kern w:val="0"/>
                      <w:sz w:val="21"/>
                      <w:szCs w:val="21"/>
                      <w:lang w:val="en-US" w:eastAsia="zh-CN" w:bidi="ar"/>
                    </w:rPr>
                  </w:pPr>
                  <w:r>
                    <w:rPr>
                      <w:rFonts w:hint="eastAsia"/>
                      <w:color w:val="FF0000"/>
                      <w:kern w:val="0"/>
                      <w:sz w:val="21"/>
                      <w:szCs w:val="21"/>
                      <w:lang w:val="en-US" w:eastAsia="zh-CN" w:bidi="ar"/>
                    </w:rPr>
                    <w:t>73.56</w:t>
                  </w:r>
                </w:p>
              </w:tc>
              <w:tc>
                <w:tcPr>
                  <w:tcW w:w="0" w:type="auto"/>
                  <w:noWrap w:val="0"/>
                  <w:vAlign w:val="center"/>
                </w:tcPr>
                <w:p>
                  <w:pPr>
                    <w:widowControl/>
                    <w:adjustRightInd w:val="0"/>
                    <w:snapToGrid w:val="0"/>
                    <w:jc w:val="center"/>
                    <w:textAlignment w:val="bottom"/>
                    <w:rPr>
                      <w:color w:val="FF0000"/>
                      <w:kern w:val="0"/>
                      <w:sz w:val="21"/>
                      <w:szCs w:val="21"/>
                      <w:lang w:bidi="ar"/>
                    </w:rPr>
                  </w:pPr>
                  <w:r>
                    <w:rPr>
                      <w:rFonts w:hint="eastAsia"/>
                      <w:color w:val="FF0000"/>
                      <w:kern w:val="0"/>
                      <w:sz w:val="21"/>
                      <w:szCs w:val="21"/>
                      <w:lang w:bidi="ar"/>
                    </w:rPr>
                    <w:t>47.37</w:t>
                  </w:r>
                </w:p>
              </w:tc>
              <w:tc>
                <w:tcPr>
                  <w:tcW w:w="0" w:type="auto"/>
                  <w:noWrap w:val="0"/>
                  <w:vAlign w:val="center"/>
                </w:tcPr>
                <w:p>
                  <w:pPr>
                    <w:widowControl/>
                    <w:adjustRightInd w:val="0"/>
                    <w:snapToGrid w:val="0"/>
                    <w:jc w:val="center"/>
                    <w:textAlignment w:val="bottom"/>
                    <w:rPr>
                      <w:color w:val="FF0000"/>
                      <w:kern w:val="0"/>
                      <w:sz w:val="21"/>
                      <w:szCs w:val="21"/>
                      <w:lang w:bidi="ar"/>
                    </w:rPr>
                  </w:pPr>
                  <w:r>
                    <w:rPr>
                      <w:rFonts w:hint="eastAsia"/>
                      <w:color w:val="FF0000"/>
                      <w:kern w:val="0"/>
                      <w:sz w:val="21"/>
                      <w:szCs w:val="21"/>
                      <w:lang w:bidi="ar"/>
                    </w:rPr>
                    <w:t>39.07</w:t>
                  </w:r>
                </w:p>
              </w:tc>
              <w:tc>
                <w:tcPr>
                  <w:tcW w:w="0" w:type="auto"/>
                  <w:noWrap w:val="0"/>
                  <w:vAlign w:val="center"/>
                </w:tcPr>
                <w:p>
                  <w:pPr>
                    <w:widowControl/>
                    <w:adjustRightInd w:val="0"/>
                    <w:snapToGrid w:val="0"/>
                    <w:jc w:val="center"/>
                    <w:textAlignment w:val="bottom"/>
                    <w:rPr>
                      <w:color w:val="FF0000"/>
                      <w:kern w:val="0"/>
                      <w:sz w:val="21"/>
                      <w:szCs w:val="21"/>
                      <w:lang w:bidi="ar"/>
                    </w:rPr>
                  </w:pPr>
                  <w:r>
                    <w:rPr>
                      <w:rFonts w:hint="eastAsia"/>
                      <w:color w:val="FF0000"/>
                      <w:kern w:val="0"/>
                      <w:sz w:val="21"/>
                      <w:szCs w:val="21"/>
                      <w:lang w:bidi="ar"/>
                    </w:rPr>
                    <w:t>34.91</w:t>
                  </w:r>
                </w:p>
              </w:tc>
              <w:tc>
                <w:tcPr>
                  <w:tcW w:w="0" w:type="auto"/>
                  <w:noWrap w:val="0"/>
                  <w:vAlign w:val="center"/>
                </w:tcPr>
                <w:p>
                  <w:pPr>
                    <w:widowControl/>
                    <w:adjustRightInd w:val="0"/>
                    <w:snapToGrid w:val="0"/>
                    <w:jc w:val="center"/>
                    <w:textAlignment w:val="bottom"/>
                    <w:rPr>
                      <w:color w:val="FF0000"/>
                      <w:kern w:val="0"/>
                      <w:sz w:val="21"/>
                      <w:szCs w:val="21"/>
                      <w:lang w:bidi="ar"/>
                    </w:rPr>
                  </w:pPr>
                  <w:r>
                    <w:rPr>
                      <w:rFonts w:hint="eastAsia"/>
                      <w:color w:val="FF0000"/>
                      <w:kern w:val="0"/>
                      <w:sz w:val="21"/>
                      <w:szCs w:val="21"/>
                      <w:lang w:bidi="ar"/>
                    </w:rPr>
                    <w:t>32.10</w:t>
                  </w:r>
                </w:p>
              </w:tc>
              <w:tc>
                <w:tcPr>
                  <w:tcW w:w="0" w:type="auto"/>
                  <w:noWrap w:val="0"/>
                  <w:vAlign w:val="center"/>
                </w:tcPr>
                <w:p>
                  <w:pPr>
                    <w:widowControl/>
                    <w:adjustRightInd w:val="0"/>
                    <w:snapToGrid w:val="0"/>
                    <w:jc w:val="center"/>
                    <w:textAlignment w:val="bottom"/>
                    <w:rPr>
                      <w:color w:val="FF0000"/>
                      <w:kern w:val="0"/>
                      <w:sz w:val="21"/>
                      <w:szCs w:val="21"/>
                      <w:lang w:bidi="ar"/>
                    </w:rPr>
                  </w:pPr>
                  <w:r>
                    <w:rPr>
                      <w:rFonts w:hint="eastAsia"/>
                      <w:color w:val="FF0000"/>
                      <w:kern w:val="0"/>
                      <w:sz w:val="21"/>
                      <w:szCs w:val="21"/>
                      <w:lang w:bidi="ar"/>
                    </w:rPr>
                    <w:t>29.98</w:t>
                  </w:r>
                </w:p>
              </w:tc>
              <w:tc>
                <w:tcPr>
                  <w:tcW w:w="0" w:type="auto"/>
                  <w:noWrap w:val="0"/>
                  <w:vAlign w:val="center"/>
                </w:tcPr>
                <w:p>
                  <w:pPr>
                    <w:widowControl/>
                    <w:adjustRightInd w:val="0"/>
                    <w:snapToGrid w:val="0"/>
                    <w:jc w:val="center"/>
                    <w:textAlignment w:val="bottom"/>
                    <w:rPr>
                      <w:color w:val="FF0000"/>
                      <w:kern w:val="0"/>
                      <w:sz w:val="21"/>
                      <w:szCs w:val="21"/>
                      <w:lang w:bidi="ar"/>
                    </w:rPr>
                  </w:pPr>
                  <w:r>
                    <w:rPr>
                      <w:rFonts w:hint="eastAsia"/>
                      <w:color w:val="FF0000"/>
                      <w:kern w:val="0"/>
                      <w:sz w:val="21"/>
                      <w:szCs w:val="21"/>
                      <w:lang w:bidi="ar"/>
                    </w:rPr>
                    <w:t>28.28</w:t>
                  </w:r>
                </w:p>
              </w:tc>
              <w:tc>
                <w:tcPr>
                  <w:tcW w:w="0" w:type="auto"/>
                  <w:noWrap w:val="0"/>
                  <w:vAlign w:val="center"/>
                </w:tcPr>
                <w:p>
                  <w:pPr>
                    <w:widowControl/>
                    <w:adjustRightInd w:val="0"/>
                    <w:snapToGrid w:val="0"/>
                    <w:jc w:val="center"/>
                    <w:textAlignment w:val="bottom"/>
                    <w:rPr>
                      <w:color w:val="FF0000"/>
                      <w:kern w:val="0"/>
                      <w:sz w:val="21"/>
                      <w:szCs w:val="21"/>
                      <w:lang w:bidi="ar"/>
                    </w:rPr>
                  </w:pPr>
                  <w:r>
                    <w:rPr>
                      <w:rFonts w:hint="eastAsia"/>
                      <w:color w:val="FF0000"/>
                      <w:kern w:val="0"/>
                      <w:sz w:val="21"/>
                      <w:szCs w:val="21"/>
                      <w:lang w:bidi="ar"/>
                    </w:rPr>
                    <w:t>26.23</w:t>
                  </w:r>
                </w:p>
              </w:tc>
              <w:tc>
                <w:tcPr>
                  <w:tcW w:w="0" w:type="auto"/>
                  <w:noWrap w:val="0"/>
                  <w:vAlign w:val="center"/>
                </w:tcPr>
                <w:p>
                  <w:pPr>
                    <w:widowControl/>
                    <w:adjustRightInd w:val="0"/>
                    <w:snapToGrid w:val="0"/>
                    <w:jc w:val="center"/>
                    <w:textAlignment w:val="bottom"/>
                    <w:rPr>
                      <w:color w:val="FF0000"/>
                      <w:kern w:val="0"/>
                      <w:sz w:val="21"/>
                      <w:szCs w:val="21"/>
                      <w:lang w:bidi="ar"/>
                    </w:rPr>
                  </w:pPr>
                  <w:r>
                    <w:rPr>
                      <w:rFonts w:hint="eastAsia"/>
                      <w:color w:val="FF0000"/>
                      <w:kern w:val="0"/>
                      <w:sz w:val="21"/>
                      <w:szCs w:val="21"/>
                      <w:lang w:bidi="ar"/>
                    </w:rPr>
                    <w:t>23.62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575" w:type="dxa"/>
                  <w:vMerge w:val="continue"/>
                  <w:noWrap w:val="0"/>
                  <w:vAlign w:val="center"/>
                </w:tcPr>
                <w:p>
                  <w:pPr>
                    <w:adjustRightInd w:val="0"/>
                    <w:snapToGrid w:val="0"/>
                    <w:ind w:left="-105" w:leftChars="-50" w:right="-105" w:rightChars="-50"/>
                    <w:jc w:val="center"/>
                    <w:rPr>
                      <w:color w:val="FF0000"/>
                      <w:kern w:val="0"/>
                      <w:sz w:val="21"/>
                      <w:szCs w:val="21"/>
                    </w:rPr>
                  </w:pPr>
                </w:p>
              </w:tc>
              <w:tc>
                <w:tcPr>
                  <w:tcW w:w="795" w:type="dxa"/>
                  <w:vMerge w:val="continue"/>
                  <w:noWrap w:val="0"/>
                  <w:vAlign w:val="center"/>
                </w:tcPr>
                <w:p>
                  <w:pPr>
                    <w:adjustRightInd w:val="0"/>
                    <w:snapToGrid w:val="0"/>
                    <w:ind w:left="-105" w:leftChars="-50" w:right="-105" w:rightChars="-50"/>
                    <w:jc w:val="center"/>
                    <w:rPr>
                      <w:color w:val="FF0000"/>
                      <w:kern w:val="0"/>
                      <w:sz w:val="21"/>
                      <w:szCs w:val="21"/>
                    </w:rPr>
                  </w:pPr>
                </w:p>
              </w:tc>
              <w:tc>
                <w:tcPr>
                  <w:tcW w:w="705" w:type="dxa"/>
                  <w:noWrap w:val="0"/>
                  <w:vAlign w:val="center"/>
                </w:tcPr>
                <w:p>
                  <w:pPr>
                    <w:adjustRightInd w:val="0"/>
                    <w:snapToGrid w:val="0"/>
                    <w:ind w:left="-105" w:leftChars="-50" w:right="-105" w:rightChars="-50"/>
                    <w:jc w:val="center"/>
                    <w:rPr>
                      <w:color w:val="FF0000"/>
                      <w:kern w:val="0"/>
                      <w:sz w:val="21"/>
                      <w:szCs w:val="21"/>
                    </w:rPr>
                  </w:pPr>
                  <w:r>
                    <w:rPr>
                      <w:color w:val="FF0000"/>
                      <w:kern w:val="0"/>
                      <w:sz w:val="21"/>
                      <w:szCs w:val="21"/>
                    </w:rPr>
                    <w:t>夜间</w:t>
                  </w:r>
                </w:p>
              </w:tc>
              <w:tc>
                <w:tcPr>
                  <w:tcW w:w="575" w:type="dxa"/>
                  <w:noWrap w:val="0"/>
                  <w:vAlign w:val="center"/>
                </w:tcPr>
                <w:p>
                  <w:pPr>
                    <w:adjustRightInd w:val="0"/>
                    <w:snapToGrid w:val="0"/>
                    <w:ind w:left="-105" w:leftChars="-50" w:right="-105" w:rightChars="-50"/>
                    <w:jc w:val="center"/>
                    <w:rPr>
                      <w:rFonts w:hint="default" w:eastAsia="宋体"/>
                      <w:color w:val="FF0000"/>
                      <w:kern w:val="0"/>
                      <w:sz w:val="21"/>
                      <w:szCs w:val="21"/>
                      <w:lang w:val="en-US" w:eastAsia="zh-CN" w:bidi="ar"/>
                    </w:rPr>
                  </w:pPr>
                  <w:r>
                    <w:rPr>
                      <w:rFonts w:hint="eastAsia"/>
                      <w:color w:val="FF0000"/>
                      <w:kern w:val="0"/>
                      <w:sz w:val="21"/>
                      <w:szCs w:val="21"/>
                      <w:lang w:val="en-US" w:eastAsia="zh-CN" w:bidi="ar"/>
                    </w:rPr>
                    <w:t>72.82</w:t>
                  </w:r>
                </w:p>
              </w:tc>
              <w:tc>
                <w:tcPr>
                  <w:tcW w:w="0" w:type="auto"/>
                  <w:noWrap w:val="0"/>
                  <w:vAlign w:val="center"/>
                </w:tcPr>
                <w:p>
                  <w:pPr>
                    <w:widowControl/>
                    <w:adjustRightInd w:val="0"/>
                    <w:snapToGrid w:val="0"/>
                    <w:jc w:val="center"/>
                    <w:textAlignment w:val="bottom"/>
                    <w:rPr>
                      <w:color w:val="FF0000"/>
                      <w:kern w:val="0"/>
                      <w:sz w:val="21"/>
                      <w:szCs w:val="21"/>
                      <w:lang w:bidi="ar"/>
                    </w:rPr>
                  </w:pPr>
                  <w:r>
                    <w:rPr>
                      <w:rFonts w:hint="eastAsia"/>
                      <w:color w:val="FF0000"/>
                      <w:kern w:val="0"/>
                      <w:sz w:val="21"/>
                      <w:szCs w:val="21"/>
                      <w:lang w:bidi="ar"/>
                    </w:rPr>
                    <w:t>47.12</w:t>
                  </w:r>
                </w:p>
              </w:tc>
              <w:tc>
                <w:tcPr>
                  <w:tcW w:w="0" w:type="auto"/>
                  <w:noWrap w:val="0"/>
                  <w:vAlign w:val="center"/>
                </w:tcPr>
                <w:p>
                  <w:pPr>
                    <w:widowControl/>
                    <w:adjustRightInd w:val="0"/>
                    <w:snapToGrid w:val="0"/>
                    <w:jc w:val="center"/>
                    <w:textAlignment w:val="bottom"/>
                    <w:rPr>
                      <w:rFonts w:hint="default" w:eastAsia="宋体"/>
                      <w:color w:val="FF0000"/>
                      <w:kern w:val="0"/>
                      <w:sz w:val="21"/>
                      <w:szCs w:val="21"/>
                      <w:lang w:val="en-US" w:eastAsia="zh-CN" w:bidi="ar"/>
                    </w:rPr>
                  </w:pPr>
                  <w:r>
                    <w:rPr>
                      <w:rFonts w:hint="eastAsia"/>
                      <w:color w:val="FF0000"/>
                      <w:kern w:val="0"/>
                      <w:sz w:val="21"/>
                      <w:szCs w:val="21"/>
                      <w:lang w:bidi="ar"/>
                    </w:rPr>
                    <w:t>38.82</w:t>
                  </w:r>
                </w:p>
              </w:tc>
              <w:tc>
                <w:tcPr>
                  <w:tcW w:w="0" w:type="auto"/>
                  <w:noWrap w:val="0"/>
                  <w:vAlign w:val="center"/>
                </w:tcPr>
                <w:p>
                  <w:pPr>
                    <w:widowControl/>
                    <w:adjustRightInd w:val="0"/>
                    <w:snapToGrid w:val="0"/>
                    <w:jc w:val="center"/>
                    <w:textAlignment w:val="bottom"/>
                    <w:rPr>
                      <w:color w:val="FF0000"/>
                      <w:kern w:val="0"/>
                      <w:sz w:val="21"/>
                      <w:szCs w:val="21"/>
                      <w:lang w:bidi="ar"/>
                    </w:rPr>
                  </w:pPr>
                  <w:r>
                    <w:rPr>
                      <w:rFonts w:hint="eastAsia"/>
                      <w:color w:val="FF0000"/>
                      <w:kern w:val="0"/>
                      <w:sz w:val="21"/>
                      <w:szCs w:val="21"/>
                      <w:lang w:bidi="ar"/>
                    </w:rPr>
                    <w:t>34.65</w:t>
                  </w:r>
                </w:p>
              </w:tc>
              <w:tc>
                <w:tcPr>
                  <w:tcW w:w="0" w:type="auto"/>
                  <w:noWrap w:val="0"/>
                  <w:vAlign w:val="center"/>
                </w:tcPr>
                <w:p>
                  <w:pPr>
                    <w:widowControl/>
                    <w:adjustRightInd w:val="0"/>
                    <w:snapToGrid w:val="0"/>
                    <w:jc w:val="center"/>
                    <w:textAlignment w:val="bottom"/>
                    <w:rPr>
                      <w:color w:val="FF0000"/>
                      <w:kern w:val="0"/>
                      <w:sz w:val="21"/>
                      <w:szCs w:val="21"/>
                      <w:lang w:bidi="ar"/>
                    </w:rPr>
                  </w:pPr>
                  <w:r>
                    <w:rPr>
                      <w:rFonts w:hint="eastAsia"/>
                      <w:color w:val="FF0000"/>
                      <w:kern w:val="0"/>
                      <w:sz w:val="21"/>
                      <w:szCs w:val="21"/>
                      <w:lang w:bidi="ar"/>
                    </w:rPr>
                    <w:t>31.85</w:t>
                  </w:r>
                </w:p>
              </w:tc>
              <w:tc>
                <w:tcPr>
                  <w:tcW w:w="0" w:type="auto"/>
                  <w:noWrap w:val="0"/>
                  <w:vAlign w:val="center"/>
                </w:tcPr>
                <w:p>
                  <w:pPr>
                    <w:widowControl/>
                    <w:adjustRightInd w:val="0"/>
                    <w:snapToGrid w:val="0"/>
                    <w:jc w:val="center"/>
                    <w:textAlignment w:val="bottom"/>
                    <w:rPr>
                      <w:color w:val="FF0000"/>
                      <w:kern w:val="0"/>
                      <w:sz w:val="21"/>
                      <w:szCs w:val="21"/>
                      <w:lang w:bidi="ar"/>
                    </w:rPr>
                  </w:pPr>
                  <w:r>
                    <w:rPr>
                      <w:rFonts w:hint="eastAsia"/>
                      <w:color w:val="FF0000"/>
                      <w:kern w:val="0"/>
                      <w:sz w:val="21"/>
                      <w:szCs w:val="21"/>
                      <w:lang w:bidi="ar"/>
                    </w:rPr>
                    <w:t>29.73</w:t>
                  </w:r>
                </w:p>
              </w:tc>
              <w:tc>
                <w:tcPr>
                  <w:tcW w:w="0" w:type="auto"/>
                  <w:noWrap w:val="0"/>
                  <w:vAlign w:val="center"/>
                </w:tcPr>
                <w:p>
                  <w:pPr>
                    <w:widowControl/>
                    <w:adjustRightInd w:val="0"/>
                    <w:snapToGrid w:val="0"/>
                    <w:jc w:val="center"/>
                    <w:textAlignment w:val="bottom"/>
                    <w:rPr>
                      <w:color w:val="FF0000"/>
                      <w:kern w:val="0"/>
                      <w:sz w:val="21"/>
                      <w:szCs w:val="21"/>
                      <w:lang w:bidi="ar"/>
                    </w:rPr>
                  </w:pPr>
                  <w:r>
                    <w:rPr>
                      <w:rFonts w:hint="eastAsia"/>
                      <w:color w:val="FF0000"/>
                      <w:kern w:val="0"/>
                      <w:sz w:val="21"/>
                      <w:szCs w:val="21"/>
                      <w:lang w:bidi="ar"/>
                    </w:rPr>
                    <w:t>28.03</w:t>
                  </w:r>
                </w:p>
              </w:tc>
              <w:tc>
                <w:tcPr>
                  <w:tcW w:w="0" w:type="auto"/>
                  <w:noWrap w:val="0"/>
                  <w:vAlign w:val="center"/>
                </w:tcPr>
                <w:p>
                  <w:pPr>
                    <w:widowControl/>
                    <w:adjustRightInd w:val="0"/>
                    <w:snapToGrid w:val="0"/>
                    <w:jc w:val="center"/>
                    <w:textAlignment w:val="bottom"/>
                    <w:rPr>
                      <w:color w:val="FF0000"/>
                      <w:kern w:val="0"/>
                      <w:sz w:val="21"/>
                      <w:szCs w:val="21"/>
                      <w:lang w:bidi="ar"/>
                    </w:rPr>
                  </w:pPr>
                  <w:r>
                    <w:rPr>
                      <w:rFonts w:hint="eastAsia"/>
                      <w:color w:val="FF0000"/>
                      <w:kern w:val="0"/>
                      <w:sz w:val="21"/>
                      <w:szCs w:val="21"/>
                      <w:lang w:bidi="ar"/>
                    </w:rPr>
                    <w:t>25.98</w:t>
                  </w:r>
                </w:p>
              </w:tc>
              <w:tc>
                <w:tcPr>
                  <w:tcW w:w="0" w:type="auto"/>
                  <w:noWrap w:val="0"/>
                  <w:vAlign w:val="center"/>
                </w:tcPr>
                <w:p>
                  <w:pPr>
                    <w:widowControl/>
                    <w:adjustRightInd w:val="0"/>
                    <w:snapToGrid w:val="0"/>
                    <w:jc w:val="center"/>
                    <w:textAlignment w:val="bottom"/>
                    <w:rPr>
                      <w:color w:val="FF0000"/>
                      <w:kern w:val="0"/>
                      <w:sz w:val="21"/>
                      <w:szCs w:val="21"/>
                      <w:lang w:bidi="ar"/>
                    </w:rPr>
                  </w:pPr>
                  <w:r>
                    <w:rPr>
                      <w:rFonts w:hint="eastAsia"/>
                      <w:color w:val="FF0000"/>
                      <w:kern w:val="0"/>
                      <w:sz w:val="21"/>
                      <w:szCs w:val="21"/>
                      <w:lang w:bidi="ar"/>
                    </w:rPr>
                    <w:t>23.37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575" w:type="dxa"/>
                  <w:vMerge w:val="continue"/>
                  <w:noWrap w:val="0"/>
                  <w:vAlign w:val="center"/>
                </w:tcPr>
                <w:p>
                  <w:pPr>
                    <w:adjustRightInd w:val="0"/>
                    <w:snapToGrid w:val="0"/>
                    <w:ind w:left="-105" w:leftChars="-50" w:right="-105" w:rightChars="-50"/>
                    <w:jc w:val="center"/>
                    <w:rPr>
                      <w:color w:val="FF0000"/>
                      <w:kern w:val="0"/>
                      <w:sz w:val="21"/>
                      <w:szCs w:val="21"/>
                    </w:rPr>
                  </w:pPr>
                </w:p>
              </w:tc>
              <w:tc>
                <w:tcPr>
                  <w:tcW w:w="795" w:type="dxa"/>
                  <w:vMerge w:val="restart"/>
                  <w:noWrap w:val="0"/>
                  <w:vAlign w:val="center"/>
                </w:tcPr>
                <w:p>
                  <w:pPr>
                    <w:adjustRightInd w:val="0"/>
                    <w:snapToGrid w:val="0"/>
                    <w:ind w:left="-105" w:leftChars="-50" w:right="-105" w:rightChars="-50"/>
                    <w:jc w:val="center"/>
                    <w:rPr>
                      <w:color w:val="FF0000"/>
                      <w:kern w:val="0"/>
                      <w:sz w:val="21"/>
                      <w:szCs w:val="21"/>
                    </w:rPr>
                  </w:pPr>
                  <w:r>
                    <w:rPr>
                      <w:color w:val="FF0000"/>
                      <w:kern w:val="0"/>
                      <w:sz w:val="21"/>
                      <w:szCs w:val="21"/>
                    </w:rPr>
                    <w:t>20</w:t>
                  </w:r>
                  <w:r>
                    <w:rPr>
                      <w:rFonts w:hint="eastAsia"/>
                      <w:color w:val="FF0000"/>
                      <w:kern w:val="0"/>
                      <w:sz w:val="21"/>
                      <w:szCs w:val="21"/>
                      <w:lang w:val="en-US" w:eastAsia="zh-CN"/>
                    </w:rPr>
                    <w:t>38</w:t>
                  </w:r>
                  <w:r>
                    <w:rPr>
                      <w:color w:val="FF0000"/>
                      <w:kern w:val="0"/>
                      <w:sz w:val="21"/>
                      <w:szCs w:val="21"/>
                    </w:rPr>
                    <w:t>年</w:t>
                  </w:r>
                </w:p>
              </w:tc>
              <w:tc>
                <w:tcPr>
                  <w:tcW w:w="705" w:type="dxa"/>
                  <w:noWrap w:val="0"/>
                  <w:vAlign w:val="center"/>
                </w:tcPr>
                <w:p>
                  <w:pPr>
                    <w:adjustRightInd w:val="0"/>
                    <w:snapToGrid w:val="0"/>
                    <w:ind w:left="-105" w:leftChars="-50" w:right="-105" w:rightChars="-50"/>
                    <w:jc w:val="center"/>
                    <w:rPr>
                      <w:color w:val="FF0000"/>
                      <w:kern w:val="0"/>
                      <w:sz w:val="21"/>
                      <w:szCs w:val="21"/>
                    </w:rPr>
                  </w:pPr>
                  <w:r>
                    <w:rPr>
                      <w:color w:val="FF0000"/>
                      <w:kern w:val="0"/>
                      <w:sz w:val="21"/>
                      <w:szCs w:val="21"/>
                    </w:rPr>
                    <w:t>昼间</w:t>
                  </w:r>
                </w:p>
              </w:tc>
              <w:tc>
                <w:tcPr>
                  <w:tcW w:w="575" w:type="dxa"/>
                  <w:noWrap w:val="0"/>
                  <w:vAlign w:val="center"/>
                </w:tcPr>
                <w:p>
                  <w:pPr>
                    <w:adjustRightInd w:val="0"/>
                    <w:snapToGrid w:val="0"/>
                    <w:ind w:left="-105" w:leftChars="-50" w:right="-105" w:rightChars="-50"/>
                    <w:jc w:val="center"/>
                    <w:rPr>
                      <w:rFonts w:hint="default" w:eastAsia="宋体"/>
                      <w:color w:val="FF0000"/>
                      <w:kern w:val="0"/>
                      <w:sz w:val="21"/>
                      <w:szCs w:val="21"/>
                      <w:lang w:val="en-US" w:eastAsia="zh-CN" w:bidi="ar"/>
                    </w:rPr>
                  </w:pPr>
                  <w:r>
                    <w:rPr>
                      <w:rFonts w:hint="eastAsia"/>
                      <w:color w:val="FF0000"/>
                      <w:kern w:val="0"/>
                      <w:sz w:val="21"/>
                      <w:szCs w:val="21"/>
                      <w:lang w:val="en-US" w:eastAsia="zh-CN" w:bidi="ar"/>
                    </w:rPr>
                    <w:t>74.17</w:t>
                  </w:r>
                </w:p>
              </w:tc>
              <w:tc>
                <w:tcPr>
                  <w:tcW w:w="0" w:type="auto"/>
                  <w:noWrap w:val="0"/>
                  <w:vAlign w:val="center"/>
                </w:tcPr>
                <w:p>
                  <w:pPr>
                    <w:widowControl/>
                    <w:adjustRightInd w:val="0"/>
                    <w:snapToGrid w:val="0"/>
                    <w:jc w:val="center"/>
                    <w:textAlignment w:val="bottom"/>
                    <w:rPr>
                      <w:color w:val="FF0000"/>
                      <w:kern w:val="0"/>
                      <w:sz w:val="21"/>
                      <w:szCs w:val="21"/>
                      <w:lang w:bidi="ar"/>
                    </w:rPr>
                  </w:pPr>
                  <w:r>
                    <w:rPr>
                      <w:rFonts w:hint="eastAsia"/>
                      <w:color w:val="FF0000"/>
                      <w:kern w:val="0"/>
                      <w:sz w:val="21"/>
                      <w:szCs w:val="21"/>
                      <w:lang w:bidi="ar"/>
                    </w:rPr>
                    <w:t>47.26</w:t>
                  </w:r>
                </w:p>
              </w:tc>
              <w:tc>
                <w:tcPr>
                  <w:tcW w:w="0" w:type="auto"/>
                  <w:noWrap w:val="0"/>
                  <w:vAlign w:val="center"/>
                </w:tcPr>
                <w:p>
                  <w:pPr>
                    <w:widowControl/>
                    <w:adjustRightInd w:val="0"/>
                    <w:snapToGrid w:val="0"/>
                    <w:jc w:val="center"/>
                    <w:textAlignment w:val="bottom"/>
                    <w:rPr>
                      <w:color w:val="FF0000"/>
                      <w:kern w:val="0"/>
                      <w:sz w:val="21"/>
                      <w:szCs w:val="21"/>
                      <w:lang w:bidi="ar"/>
                    </w:rPr>
                  </w:pPr>
                  <w:r>
                    <w:rPr>
                      <w:rFonts w:hint="eastAsia"/>
                      <w:color w:val="FF0000"/>
                      <w:kern w:val="0"/>
                      <w:sz w:val="21"/>
                      <w:szCs w:val="21"/>
                      <w:lang w:bidi="ar"/>
                    </w:rPr>
                    <w:t>38.96</w:t>
                  </w:r>
                </w:p>
              </w:tc>
              <w:tc>
                <w:tcPr>
                  <w:tcW w:w="0" w:type="auto"/>
                  <w:noWrap w:val="0"/>
                  <w:vAlign w:val="center"/>
                </w:tcPr>
                <w:p>
                  <w:pPr>
                    <w:widowControl/>
                    <w:adjustRightInd w:val="0"/>
                    <w:snapToGrid w:val="0"/>
                    <w:jc w:val="center"/>
                    <w:textAlignment w:val="bottom"/>
                    <w:rPr>
                      <w:color w:val="FF0000"/>
                      <w:kern w:val="0"/>
                      <w:sz w:val="21"/>
                      <w:szCs w:val="21"/>
                      <w:lang w:bidi="ar"/>
                    </w:rPr>
                  </w:pPr>
                  <w:r>
                    <w:rPr>
                      <w:rFonts w:hint="eastAsia"/>
                      <w:color w:val="FF0000"/>
                      <w:kern w:val="0"/>
                      <w:sz w:val="21"/>
                      <w:szCs w:val="21"/>
                      <w:lang w:bidi="ar"/>
                    </w:rPr>
                    <w:t>34.79</w:t>
                  </w:r>
                </w:p>
              </w:tc>
              <w:tc>
                <w:tcPr>
                  <w:tcW w:w="0" w:type="auto"/>
                  <w:noWrap w:val="0"/>
                  <w:vAlign w:val="center"/>
                </w:tcPr>
                <w:p>
                  <w:pPr>
                    <w:widowControl/>
                    <w:adjustRightInd w:val="0"/>
                    <w:snapToGrid w:val="0"/>
                    <w:jc w:val="center"/>
                    <w:textAlignment w:val="bottom"/>
                    <w:rPr>
                      <w:color w:val="FF0000"/>
                      <w:kern w:val="0"/>
                      <w:sz w:val="21"/>
                      <w:szCs w:val="21"/>
                      <w:lang w:bidi="ar"/>
                    </w:rPr>
                  </w:pPr>
                  <w:r>
                    <w:rPr>
                      <w:rFonts w:hint="eastAsia"/>
                      <w:color w:val="FF0000"/>
                      <w:kern w:val="0"/>
                      <w:sz w:val="21"/>
                      <w:szCs w:val="21"/>
                      <w:lang w:bidi="ar"/>
                    </w:rPr>
                    <w:t>31.99</w:t>
                  </w:r>
                </w:p>
              </w:tc>
              <w:tc>
                <w:tcPr>
                  <w:tcW w:w="0" w:type="auto"/>
                  <w:noWrap w:val="0"/>
                  <w:vAlign w:val="center"/>
                </w:tcPr>
                <w:p>
                  <w:pPr>
                    <w:widowControl/>
                    <w:adjustRightInd w:val="0"/>
                    <w:snapToGrid w:val="0"/>
                    <w:jc w:val="center"/>
                    <w:textAlignment w:val="bottom"/>
                    <w:rPr>
                      <w:color w:val="FF0000"/>
                      <w:kern w:val="0"/>
                      <w:sz w:val="21"/>
                      <w:szCs w:val="21"/>
                      <w:lang w:bidi="ar"/>
                    </w:rPr>
                  </w:pPr>
                  <w:r>
                    <w:rPr>
                      <w:rFonts w:hint="eastAsia"/>
                      <w:color w:val="FF0000"/>
                      <w:kern w:val="0"/>
                      <w:sz w:val="21"/>
                      <w:szCs w:val="21"/>
                      <w:lang w:bidi="ar"/>
                    </w:rPr>
                    <w:t>29.87</w:t>
                  </w:r>
                </w:p>
              </w:tc>
              <w:tc>
                <w:tcPr>
                  <w:tcW w:w="0" w:type="auto"/>
                  <w:noWrap w:val="0"/>
                  <w:vAlign w:val="center"/>
                </w:tcPr>
                <w:p>
                  <w:pPr>
                    <w:widowControl/>
                    <w:adjustRightInd w:val="0"/>
                    <w:snapToGrid w:val="0"/>
                    <w:jc w:val="center"/>
                    <w:textAlignment w:val="bottom"/>
                    <w:rPr>
                      <w:color w:val="FF0000"/>
                      <w:kern w:val="0"/>
                      <w:sz w:val="21"/>
                      <w:szCs w:val="21"/>
                      <w:lang w:bidi="ar"/>
                    </w:rPr>
                  </w:pPr>
                  <w:r>
                    <w:rPr>
                      <w:rFonts w:hint="eastAsia"/>
                      <w:color w:val="FF0000"/>
                      <w:kern w:val="0"/>
                      <w:sz w:val="21"/>
                      <w:szCs w:val="21"/>
                      <w:lang w:bidi="ar"/>
                    </w:rPr>
                    <w:t>28.17</w:t>
                  </w:r>
                </w:p>
              </w:tc>
              <w:tc>
                <w:tcPr>
                  <w:tcW w:w="0" w:type="auto"/>
                  <w:noWrap w:val="0"/>
                  <w:vAlign w:val="center"/>
                </w:tcPr>
                <w:p>
                  <w:pPr>
                    <w:widowControl/>
                    <w:adjustRightInd w:val="0"/>
                    <w:snapToGrid w:val="0"/>
                    <w:jc w:val="center"/>
                    <w:textAlignment w:val="bottom"/>
                    <w:rPr>
                      <w:color w:val="FF0000"/>
                      <w:kern w:val="0"/>
                      <w:sz w:val="21"/>
                      <w:szCs w:val="21"/>
                      <w:lang w:bidi="ar"/>
                    </w:rPr>
                  </w:pPr>
                  <w:r>
                    <w:rPr>
                      <w:rFonts w:hint="eastAsia"/>
                      <w:color w:val="FF0000"/>
                      <w:kern w:val="0"/>
                      <w:sz w:val="21"/>
                      <w:szCs w:val="21"/>
                      <w:lang w:bidi="ar"/>
                    </w:rPr>
                    <w:t>26.12</w:t>
                  </w:r>
                </w:p>
              </w:tc>
              <w:tc>
                <w:tcPr>
                  <w:tcW w:w="0" w:type="auto"/>
                  <w:noWrap w:val="0"/>
                  <w:vAlign w:val="center"/>
                </w:tcPr>
                <w:p>
                  <w:pPr>
                    <w:widowControl/>
                    <w:adjustRightInd w:val="0"/>
                    <w:snapToGrid w:val="0"/>
                    <w:jc w:val="center"/>
                    <w:textAlignment w:val="bottom"/>
                    <w:rPr>
                      <w:color w:val="FF0000"/>
                      <w:kern w:val="0"/>
                      <w:sz w:val="21"/>
                      <w:szCs w:val="21"/>
                      <w:lang w:bidi="ar"/>
                    </w:rPr>
                  </w:pPr>
                  <w:r>
                    <w:rPr>
                      <w:rFonts w:hint="eastAsia"/>
                      <w:color w:val="FF0000"/>
                      <w:kern w:val="0"/>
                      <w:sz w:val="21"/>
                      <w:szCs w:val="21"/>
                      <w:lang w:bidi="ar"/>
                    </w:rPr>
                    <w:t>23.51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75" w:type="dxa"/>
                  <w:vMerge w:val="continue"/>
                  <w:noWrap w:val="0"/>
                  <w:vAlign w:val="center"/>
                </w:tcPr>
                <w:p>
                  <w:pPr>
                    <w:adjustRightInd w:val="0"/>
                    <w:snapToGrid w:val="0"/>
                    <w:ind w:left="-105" w:leftChars="-50" w:right="-105" w:rightChars="-50"/>
                    <w:jc w:val="center"/>
                    <w:rPr>
                      <w:color w:val="FF0000"/>
                      <w:kern w:val="0"/>
                      <w:sz w:val="21"/>
                      <w:szCs w:val="21"/>
                    </w:rPr>
                  </w:pPr>
                </w:p>
              </w:tc>
              <w:tc>
                <w:tcPr>
                  <w:tcW w:w="795" w:type="dxa"/>
                  <w:vMerge w:val="continue"/>
                  <w:noWrap w:val="0"/>
                  <w:vAlign w:val="center"/>
                </w:tcPr>
                <w:p>
                  <w:pPr>
                    <w:adjustRightInd w:val="0"/>
                    <w:snapToGrid w:val="0"/>
                    <w:ind w:left="-105" w:leftChars="-50" w:right="-105" w:rightChars="-50"/>
                    <w:jc w:val="center"/>
                    <w:rPr>
                      <w:color w:val="FF0000"/>
                      <w:kern w:val="0"/>
                      <w:sz w:val="21"/>
                      <w:szCs w:val="21"/>
                    </w:rPr>
                  </w:pPr>
                </w:p>
              </w:tc>
              <w:tc>
                <w:tcPr>
                  <w:tcW w:w="705" w:type="dxa"/>
                  <w:noWrap w:val="0"/>
                  <w:vAlign w:val="center"/>
                </w:tcPr>
                <w:p>
                  <w:pPr>
                    <w:adjustRightInd w:val="0"/>
                    <w:snapToGrid w:val="0"/>
                    <w:ind w:left="-105" w:leftChars="-50" w:right="-105" w:rightChars="-50"/>
                    <w:jc w:val="center"/>
                    <w:rPr>
                      <w:color w:val="FF0000"/>
                      <w:kern w:val="0"/>
                      <w:sz w:val="21"/>
                      <w:szCs w:val="21"/>
                    </w:rPr>
                  </w:pPr>
                  <w:r>
                    <w:rPr>
                      <w:color w:val="FF0000"/>
                      <w:kern w:val="0"/>
                      <w:sz w:val="21"/>
                      <w:szCs w:val="21"/>
                    </w:rPr>
                    <w:t>夜间</w:t>
                  </w:r>
                </w:p>
              </w:tc>
              <w:tc>
                <w:tcPr>
                  <w:tcW w:w="575" w:type="dxa"/>
                  <w:noWrap w:val="0"/>
                  <w:vAlign w:val="center"/>
                </w:tcPr>
                <w:p>
                  <w:pPr>
                    <w:adjustRightInd w:val="0"/>
                    <w:snapToGrid w:val="0"/>
                    <w:ind w:left="-105" w:leftChars="-50" w:right="-105" w:rightChars="-50"/>
                    <w:jc w:val="center"/>
                    <w:rPr>
                      <w:rFonts w:hint="default" w:eastAsia="宋体"/>
                      <w:color w:val="FF0000"/>
                      <w:kern w:val="0"/>
                      <w:sz w:val="21"/>
                      <w:szCs w:val="21"/>
                      <w:lang w:val="en-US" w:eastAsia="zh-CN" w:bidi="ar"/>
                    </w:rPr>
                  </w:pPr>
                  <w:r>
                    <w:rPr>
                      <w:rFonts w:hint="eastAsia"/>
                      <w:color w:val="FF0000"/>
                      <w:kern w:val="0"/>
                      <w:sz w:val="21"/>
                      <w:szCs w:val="21"/>
                      <w:lang w:val="en-US" w:eastAsia="zh-CN" w:bidi="ar"/>
                    </w:rPr>
                    <w:t>73.34</w:t>
                  </w:r>
                </w:p>
              </w:tc>
              <w:tc>
                <w:tcPr>
                  <w:tcW w:w="0" w:type="auto"/>
                  <w:noWrap w:val="0"/>
                  <w:vAlign w:val="center"/>
                </w:tcPr>
                <w:p>
                  <w:pPr>
                    <w:widowControl/>
                    <w:adjustRightInd w:val="0"/>
                    <w:snapToGrid w:val="0"/>
                    <w:jc w:val="center"/>
                    <w:textAlignment w:val="bottom"/>
                    <w:rPr>
                      <w:color w:val="FF0000"/>
                      <w:kern w:val="0"/>
                      <w:sz w:val="21"/>
                      <w:szCs w:val="21"/>
                      <w:lang w:bidi="ar"/>
                    </w:rPr>
                  </w:pPr>
                  <w:r>
                    <w:rPr>
                      <w:rFonts w:hint="eastAsia"/>
                      <w:color w:val="FF0000"/>
                      <w:kern w:val="0"/>
                      <w:sz w:val="21"/>
                      <w:szCs w:val="21"/>
                      <w:lang w:bidi="ar"/>
                    </w:rPr>
                    <w:t>47.12</w:t>
                  </w:r>
                </w:p>
              </w:tc>
              <w:tc>
                <w:tcPr>
                  <w:tcW w:w="0" w:type="auto"/>
                  <w:noWrap w:val="0"/>
                  <w:vAlign w:val="center"/>
                </w:tcPr>
                <w:p>
                  <w:pPr>
                    <w:widowControl/>
                    <w:adjustRightInd w:val="0"/>
                    <w:snapToGrid w:val="0"/>
                    <w:jc w:val="center"/>
                    <w:textAlignment w:val="bottom"/>
                    <w:rPr>
                      <w:rFonts w:hint="default" w:eastAsia="宋体"/>
                      <w:color w:val="FF0000"/>
                      <w:kern w:val="0"/>
                      <w:sz w:val="21"/>
                      <w:szCs w:val="21"/>
                      <w:lang w:val="en-US" w:eastAsia="zh-CN" w:bidi="ar"/>
                    </w:rPr>
                  </w:pPr>
                  <w:r>
                    <w:rPr>
                      <w:rFonts w:hint="eastAsia"/>
                      <w:color w:val="FF0000"/>
                      <w:kern w:val="0"/>
                      <w:sz w:val="21"/>
                      <w:szCs w:val="21"/>
                      <w:lang w:bidi="ar"/>
                    </w:rPr>
                    <w:t>38.82</w:t>
                  </w:r>
                </w:p>
              </w:tc>
              <w:tc>
                <w:tcPr>
                  <w:tcW w:w="0" w:type="auto"/>
                  <w:noWrap w:val="0"/>
                  <w:vAlign w:val="center"/>
                </w:tcPr>
                <w:p>
                  <w:pPr>
                    <w:widowControl/>
                    <w:adjustRightInd w:val="0"/>
                    <w:snapToGrid w:val="0"/>
                    <w:jc w:val="center"/>
                    <w:textAlignment w:val="bottom"/>
                    <w:rPr>
                      <w:color w:val="FF0000"/>
                      <w:kern w:val="0"/>
                      <w:sz w:val="21"/>
                      <w:szCs w:val="21"/>
                      <w:lang w:bidi="ar"/>
                    </w:rPr>
                  </w:pPr>
                  <w:r>
                    <w:rPr>
                      <w:rFonts w:hint="eastAsia"/>
                      <w:color w:val="FF0000"/>
                      <w:kern w:val="0"/>
                      <w:sz w:val="21"/>
                      <w:szCs w:val="21"/>
                      <w:lang w:bidi="ar"/>
                    </w:rPr>
                    <w:t>34.65</w:t>
                  </w:r>
                </w:p>
              </w:tc>
              <w:tc>
                <w:tcPr>
                  <w:tcW w:w="0" w:type="auto"/>
                  <w:noWrap w:val="0"/>
                  <w:vAlign w:val="center"/>
                </w:tcPr>
                <w:p>
                  <w:pPr>
                    <w:widowControl/>
                    <w:adjustRightInd w:val="0"/>
                    <w:snapToGrid w:val="0"/>
                    <w:jc w:val="center"/>
                    <w:textAlignment w:val="bottom"/>
                    <w:rPr>
                      <w:color w:val="FF0000"/>
                      <w:kern w:val="0"/>
                      <w:sz w:val="21"/>
                      <w:szCs w:val="21"/>
                      <w:lang w:bidi="ar"/>
                    </w:rPr>
                  </w:pPr>
                  <w:r>
                    <w:rPr>
                      <w:rFonts w:hint="eastAsia"/>
                      <w:color w:val="FF0000"/>
                      <w:kern w:val="0"/>
                      <w:sz w:val="21"/>
                      <w:szCs w:val="21"/>
                      <w:lang w:bidi="ar"/>
                    </w:rPr>
                    <w:t>31.85</w:t>
                  </w:r>
                </w:p>
              </w:tc>
              <w:tc>
                <w:tcPr>
                  <w:tcW w:w="0" w:type="auto"/>
                  <w:noWrap w:val="0"/>
                  <w:vAlign w:val="center"/>
                </w:tcPr>
                <w:p>
                  <w:pPr>
                    <w:widowControl/>
                    <w:adjustRightInd w:val="0"/>
                    <w:snapToGrid w:val="0"/>
                    <w:jc w:val="center"/>
                    <w:textAlignment w:val="bottom"/>
                    <w:rPr>
                      <w:color w:val="FF0000"/>
                      <w:kern w:val="0"/>
                      <w:sz w:val="21"/>
                      <w:szCs w:val="21"/>
                      <w:lang w:bidi="ar"/>
                    </w:rPr>
                  </w:pPr>
                  <w:r>
                    <w:rPr>
                      <w:rFonts w:hint="eastAsia"/>
                      <w:color w:val="FF0000"/>
                      <w:kern w:val="0"/>
                      <w:sz w:val="21"/>
                      <w:szCs w:val="21"/>
                      <w:lang w:bidi="ar"/>
                    </w:rPr>
                    <w:t>29.73</w:t>
                  </w:r>
                </w:p>
              </w:tc>
              <w:tc>
                <w:tcPr>
                  <w:tcW w:w="0" w:type="auto"/>
                  <w:noWrap w:val="0"/>
                  <w:vAlign w:val="center"/>
                </w:tcPr>
                <w:p>
                  <w:pPr>
                    <w:widowControl/>
                    <w:adjustRightInd w:val="0"/>
                    <w:snapToGrid w:val="0"/>
                    <w:jc w:val="center"/>
                    <w:textAlignment w:val="bottom"/>
                    <w:rPr>
                      <w:color w:val="FF0000"/>
                      <w:kern w:val="0"/>
                      <w:sz w:val="21"/>
                      <w:szCs w:val="21"/>
                      <w:lang w:bidi="ar"/>
                    </w:rPr>
                  </w:pPr>
                  <w:r>
                    <w:rPr>
                      <w:rFonts w:hint="eastAsia"/>
                      <w:color w:val="FF0000"/>
                      <w:kern w:val="0"/>
                      <w:sz w:val="21"/>
                      <w:szCs w:val="21"/>
                      <w:lang w:bidi="ar"/>
                    </w:rPr>
                    <w:t>28.03</w:t>
                  </w:r>
                </w:p>
              </w:tc>
              <w:tc>
                <w:tcPr>
                  <w:tcW w:w="0" w:type="auto"/>
                  <w:noWrap w:val="0"/>
                  <w:vAlign w:val="center"/>
                </w:tcPr>
                <w:p>
                  <w:pPr>
                    <w:widowControl/>
                    <w:adjustRightInd w:val="0"/>
                    <w:snapToGrid w:val="0"/>
                    <w:jc w:val="center"/>
                    <w:textAlignment w:val="bottom"/>
                    <w:rPr>
                      <w:color w:val="FF0000"/>
                      <w:kern w:val="0"/>
                      <w:sz w:val="21"/>
                      <w:szCs w:val="21"/>
                      <w:lang w:bidi="ar"/>
                    </w:rPr>
                  </w:pPr>
                  <w:r>
                    <w:rPr>
                      <w:rFonts w:hint="eastAsia"/>
                      <w:color w:val="FF0000"/>
                      <w:kern w:val="0"/>
                      <w:sz w:val="21"/>
                      <w:szCs w:val="21"/>
                      <w:lang w:bidi="ar"/>
                    </w:rPr>
                    <w:t>25.98</w:t>
                  </w:r>
                </w:p>
              </w:tc>
              <w:tc>
                <w:tcPr>
                  <w:tcW w:w="0" w:type="auto"/>
                  <w:noWrap w:val="0"/>
                  <w:vAlign w:val="center"/>
                </w:tcPr>
                <w:p>
                  <w:pPr>
                    <w:widowControl/>
                    <w:adjustRightInd w:val="0"/>
                    <w:snapToGrid w:val="0"/>
                    <w:jc w:val="center"/>
                    <w:textAlignment w:val="bottom"/>
                    <w:rPr>
                      <w:color w:val="FF0000"/>
                      <w:kern w:val="0"/>
                      <w:sz w:val="21"/>
                      <w:szCs w:val="21"/>
                      <w:lang w:bidi="ar"/>
                    </w:rPr>
                  </w:pPr>
                  <w:r>
                    <w:rPr>
                      <w:rFonts w:hint="eastAsia"/>
                      <w:color w:val="FF0000"/>
                      <w:kern w:val="0"/>
                      <w:sz w:val="21"/>
                      <w:szCs w:val="21"/>
                      <w:lang w:bidi="ar"/>
                    </w:rPr>
                    <w:t>23.37</w:t>
                  </w:r>
                </w:p>
              </w:tc>
            </w:tr>
            <w:bookmarkEnd w:id="44"/>
            <w:bookmarkEnd w:id="45"/>
          </w:tbl>
          <w:p>
            <w:pPr>
              <w:keepNext w:val="0"/>
              <w:keepLines w:val="0"/>
              <w:pageBreakBefore w:val="0"/>
              <w:widowControl w:val="0"/>
              <w:kinsoku/>
              <w:wordWrap/>
              <w:overflowPunct/>
              <w:topLinePunct w:val="0"/>
              <w:autoSpaceDE/>
              <w:autoSpaceDN/>
              <w:bidi w:val="0"/>
              <w:adjustRightInd w:val="0"/>
              <w:snapToGrid w:val="0"/>
              <w:spacing w:before="120" w:beforeLines="50" w:line="360" w:lineRule="auto"/>
              <w:ind w:firstLine="480" w:firstLineChars="200"/>
              <w:textAlignment w:val="auto"/>
              <w:rPr>
                <w:color w:val="FF0000"/>
                <w:sz w:val="24"/>
              </w:rPr>
            </w:pPr>
            <w:r>
              <w:rPr>
                <w:color w:val="FF0000"/>
                <w:sz w:val="24"/>
              </w:rPr>
              <w:t>由</w:t>
            </w:r>
            <w:r>
              <w:rPr>
                <w:rFonts w:hint="eastAsia"/>
                <w:color w:val="FF0000"/>
                <w:sz w:val="24"/>
              </w:rPr>
              <w:t>上表</w:t>
            </w:r>
            <w:r>
              <w:rPr>
                <w:color w:val="FF0000"/>
                <w:sz w:val="24"/>
              </w:rPr>
              <w:t>可知，道路建成后由于交通量的增多，导致交通噪声增加，其影响范围也不断扩大，相应的受影响范围逐年增加。根据2类标准（昼间60dB，夜间50dB）的要求，结合交通噪声预测结果，给出近、中、远期路线两侧达标位置的控制距离。在不考虑高差、道路两侧建筑物分布的情况下，</w:t>
            </w:r>
            <w:r>
              <w:rPr>
                <w:rFonts w:hint="eastAsia"/>
                <w:color w:val="FF0000"/>
                <w:sz w:val="24"/>
              </w:rPr>
              <w:t>项目道路</w:t>
            </w:r>
            <w:r>
              <w:rPr>
                <w:color w:val="FF0000"/>
                <w:sz w:val="24"/>
              </w:rPr>
              <w:t>运营期</w:t>
            </w:r>
            <w:r>
              <w:rPr>
                <w:rFonts w:hint="eastAsia"/>
                <w:color w:val="FF0000"/>
                <w:sz w:val="24"/>
                <w:lang w:eastAsia="zh-CN"/>
              </w:rPr>
              <w:t>近期（</w:t>
            </w:r>
            <w:r>
              <w:rPr>
                <w:color w:val="FF0000"/>
                <w:sz w:val="24"/>
              </w:rPr>
              <w:t>2</w:t>
            </w:r>
            <w:r>
              <w:rPr>
                <w:rFonts w:hint="eastAsia"/>
                <w:color w:val="FF0000"/>
                <w:sz w:val="24"/>
              </w:rPr>
              <w:t>02</w:t>
            </w:r>
            <w:r>
              <w:rPr>
                <w:rFonts w:hint="eastAsia"/>
                <w:color w:val="FF0000"/>
                <w:sz w:val="24"/>
                <w:lang w:val="en-US" w:eastAsia="zh-CN"/>
              </w:rPr>
              <w:t>4</w:t>
            </w:r>
            <w:r>
              <w:rPr>
                <w:color w:val="FF0000"/>
                <w:sz w:val="24"/>
              </w:rPr>
              <w:t>年</w:t>
            </w:r>
            <w:r>
              <w:rPr>
                <w:rFonts w:hint="eastAsia"/>
                <w:color w:val="FF0000"/>
                <w:sz w:val="24"/>
                <w:lang w:eastAsia="zh-CN"/>
              </w:rPr>
              <w:t>）</w:t>
            </w:r>
            <w:r>
              <w:rPr>
                <w:color w:val="FF0000"/>
                <w:sz w:val="24"/>
              </w:rPr>
              <w:t>、</w:t>
            </w:r>
            <w:r>
              <w:rPr>
                <w:rFonts w:hint="eastAsia"/>
                <w:color w:val="FF0000"/>
                <w:sz w:val="24"/>
                <w:lang w:eastAsia="zh-CN"/>
              </w:rPr>
              <w:t>中期（</w:t>
            </w:r>
            <w:r>
              <w:rPr>
                <w:color w:val="FF0000"/>
                <w:sz w:val="24"/>
              </w:rPr>
              <w:t>20</w:t>
            </w:r>
            <w:r>
              <w:rPr>
                <w:rFonts w:hint="eastAsia"/>
                <w:color w:val="FF0000"/>
                <w:sz w:val="24"/>
              </w:rPr>
              <w:t>30</w:t>
            </w:r>
            <w:r>
              <w:rPr>
                <w:color w:val="FF0000"/>
                <w:sz w:val="24"/>
              </w:rPr>
              <w:t>年</w:t>
            </w:r>
            <w:r>
              <w:rPr>
                <w:rFonts w:hint="eastAsia"/>
                <w:color w:val="FF0000"/>
                <w:sz w:val="24"/>
                <w:lang w:eastAsia="zh-CN"/>
              </w:rPr>
              <w:t>）</w:t>
            </w:r>
            <w:r>
              <w:rPr>
                <w:color w:val="FF0000"/>
                <w:sz w:val="24"/>
              </w:rPr>
              <w:t>和</w:t>
            </w:r>
            <w:r>
              <w:rPr>
                <w:rFonts w:hint="eastAsia"/>
                <w:color w:val="FF0000"/>
                <w:sz w:val="24"/>
                <w:lang w:eastAsia="zh-CN"/>
              </w:rPr>
              <w:t>远期（</w:t>
            </w:r>
            <w:r>
              <w:rPr>
                <w:color w:val="FF0000"/>
                <w:sz w:val="24"/>
              </w:rPr>
              <w:t>203</w:t>
            </w:r>
            <w:r>
              <w:rPr>
                <w:rFonts w:hint="eastAsia"/>
                <w:color w:val="FF0000"/>
                <w:sz w:val="24"/>
                <w:lang w:val="en-US" w:eastAsia="zh-CN"/>
              </w:rPr>
              <w:t>8</w:t>
            </w:r>
            <w:r>
              <w:rPr>
                <w:color w:val="FF0000"/>
                <w:sz w:val="24"/>
              </w:rPr>
              <w:t>年</w:t>
            </w:r>
            <w:r>
              <w:rPr>
                <w:rFonts w:hint="eastAsia"/>
                <w:color w:val="FF0000"/>
                <w:sz w:val="24"/>
                <w:lang w:eastAsia="zh-CN"/>
              </w:rPr>
              <w:t>）</w:t>
            </w:r>
            <w:r>
              <w:rPr>
                <w:color w:val="FF0000"/>
                <w:sz w:val="24"/>
              </w:rPr>
              <w:t>各时段道路交通噪声2类，各预测时段昼间2类标准达标距中心线距离为</w:t>
            </w:r>
            <w:r>
              <w:rPr>
                <w:rFonts w:hint="eastAsia"/>
                <w:color w:val="FF0000"/>
                <w:sz w:val="24"/>
                <w:lang w:val="en-US" w:eastAsia="zh-CN"/>
              </w:rPr>
              <w:t>2</w:t>
            </w:r>
            <w:r>
              <w:rPr>
                <w:color w:val="FF0000"/>
                <w:sz w:val="24"/>
              </w:rPr>
              <w:t>0m，夜间2类标准达标距中心线距离</w:t>
            </w:r>
            <w:r>
              <w:rPr>
                <w:rFonts w:hint="eastAsia"/>
                <w:color w:val="FF0000"/>
                <w:sz w:val="24"/>
                <w:lang w:val="en-US" w:eastAsia="zh-CN"/>
              </w:rPr>
              <w:t>2</w:t>
            </w:r>
            <w:r>
              <w:rPr>
                <w:rFonts w:hint="eastAsia"/>
                <w:color w:val="FF0000"/>
                <w:sz w:val="24"/>
              </w:rPr>
              <w:t>0</w:t>
            </w:r>
            <w:r>
              <w:rPr>
                <w:color w:val="FF0000"/>
                <w:sz w:val="24"/>
              </w:rPr>
              <w:t>m。</w:t>
            </w:r>
          </w:p>
          <w:p>
            <w:pPr>
              <w:keepNext w:val="0"/>
              <w:keepLines w:val="0"/>
              <w:pageBreakBefore w:val="0"/>
              <w:widowControl w:val="0"/>
              <w:kinsoku/>
              <w:wordWrap/>
              <w:overflowPunct/>
              <w:topLinePunct w:val="0"/>
              <w:autoSpaceDE/>
              <w:autoSpaceDN/>
              <w:bidi w:val="0"/>
              <w:adjustRightInd w:val="0"/>
              <w:snapToGrid w:val="0"/>
              <w:spacing w:line="360" w:lineRule="auto"/>
              <w:ind w:firstLine="556" w:firstLineChars="232"/>
              <w:textAlignment w:val="auto"/>
              <w:rPr>
                <w:color w:val="auto"/>
                <w:sz w:val="24"/>
              </w:rPr>
            </w:pPr>
            <w:r>
              <w:rPr>
                <w:color w:val="auto"/>
                <w:sz w:val="24"/>
              </w:rPr>
              <w:t>⑵敏感点声环境影响预测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rPr>
            </w:pPr>
            <w:r>
              <w:rPr>
                <w:color w:val="auto"/>
                <w:sz w:val="24"/>
              </w:rPr>
              <w:t>本项目对敏感点的影响预测值=本项目噪声贡献值+背景值。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rPr>
            </w:pPr>
            <w:r>
              <w:rPr>
                <w:color w:val="auto"/>
                <w:sz w:val="24"/>
              </w:rPr>
              <w:t>对敏感点交通噪声进行预测，根据项目现状及周围环境质量现状，其现状监测值包括了现状交通噪声的贡献值，不能代表其敏感点处的噪声背景值。通过分析项目周围环境现状及各敏感点分布情况，本次评价敏感点的噪声背景值选用噪声现状监测值中的最大值代表本项目各敏感点处的噪声背景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FF0000"/>
                <w:sz w:val="24"/>
              </w:rPr>
            </w:pPr>
            <w:r>
              <w:rPr>
                <w:color w:val="FF0000"/>
                <w:sz w:val="24"/>
              </w:rPr>
              <w:t>①近期噪声预测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FF0000"/>
                <w:sz w:val="24"/>
              </w:rPr>
            </w:pPr>
            <w:r>
              <w:rPr>
                <w:rFonts w:hint="eastAsia"/>
                <w:color w:val="FF0000"/>
                <w:sz w:val="24"/>
                <w:lang w:eastAsia="zh-CN"/>
              </w:rPr>
              <w:t>本</w:t>
            </w:r>
            <w:r>
              <w:rPr>
                <w:rFonts w:hint="eastAsia"/>
                <w:color w:val="FF0000"/>
                <w:sz w:val="24"/>
              </w:rPr>
              <w:t>项目</w:t>
            </w:r>
            <w:r>
              <w:rPr>
                <w:color w:val="FF0000"/>
                <w:sz w:val="24"/>
              </w:rPr>
              <w:t>近期（202</w:t>
            </w:r>
            <w:r>
              <w:rPr>
                <w:rFonts w:hint="eastAsia"/>
                <w:color w:val="FF0000"/>
                <w:sz w:val="24"/>
                <w:lang w:val="en-US" w:eastAsia="zh-CN"/>
              </w:rPr>
              <w:t>4</w:t>
            </w:r>
            <w:r>
              <w:rPr>
                <w:color w:val="FF0000"/>
                <w:sz w:val="24"/>
              </w:rPr>
              <w:t>年）噪声预测值见表</w:t>
            </w:r>
            <w:r>
              <w:rPr>
                <w:rFonts w:hint="eastAsia"/>
                <w:color w:val="FF0000"/>
                <w:sz w:val="24"/>
              </w:rPr>
              <w:t>8-1</w:t>
            </w:r>
            <w:r>
              <w:rPr>
                <w:rFonts w:hint="eastAsia"/>
                <w:color w:val="FF0000"/>
                <w:sz w:val="24"/>
                <w:lang w:val="en-US" w:eastAsia="zh-CN"/>
              </w:rPr>
              <w:t>1，</w:t>
            </w:r>
            <w:r>
              <w:rPr>
                <w:rFonts w:hint="eastAsia" w:hAnsi="宋体"/>
                <w:color w:val="FF0000"/>
                <w:sz w:val="24"/>
              </w:rPr>
              <w:t>昼、夜间噪声</w:t>
            </w:r>
            <w:r>
              <w:rPr>
                <w:rFonts w:hint="eastAsia" w:hAnsi="宋体"/>
                <w:color w:val="FF0000"/>
                <w:sz w:val="24"/>
                <w:lang w:eastAsia="zh-CN"/>
              </w:rPr>
              <w:t>贡献值等声级线分布见图</w:t>
            </w:r>
            <w:r>
              <w:rPr>
                <w:rFonts w:hint="eastAsia" w:hAnsi="宋体"/>
                <w:color w:val="FF0000"/>
                <w:sz w:val="24"/>
                <w:lang w:val="en-US" w:eastAsia="zh-CN"/>
              </w:rPr>
              <w:t>8-6</w:t>
            </w:r>
            <w:r>
              <w:rPr>
                <w:rFonts w:hint="eastAsia" w:hAnsi="宋体"/>
                <w:color w:val="FF0000"/>
                <w:sz w:val="24"/>
              </w:rPr>
              <w:t>、</w:t>
            </w:r>
            <w:r>
              <w:rPr>
                <w:rFonts w:hint="eastAsia" w:hAnsi="宋体"/>
                <w:color w:val="FF0000"/>
                <w:sz w:val="24"/>
                <w:lang w:val="en-US" w:eastAsia="zh-CN"/>
              </w:rPr>
              <w:t>8-7</w:t>
            </w:r>
            <w:r>
              <w:rPr>
                <w:rFonts w:hint="eastAsia" w:hAnsi="宋体"/>
                <w:color w:val="FF0000"/>
                <w:sz w:val="24"/>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198"/>
              <w:jc w:val="center"/>
              <w:textAlignment w:val="auto"/>
              <w:rPr>
                <w:rFonts w:hint="eastAsia"/>
                <w:b/>
                <w:snapToGrid w:val="0"/>
                <w:color w:val="FF0000"/>
                <w:kern w:val="0"/>
                <w:sz w:val="21"/>
                <w:szCs w:val="21"/>
                <w:lang w:val="en-US" w:eastAsia="zh-CN"/>
              </w:rPr>
            </w:pPr>
            <w:bookmarkStart w:id="46" w:name="_Ref216693536"/>
            <w:r>
              <w:rPr>
                <w:rFonts w:hint="eastAsia"/>
                <w:b/>
                <w:snapToGrid w:val="0"/>
                <w:color w:val="FF0000"/>
                <w:kern w:val="0"/>
                <w:sz w:val="21"/>
                <w:szCs w:val="21"/>
                <w:lang w:val="en-US" w:eastAsia="zh-CN"/>
              </w:rPr>
              <w:t>表8-11      近期（2024年）预测点声环境影响预测结果</w:t>
            </w:r>
            <w:bookmarkEnd w:id="46"/>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717"/>
              <w:gridCol w:w="1035"/>
              <w:gridCol w:w="916"/>
              <w:gridCol w:w="874"/>
              <w:gridCol w:w="856"/>
              <w:gridCol w:w="1035"/>
              <w:gridCol w:w="906"/>
              <w:gridCol w:w="95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4" w:hRule="atLeast"/>
              </w:trPr>
              <w:tc>
                <w:tcPr>
                  <w:tcW w:w="1035" w:type="pct"/>
                  <w:vMerge w:val="restart"/>
                  <w:noWrap w:val="0"/>
                  <w:vAlign w:val="center"/>
                </w:tcPr>
                <w:p>
                  <w:pPr>
                    <w:adjustRightInd w:val="0"/>
                    <w:snapToGrid w:val="0"/>
                    <w:jc w:val="center"/>
                    <w:rPr>
                      <w:bCs/>
                      <w:color w:val="FF0000"/>
                      <w:sz w:val="21"/>
                      <w:szCs w:val="21"/>
                    </w:rPr>
                  </w:pPr>
                  <w:r>
                    <w:rPr>
                      <w:bCs/>
                      <w:color w:val="FF0000"/>
                      <w:sz w:val="21"/>
                      <w:szCs w:val="21"/>
                    </w:rPr>
                    <w:t>声环境敏感点</w:t>
                  </w:r>
                </w:p>
              </w:tc>
              <w:tc>
                <w:tcPr>
                  <w:tcW w:w="1703" w:type="pct"/>
                  <w:gridSpan w:val="3"/>
                  <w:noWrap w:val="0"/>
                  <w:vAlign w:val="center"/>
                </w:tcPr>
                <w:p>
                  <w:pPr>
                    <w:adjustRightInd w:val="0"/>
                    <w:snapToGrid w:val="0"/>
                    <w:jc w:val="center"/>
                    <w:rPr>
                      <w:bCs/>
                      <w:color w:val="FF0000"/>
                      <w:sz w:val="21"/>
                      <w:szCs w:val="21"/>
                    </w:rPr>
                  </w:pPr>
                  <w:r>
                    <w:rPr>
                      <w:bCs/>
                      <w:color w:val="FF0000"/>
                      <w:sz w:val="21"/>
                      <w:szCs w:val="21"/>
                    </w:rPr>
                    <w:t>昼间</w:t>
                  </w:r>
                </w:p>
              </w:tc>
              <w:tc>
                <w:tcPr>
                  <w:tcW w:w="1686" w:type="pct"/>
                  <w:gridSpan w:val="3"/>
                  <w:noWrap w:val="0"/>
                  <w:vAlign w:val="center"/>
                </w:tcPr>
                <w:p>
                  <w:pPr>
                    <w:adjustRightInd w:val="0"/>
                    <w:snapToGrid w:val="0"/>
                    <w:jc w:val="center"/>
                    <w:rPr>
                      <w:bCs/>
                      <w:color w:val="FF0000"/>
                      <w:sz w:val="21"/>
                      <w:szCs w:val="21"/>
                    </w:rPr>
                  </w:pPr>
                  <w:r>
                    <w:rPr>
                      <w:bCs/>
                      <w:color w:val="FF0000"/>
                      <w:sz w:val="21"/>
                      <w:szCs w:val="21"/>
                    </w:rPr>
                    <w:t>夜间</w:t>
                  </w:r>
                </w:p>
              </w:tc>
              <w:tc>
                <w:tcPr>
                  <w:tcW w:w="575" w:type="pct"/>
                  <w:vMerge w:val="restart"/>
                  <w:noWrap w:val="0"/>
                  <w:vAlign w:val="center"/>
                </w:tcPr>
                <w:p>
                  <w:pPr>
                    <w:adjustRightInd w:val="0"/>
                    <w:snapToGrid w:val="0"/>
                    <w:jc w:val="center"/>
                    <w:rPr>
                      <w:bCs/>
                      <w:color w:val="FF0000"/>
                      <w:sz w:val="21"/>
                      <w:szCs w:val="21"/>
                    </w:rPr>
                  </w:pPr>
                  <w:r>
                    <w:rPr>
                      <w:bCs/>
                      <w:color w:val="FF0000"/>
                      <w:sz w:val="21"/>
                      <w:szCs w:val="21"/>
                    </w:rPr>
                    <w:t>标准</w:t>
                  </w:r>
                </w:p>
                <w:p>
                  <w:pPr>
                    <w:adjustRightInd w:val="0"/>
                    <w:snapToGrid w:val="0"/>
                    <w:jc w:val="center"/>
                    <w:rPr>
                      <w:bCs/>
                      <w:color w:val="FF0000"/>
                      <w:sz w:val="21"/>
                      <w:szCs w:val="21"/>
                    </w:rPr>
                  </w:pPr>
                  <w:r>
                    <w:rPr>
                      <w:bCs/>
                      <w:color w:val="FF0000"/>
                      <w:sz w:val="21"/>
                      <w:szCs w:val="21"/>
                    </w:rPr>
                    <w:t>限值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1" w:hRule="atLeast"/>
              </w:trPr>
              <w:tc>
                <w:tcPr>
                  <w:tcW w:w="1035" w:type="pct"/>
                  <w:vMerge w:val="continue"/>
                  <w:noWrap w:val="0"/>
                  <w:vAlign w:val="center"/>
                </w:tcPr>
                <w:p>
                  <w:pPr>
                    <w:adjustRightInd w:val="0"/>
                    <w:snapToGrid w:val="0"/>
                    <w:jc w:val="center"/>
                    <w:rPr>
                      <w:bCs/>
                      <w:color w:val="FF0000"/>
                      <w:sz w:val="21"/>
                      <w:szCs w:val="21"/>
                    </w:rPr>
                  </w:pPr>
                </w:p>
              </w:tc>
              <w:tc>
                <w:tcPr>
                  <w:tcW w:w="624" w:type="pct"/>
                  <w:noWrap w:val="0"/>
                  <w:vAlign w:val="center"/>
                </w:tcPr>
                <w:p>
                  <w:pPr>
                    <w:adjustRightInd w:val="0"/>
                    <w:snapToGrid w:val="0"/>
                    <w:jc w:val="center"/>
                    <w:rPr>
                      <w:bCs/>
                      <w:color w:val="FF0000"/>
                      <w:sz w:val="21"/>
                      <w:szCs w:val="21"/>
                    </w:rPr>
                  </w:pPr>
                  <w:r>
                    <w:rPr>
                      <w:bCs/>
                      <w:color w:val="FF0000"/>
                      <w:sz w:val="21"/>
                      <w:szCs w:val="21"/>
                    </w:rPr>
                    <w:t>贡献值</w:t>
                  </w:r>
                </w:p>
                <w:p>
                  <w:pPr>
                    <w:adjustRightInd w:val="0"/>
                    <w:snapToGrid w:val="0"/>
                    <w:jc w:val="center"/>
                    <w:rPr>
                      <w:bCs/>
                      <w:color w:val="FF0000"/>
                      <w:sz w:val="21"/>
                      <w:szCs w:val="21"/>
                    </w:rPr>
                  </w:pPr>
                  <w:r>
                    <w:rPr>
                      <w:bCs/>
                      <w:color w:val="FF0000"/>
                      <w:sz w:val="21"/>
                      <w:szCs w:val="21"/>
                    </w:rPr>
                    <w:t>dB（A）</w:t>
                  </w:r>
                </w:p>
              </w:tc>
              <w:tc>
                <w:tcPr>
                  <w:tcW w:w="552" w:type="pct"/>
                  <w:noWrap w:val="0"/>
                  <w:vAlign w:val="center"/>
                </w:tcPr>
                <w:p>
                  <w:pPr>
                    <w:widowControl/>
                    <w:adjustRightInd w:val="0"/>
                    <w:snapToGrid w:val="0"/>
                    <w:jc w:val="center"/>
                    <w:rPr>
                      <w:bCs/>
                      <w:color w:val="FF0000"/>
                      <w:sz w:val="21"/>
                      <w:szCs w:val="21"/>
                    </w:rPr>
                  </w:pPr>
                  <w:r>
                    <w:rPr>
                      <w:bCs/>
                      <w:color w:val="FF0000"/>
                      <w:sz w:val="21"/>
                      <w:szCs w:val="21"/>
                    </w:rPr>
                    <w:t>背景值</w:t>
                  </w:r>
                </w:p>
                <w:p>
                  <w:pPr>
                    <w:adjustRightInd w:val="0"/>
                    <w:snapToGrid w:val="0"/>
                    <w:jc w:val="center"/>
                    <w:rPr>
                      <w:bCs/>
                      <w:color w:val="FF0000"/>
                      <w:sz w:val="21"/>
                      <w:szCs w:val="21"/>
                    </w:rPr>
                  </w:pPr>
                  <w:r>
                    <w:rPr>
                      <w:bCs/>
                      <w:color w:val="FF0000"/>
                      <w:sz w:val="21"/>
                      <w:szCs w:val="21"/>
                    </w:rPr>
                    <w:t>dB（A）</w:t>
                  </w:r>
                </w:p>
              </w:tc>
              <w:tc>
                <w:tcPr>
                  <w:tcW w:w="526" w:type="pct"/>
                  <w:noWrap w:val="0"/>
                  <w:vAlign w:val="center"/>
                </w:tcPr>
                <w:p>
                  <w:pPr>
                    <w:widowControl/>
                    <w:adjustRightInd w:val="0"/>
                    <w:snapToGrid w:val="0"/>
                    <w:jc w:val="center"/>
                    <w:rPr>
                      <w:bCs/>
                      <w:color w:val="FF0000"/>
                      <w:sz w:val="21"/>
                      <w:szCs w:val="21"/>
                    </w:rPr>
                  </w:pPr>
                  <w:r>
                    <w:rPr>
                      <w:bCs/>
                      <w:color w:val="FF0000"/>
                      <w:sz w:val="21"/>
                      <w:szCs w:val="21"/>
                    </w:rPr>
                    <w:t>预测值</w:t>
                  </w:r>
                </w:p>
                <w:p>
                  <w:pPr>
                    <w:adjustRightInd w:val="0"/>
                    <w:snapToGrid w:val="0"/>
                    <w:jc w:val="center"/>
                    <w:rPr>
                      <w:bCs/>
                      <w:color w:val="FF0000"/>
                      <w:sz w:val="21"/>
                      <w:szCs w:val="21"/>
                    </w:rPr>
                  </w:pPr>
                  <w:r>
                    <w:rPr>
                      <w:bCs/>
                      <w:color w:val="FF0000"/>
                      <w:sz w:val="21"/>
                      <w:szCs w:val="21"/>
                    </w:rPr>
                    <w:t>dB（A）</w:t>
                  </w:r>
                </w:p>
              </w:tc>
              <w:tc>
                <w:tcPr>
                  <w:tcW w:w="516" w:type="pct"/>
                  <w:noWrap w:val="0"/>
                  <w:vAlign w:val="center"/>
                </w:tcPr>
                <w:p>
                  <w:pPr>
                    <w:adjustRightInd w:val="0"/>
                    <w:snapToGrid w:val="0"/>
                    <w:jc w:val="center"/>
                    <w:rPr>
                      <w:bCs/>
                      <w:color w:val="FF0000"/>
                      <w:sz w:val="21"/>
                      <w:szCs w:val="21"/>
                    </w:rPr>
                  </w:pPr>
                  <w:r>
                    <w:rPr>
                      <w:bCs/>
                      <w:color w:val="FF0000"/>
                      <w:sz w:val="21"/>
                      <w:szCs w:val="21"/>
                    </w:rPr>
                    <w:t>贡献值</w:t>
                  </w:r>
                </w:p>
                <w:p>
                  <w:pPr>
                    <w:adjustRightInd w:val="0"/>
                    <w:snapToGrid w:val="0"/>
                    <w:jc w:val="center"/>
                    <w:rPr>
                      <w:bCs/>
                      <w:color w:val="FF0000"/>
                      <w:sz w:val="21"/>
                      <w:szCs w:val="21"/>
                    </w:rPr>
                  </w:pPr>
                  <w:r>
                    <w:rPr>
                      <w:bCs/>
                      <w:color w:val="FF0000"/>
                      <w:sz w:val="21"/>
                      <w:szCs w:val="21"/>
                    </w:rPr>
                    <w:t>dB（A）</w:t>
                  </w:r>
                </w:p>
              </w:tc>
              <w:tc>
                <w:tcPr>
                  <w:tcW w:w="624" w:type="pct"/>
                  <w:noWrap w:val="0"/>
                  <w:vAlign w:val="center"/>
                </w:tcPr>
                <w:p>
                  <w:pPr>
                    <w:widowControl/>
                    <w:adjustRightInd w:val="0"/>
                    <w:snapToGrid w:val="0"/>
                    <w:jc w:val="center"/>
                    <w:rPr>
                      <w:bCs/>
                      <w:color w:val="FF0000"/>
                      <w:sz w:val="21"/>
                      <w:szCs w:val="21"/>
                    </w:rPr>
                  </w:pPr>
                  <w:r>
                    <w:rPr>
                      <w:bCs/>
                      <w:color w:val="FF0000"/>
                      <w:sz w:val="21"/>
                      <w:szCs w:val="21"/>
                    </w:rPr>
                    <w:t>背景值</w:t>
                  </w:r>
                </w:p>
                <w:p>
                  <w:pPr>
                    <w:adjustRightInd w:val="0"/>
                    <w:snapToGrid w:val="0"/>
                    <w:jc w:val="center"/>
                    <w:rPr>
                      <w:bCs/>
                      <w:color w:val="FF0000"/>
                      <w:sz w:val="21"/>
                      <w:szCs w:val="21"/>
                    </w:rPr>
                  </w:pPr>
                  <w:r>
                    <w:rPr>
                      <w:bCs/>
                      <w:color w:val="FF0000"/>
                      <w:sz w:val="21"/>
                      <w:szCs w:val="21"/>
                    </w:rPr>
                    <w:t>dB（A）</w:t>
                  </w:r>
                </w:p>
              </w:tc>
              <w:tc>
                <w:tcPr>
                  <w:tcW w:w="545" w:type="pct"/>
                  <w:noWrap w:val="0"/>
                  <w:vAlign w:val="center"/>
                </w:tcPr>
                <w:p>
                  <w:pPr>
                    <w:widowControl/>
                    <w:adjustRightInd w:val="0"/>
                    <w:snapToGrid w:val="0"/>
                    <w:jc w:val="center"/>
                    <w:rPr>
                      <w:bCs/>
                      <w:color w:val="FF0000"/>
                      <w:sz w:val="21"/>
                      <w:szCs w:val="21"/>
                    </w:rPr>
                  </w:pPr>
                  <w:r>
                    <w:rPr>
                      <w:bCs/>
                      <w:color w:val="FF0000"/>
                      <w:sz w:val="21"/>
                      <w:szCs w:val="21"/>
                    </w:rPr>
                    <w:t>预测值</w:t>
                  </w:r>
                </w:p>
                <w:p>
                  <w:pPr>
                    <w:adjustRightInd w:val="0"/>
                    <w:snapToGrid w:val="0"/>
                    <w:jc w:val="center"/>
                    <w:rPr>
                      <w:bCs/>
                      <w:color w:val="FF0000"/>
                      <w:sz w:val="21"/>
                      <w:szCs w:val="21"/>
                    </w:rPr>
                  </w:pPr>
                  <w:r>
                    <w:rPr>
                      <w:bCs/>
                      <w:color w:val="FF0000"/>
                      <w:sz w:val="21"/>
                      <w:szCs w:val="21"/>
                    </w:rPr>
                    <w:t>dB（A）</w:t>
                  </w:r>
                </w:p>
              </w:tc>
              <w:tc>
                <w:tcPr>
                  <w:tcW w:w="575" w:type="pct"/>
                  <w:vMerge w:val="continue"/>
                  <w:noWrap w:val="0"/>
                  <w:vAlign w:val="center"/>
                </w:tcPr>
                <w:p>
                  <w:pPr>
                    <w:adjustRightInd w:val="0"/>
                    <w:snapToGrid w:val="0"/>
                    <w:jc w:val="center"/>
                    <w:rPr>
                      <w:bCs/>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035" w:type="pct"/>
                  <w:noWrap w:val="0"/>
                  <w:vAlign w:val="center"/>
                </w:tcPr>
                <w:p>
                  <w:pPr>
                    <w:adjustRightInd w:val="0"/>
                    <w:snapToGrid w:val="0"/>
                    <w:jc w:val="center"/>
                    <w:rPr>
                      <w:rFonts w:hint="eastAsia"/>
                      <w:bCs/>
                      <w:color w:val="FF0000"/>
                      <w:sz w:val="21"/>
                      <w:szCs w:val="21"/>
                    </w:rPr>
                  </w:pPr>
                  <w:r>
                    <w:rPr>
                      <w:rFonts w:hint="eastAsia"/>
                      <w:bCs/>
                      <w:color w:val="FF0000"/>
                      <w:sz w:val="21"/>
                      <w:szCs w:val="21"/>
                      <w:lang w:eastAsia="zh-CN"/>
                    </w:rPr>
                    <w:t>凤凰上镜小区</w:t>
                  </w:r>
                </w:p>
              </w:tc>
              <w:tc>
                <w:tcPr>
                  <w:tcW w:w="1033" w:type="dxa"/>
                  <w:noWrap w:val="0"/>
                  <w:vAlign w:val="center"/>
                </w:tcPr>
                <w:p>
                  <w:pPr>
                    <w:adjustRightInd w:val="0"/>
                    <w:snapToGrid w:val="0"/>
                    <w:jc w:val="center"/>
                    <w:rPr>
                      <w:rFonts w:hint="default"/>
                      <w:bCs/>
                      <w:color w:val="FF0000"/>
                      <w:sz w:val="21"/>
                      <w:szCs w:val="21"/>
                      <w:lang w:val="en-US" w:eastAsia="zh-CN"/>
                    </w:rPr>
                  </w:pPr>
                  <w:r>
                    <w:rPr>
                      <w:bCs/>
                      <w:color w:val="FF0000"/>
                      <w:sz w:val="21"/>
                      <w:szCs w:val="21"/>
                      <w:lang w:val="en-US" w:eastAsia="zh-CN"/>
                    </w:rPr>
                    <w:t>48.09</w:t>
                  </w:r>
                </w:p>
              </w:tc>
              <w:tc>
                <w:tcPr>
                  <w:tcW w:w="914" w:type="dxa"/>
                  <w:noWrap w:val="0"/>
                  <w:vAlign w:val="center"/>
                </w:tcPr>
                <w:p>
                  <w:pPr>
                    <w:adjustRightInd w:val="0"/>
                    <w:snapToGrid w:val="0"/>
                    <w:jc w:val="center"/>
                    <w:rPr>
                      <w:rFonts w:hint="default"/>
                      <w:bCs/>
                      <w:color w:val="FF0000"/>
                      <w:sz w:val="21"/>
                      <w:szCs w:val="21"/>
                      <w:lang w:val="en-US" w:eastAsia="zh-CN"/>
                    </w:rPr>
                  </w:pPr>
                  <w:r>
                    <w:rPr>
                      <w:bCs/>
                      <w:color w:val="FF0000"/>
                      <w:sz w:val="21"/>
                      <w:szCs w:val="21"/>
                      <w:lang w:val="en-US" w:eastAsia="zh-CN"/>
                    </w:rPr>
                    <w:t>48.80</w:t>
                  </w:r>
                </w:p>
              </w:tc>
              <w:tc>
                <w:tcPr>
                  <w:tcW w:w="872" w:type="dxa"/>
                  <w:noWrap w:val="0"/>
                  <w:vAlign w:val="center"/>
                </w:tcPr>
                <w:p>
                  <w:pPr>
                    <w:adjustRightInd w:val="0"/>
                    <w:snapToGrid w:val="0"/>
                    <w:jc w:val="center"/>
                    <w:rPr>
                      <w:bCs/>
                      <w:color w:val="FF0000"/>
                      <w:sz w:val="21"/>
                      <w:szCs w:val="21"/>
                    </w:rPr>
                  </w:pPr>
                  <w:r>
                    <w:rPr>
                      <w:bCs/>
                      <w:color w:val="FF0000"/>
                      <w:sz w:val="21"/>
                      <w:szCs w:val="21"/>
                      <w:lang w:val="en-US" w:eastAsia="zh-CN"/>
                    </w:rPr>
                    <w:t>51.47</w:t>
                  </w:r>
                </w:p>
              </w:tc>
              <w:tc>
                <w:tcPr>
                  <w:tcW w:w="853" w:type="dxa"/>
                  <w:noWrap w:val="0"/>
                  <w:vAlign w:val="center"/>
                </w:tcPr>
                <w:p>
                  <w:pPr>
                    <w:adjustRightInd w:val="0"/>
                    <w:snapToGrid w:val="0"/>
                    <w:jc w:val="center"/>
                    <w:rPr>
                      <w:rFonts w:hint="default"/>
                      <w:bCs/>
                      <w:color w:val="FF0000"/>
                      <w:sz w:val="21"/>
                      <w:szCs w:val="21"/>
                      <w:lang w:val="en-US" w:eastAsia="zh-CN"/>
                    </w:rPr>
                  </w:pPr>
                  <w:r>
                    <w:rPr>
                      <w:bCs/>
                      <w:color w:val="FF0000"/>
                      <w:sz w:val="21"/>
                      <w:szCs w:val="21"/>
                      <w:lang w:val="en-US" w:eastAsia="zh-CN"/>
                    </w:rPr>
                    <w:t>41.81</w:t>
                  </w:r>
                </w:p>
              </w:tc>
              <w:tc>
                <w:tcPr>
                  <w:tcW w:w="1033" w:type="dxa"/>
                  <w:noWrap w:val="0"/>
                  <w:vAlign w:val="center"/>
                </w:tcPr>
                <w:p>
                  <w:pPr>
                    <w:adjustRightInd w:val="0"/>
                    <w:snapToGrid w:val="0"/>
                    <w:jc w:val="center"/>
                    <w:rPr>
                      <w:rFonts w:hint="default"/>
                      <w:bCs/>
                      <w:color w:val="FF0000"/>
                      <w:sz w:val="21"/>
                      <w:szCs w:val="21"/>
                      <w:lang w:val="en-US" w:eastAsia="zh-CN"/>
                    </w:rPr>
                  </w:pPr>
                  <w:r>
                    <w:rPr>
                      <w:bCs/>
                      <w:color w:val="FF0000"/>
                      <w:sz w:val="21"/>
                      <w:szCs w:val="21"/>
                      <w:lang w:val="en-US" w:eastAsia="zh-CN"/>
                    </w:rPr>
                    <w:t>36.60</w:t>
                  </w:r>
                </w:p>
              </w:tc>
              <w:tc>
                <w:tcPr>
                  <w:tcW w:w="904" w:type="dxa"/>
                  <w:noWrap w:val="0"/>
                  <w:vAlign w:val="center"/>
                </w:tcPr>
                <w:p>
                  <w:pPr>
                    <w:adjustRightInd w:val="0"/>
                    <w:snapToGrid w:val="0"/>
                    <w:jc w:val="center"/>
                    <w:rPr>
                      <w:rFonts w:hint="default"/>
                      <w:bCs/>
                      <w:color w:val="FF0000"/>
                      <w:sz w:val="21"/>
                      <w:szCs w:val="21"/>
                      <w:lang w:val="en-US" w:eastAsia="zh-CN"/>
                    </w:rPr>
                  </w:pPr>
                  <w:r>
                    <w:rPr>
                      <w:bCs/>
                      <w:color w:val="FF0000"/>
                      <w:sz w:val="21"/>
                      <w:szCs w:val="21"/>
                      <w:lang w:val="en-US" w:eastAsia="zh-CN"/>
                    </w:rPr>
                    <w:t>42.95</w:t>
                  </w:r>
                </w:p>
              </w:tc>
              <w:tc>
                <w:tcPr>
                  <w:tcW w:w="575" w:type="pct"/>
                  <w:noWrap w:val="0"/>
                  <w:vAlign w:val="center"/>
                </w:tcPr>
                <w:p>
                  <w:pPr>
                    <w:adjustRightInd w:val="0"/>
                    <w:snapToGrid w:val="0"/>
                    <w:jc w:val="center"/>
                    <w:rPr>
                      <w:bCs/>
                      <w:color w:val="FF0000"/>
                      <w:sz w:val="21"/>
                      <w:szCs w:val="21"/>
                    </w:rPr>
                  </w:pPr>
                  <w:r>
                    <w:rPr>
                      <w:bCs/>
                      <w:color w:val="FF0000"/>
                      <w:sz w:val="21"/>
                      <w:szCs w:val="21"/>
                    </w:rPr>
                    <w:t>60/50</w:t>
                  </w:r>
                </w:p>
              </w:tc>
            </w:tr>
          </w:tbl>
          <w:p>
            <w:pPr>
              <w:pStyle w:val="115"/>
              <w:adjustRightInd w:val="0"/>
              <w:snapToGrid w:val="0"/>
              <w:spacing w:before="120" w:beforeLines="50" w:line="360" w:lineRule="auto"/>
              <w:ind w:firstLine="0" w:firstLineChars="0"/>
              <w:jc w:val="center"/>
              <w:rPr>
                <w:b/>
                <w:color w:val="FF0000"/>
                <w:sz w:val="24"/>
                <w:szCs w:val="24"/>
              </w:rPr>
            </w:pPr>
            <w:r>
              <w:drawing>
                <wp:inline distT="0" distB="0" distL="114300" distR="114300">
                  <wp:extent cx="5255260" cy="2649220"/>
                  <wp:effectExtent l="9525" t="9525" r="12065" b="2730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28"/>
                          <a:stretch>
                            <a:fillRect/>
                          </a:stretch>
                        </pic:blipFill>
                        <pic:spPr>
                          <a:xfrm>
                            <a:off x="0" y="0"/>
                            <a:ext cx="5255260" cy="2649220"/>
                          </a:xfrm>
                          <a:prstGeom prst="rect">
                            <a:avLst/>
                          </a:prstGeom>
                          <a:noFill/>
                          <a:ln>
                            <a:solidFill>
                              <a:schemeClr val="tx1"/>
                            </a:solidFill>
                          </a:ln>
                        </pic:spPr>
                      </pic:pic>
                    </a:graphicData>
                  </a:graphic>
                </wp:inline>
              </w:drawing>
            </w:r>
            <w:r>
              <w:rPr>
                <w:rFonts w:hAnsi="宋体" w:eastAsia="宋体"/>
                <w:b/>
                <w:color w:val="FF0000"/>
                <w:sz w:val="21"/>
                <w:szCs w:val="21"/>
              </w:rPr>
              <w:t>图</w:t>
            </w:r>
            <w:r>
              <w:rPr>
                <w:rFonts w:hint="eastAsia" w:hAnsi="宋体" w:eastAsia="宋体"/>
                <w:b/>
                <w:color w:val="FF0000"/>
                <w:sz w:val="21"/>
                <w:szCs w:val="21"/>
                <w:lang w:val="en-US" w:eastAsia="zh-CN"/>
              </w:rPr>
              <w:t>8</w:t>
            </w:r>
            <w:r>
              <w:rPr>
                <w:rFonts w:hint="eastAsia" w:eastAsia="宋体"/>
                <w:b/>
                <w:color w:val="FF0000"/>
                <w:sz w:val="21"/>
                <w:szCs w:val="21"/>
                <w:lang w:val="en-US" w:eastAsia="zh-CN"/>
              </w:rPr>
              <w:t>-6</w:t>
            </w:r>
            <w:r>
              <w:rPr>
                <w:rFonts w:hint="eastAsia" w:eastAsia="宋体"/>
                <w:b/>
                <w:color w:val="FF0000"/>
                <w:sz w:val="21"/>
                <w:szCs w:val="21"/>
              </w:rPr>
              <w:t xml:space="preserve"> </w:t>
            </w:r>
            <w:r>
              <w:rPr>
                <w:b/>
                <w:color w:val="FF0000"/>
                <w:sz w:val="21"/>
                <w:szCs w:val="21"/>
              </w:rPr>
              <w:t xml:space="preserve">  </w:t>
            </w:r>
            <w:r>
              <w:rPr>
                <w:b/>
                <w:bCs/>
                <w:color w:val="FF0000"/>
                <w:sz w:val="21"/>
                <w:szCs w:val="21"/>
              </w:rPr>
              <w:t>近期（202</w:t>
            </w:r>
            <w:r>
              <w:rPr>
                <w:rFonts w:hint="eastAsia"/>
                <w:b/>
                <w:bCs/>
                <w:color w:val="FF0000"/>
                <w:sz w:val="21"/>
                <w:szCs w:val="21"/>
                <w:lang w:val="en-US" w:eastAsia="zh-CN"/>
              </w:rPr>
              <w:t>4</w:t>
            </w:r>
            <w:r>
              <w:rPr>
                <w:b/>
                <w:bCs/>
                <w:color w:val="FF0000"/>
                <w:sz w:val="21"/>
                <w:szCs w:val="21"/>
              </w:rPr>
              <w:t>年）</w:t>
            </w:r>
            <w:r>
              <w:rPr>
                <w:rFonts w:hAnsi="宋体" w:eastAsia="宋体"/>
                <w:b/>
                <w:bCs/>
                <w:color w:val="FF0000"/>
                <w:sz w:val="21"/>
                <w:szCs w:val="21"/>
              </w:rPr>
              <w:t>声</w:t>
            </w:r>
            <w:r>
              <w:rPr>
                <w:rFonts w:hAnsi="宋体" w:eastAsia="宋体"/>
                <w:b/>
                <w:color w:val="FF0000"/>
                <w:sz w:val="21"/>
                <w:szCs w:val="21"/>
              </w:rPr>
              <w:t>环境预测点昼间等声级线分布图（贡献值）</w:t>
            </w:r>
          </w:p>
          <w:p>
            <w:pPr>
              <w:pStyle w:val="115"/>
              <w:keepNext w:val="0"/>
              <w:keepLines w:val="0"/>
              <w:pageBreakBefore w:val="0"/>
              <w:widowControl/>
              <w:kinsoku/>
              <w:wordWrap/>
              <w:overflowPunct/>
              <w:topLinePunct w:val="0"/>
              <w:autoSpaceDE/>
              <w:autoSpaceDN/>
              <w:bidi w:val="0"/>
              <w:adjustRightInd w:val="0"/>
              <w:snapToGrid w:val="0"/>
              <w:spacing w:before="120" w:beforeLines="50" w:after="0" w:line="360" w:lineRule="auto"/>
              <w:ind w:right="113" w:firstLine="0" w:firstLineChars="0"/>
              <w:jc w:val="center"/>
              <w:textAlignment w:val="auto"/>
              <w:rPr>
                <w:b/>
                <w:sz w:val="24"/>
                <w:szCs w:val="24"/>
              </w:rPr>
            </w:pPr>
            <w:r>
              <w:drawing>
                <wp:inline distT="0" distB="0" distL="114300" distR="114300">
                  <wp:extent cx="5256530" cy="2552700"/>
                  <wp:effectExtent l="0" t="0" r="1270" b="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9"/>
                          <a:stretch>
                            <a:fillRect/>
                          </a:stretch>
                        </pic:blipFill>
                        <pic:spPr>
                          <a:xfrm>
                            <a:off x="0" y="0"/>
                            <a:ext cx="5256530" cy="2552700"/>
                          </a:xfrm>
                          <a:prstGeom prst="rect">
                            <a:avLst/>
                          </a:prstGeom>
                          <a:noFill/>
                          <a:ln>
                            <a:noFill/>
                          </a:ln>
                        </pic:spPr>
                      </pic:pic>
                    </a:graphicData>
                  </a:graphic>
                </wp:inline>
              </w:drawing>
            </w:r>
            <w:r>
              <w:rPr>
                <w:b/>
                <w:bCs/>
                <w:color w:val="FF0000"/>
                <w:sz w:val="21"/>
                <w:szCs w:val="21"/>
              </w:rPr>
              <w:t>图</w:t>
            </w:r>
            <w:r>
              <w:rPr>
                <w:rFonts w:hint="eastAsia" w:eastAsia="宋体"/>
                <w:b/>
                <w:bCs/>
                <w:color w:val="FF0000"/>
                <w:sz w:val="21"/>
                <w:szCs w:val="21"/>
                <w:lang w:val="en-US" w:eastAsia="zh-CN"/>
              </w:rPr>
              <w:t>8</w:t>
            </w:r>
            <w:r>
              <w:rPr>
                <w:rFonts w:hint="eastAsia"/>
                <w:b/>
                <w:bCs/>
                <w:color w:val="FF0000"/>
                <w:sz w:val="21"/>
                <w:szCs w:val="21"/>
              </w:rPr>
              <w:t xml:space="preserve">-7 </w:t>
            </w:r>
            <w:r>
              <w:rPr>
                <w:b/>
                <w:bCs/>
                <w:color w:val="FF0000"/>
                <w:sz w:val="21"/>
                <w:szCs w:val="21"/>
              </w:rPr>
              <w:t xml:space="preserve">  近期（202</w:t>
            </w:r>
            <w:r>
              <w:rPr>
                <w:rFonts w:hint="eastAsia"/>
                <w:b/>
                <w:bCs/>
                <w:color w:val="FF0000"/>
                <w:sz w:val="21"/>
                <w:szCs w:val="21"/>
                <w:lang w:val="en-US" w:eastAsia="zh-CN"/>
              </w:rPr>
              <w:t>4</w:t>
            </w:r>
            <w:r>
              <w:rPr>
                <w:b/>
                <w:bCs/>
                <w:color w:val="FF0000"/>
                <w:sz w:val="21"/>
                <w:szCs w:val="21"/>
              </w:rPr>
              <w:t>年）声环境预测点昼间等声级线分布图（贡献值）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hAnsi="宋体" w:eastAsia="宋体"/>
                <w:color w:val="FF0000"/>
                <w:sz w:val="24"/>
                <w:szCs w:val="24"/>
              </w:rPr>
            </w:pPr>
            <w:r>
              <w:rPr>
                <w:rFonts w:hAnsi="宋体" w:eastAsia="宋体"/>
                <w:color w:val="FF0000"/>
                <w:sz w:val="24"/>
                <w:szCs w:val="24"/>
              </w:rPr>
              <w:t>综上，本项目</w:t>
            </w:r>
            <w:r>
              <w:rPr>
                <w:rFonts w:hint="eastAsia" w:hAnsi="宋体" w:eastAsia="宋体"/>
                <w:color w:val="FF0000"/>
                <w:sz w:val="24"/>
                <w:szCs w:val="24"/>
              </w:rPr>
              <w:t>运营后</w:t>
            </w:r>
            <w:r>
              <w:rPr>
                <w:rFonts w:hAnsi="宋体" w:eastAsia="宋体"/>
                <w:color w:val="FF0000"/>
                <w:sz w:val="24"/>
                <w:szCs w:val="24"/>
              </w:rPr>
              <w:t>交通噪声对周围声环境质量造成了一定的影响，根据表</w:t>
            </w:r>
            <w:r>
              <w:rPr>
                <w:rFonts w:hint="eastAsia" w:eastAsia="宋体"/>
                <w:color w:val="FF0000"/>
                <w:sz w:val="24"/>
                <w:szCs w:val="24"/>
                <w:lang w:val="en-US" w:eastAsia="zh-CN"/>
              </w:rPr>
              <w:t>8-11</w:t>
            </w:r>
            <w:r>
              <w:rPr>
                <w:rFonts w:hAnsi="宋体" w:eastAsia="宋体"/>
                <w:color w:val="FF0000"/>
                <w:sz w:val="24"/>
                <w:szCs w:val="24"/>
              </w:rPr>
              <w:t>中的预测结果可以看出，在叠加背景值后本</w:t>
            </w:r>
            <w:r>
              <w:rPr>
                <w:rFonts w:hint="eastAsia" w:hAnsi="宋体" w:eastAsia="宋体"/>
                <w:color w:val="FF0000"/>
                <w:sz w:val="24"/>
                <w:szCs w:val="24"/>
                <w:lang w:eastAsia="zh-CN"/>
              </w:rPr>
              <w:t>项目</w:t>
            </w:r>
            <w:r>
              <w:rPr>
                <w:rFonts w:hAnsi="宋体" w:eastAsia="宋体"/>
                <w:color w:val="FF0000"/>
                <w:sz w:val="24"/>
                <w:szCs w:val="24"/>
              </w:rPr>
              <w:t>运营近期（</w:t>
            </w:r>
            <w:r>
              <w:rPr>
                <w:color w:val="FF0000"/>
                <w:sz w:val="24"/>
                <w:szCs w:val="24"/>
              </w:rPr>
              <w:t>20</w:t>
            </w:r>
            <w:r>
              <w:rPr>
                <w:rFonts w:eastAsia="宋体"/>
                <w:color w:val="FF0000"/>
                <w:sz w:val="24"/>
                <w:szCs w:val="24"/>
              </w:rPr>
              <w:t>2</w:t>
            </w:r>
            <w:r>
              <w:rPr>
                <w:rFonts w:hint="eastAsia" w:eastAsia="宋体"/>
                <w:color w:val="FF0000"/>
                <w:sz w:val="24"/>
                <w:szCs w:val="24"/>
                <w:lang w:val="en-US" w:eastAsia="zh-CN"/>
              </w:rPr>
              <w:t>4</w:t>
            </w:r>
            <w:r>
              <w:rPr>
                <w:rFonts w:hAnsi="宋体" w:eastAsia="宋体"/>
                <w:color w:val="FF0000"/>
                <w:sz w:val="24"/>
                <w:szCs w:val="24"/>
              </w:rPr>
              <w:t>年）</w:t>
            </w:r>
            <w:r>
              <w:rPr>
                <w:rFonts w:hint="eastAsia" w:hAnsi="宋体" w:eastAsia="宋体"/>
                <w:color w:val="FF0000"/>
                <w:sz w:val="24"/>
                <w:szCs w:val="24"/>
                <w:lang w:eastAsia="zh-CN"/>
              </w:rPr>
              <w:t>声环境敏感</w:t>
            </w:r>
            <w:r>
              <w:rPr>
                <w:rFonts w:hAnsi="宋体" w:eastAsia="宋体"/>
                <w:color w:val="FF0000"/>
                <w:sz w:val="24"/>
                <w:szCs w:val="24"/>
              </w:rPr>
              <w:t>点</w:t>
            </w:r>
            <w:r>
              <w:rPr>
                <w:rFonts w:hint="eastAsia" w:hAnsi="宋体" w:eastAsia="宋体"/>
                <w:color w:val="FF0000"/>
                <w:sz w:val="24"/>
                <w:szCs w:val="24"/>
                <w:lang w:eastAsia="zh-CN"/>
              </w:rPr>
              <w:t>处</w:t>
            </w:r>
            <w:r>
              <w:rPr>
                <w:rFonts w:hAnsi="宋体" w:eastAsia="宋体"/>
                <w:color w:val="FF0000"/>
                <w:sz w:val="24"/>
                <w:szCs w:val="24"/>
              </w:rPr>
              <w:t>未出现超标现象，满足《声环境质量标准》（</w:t>
            </w:r>
            <w:r>
              <w:rPr>
                <w:color w:val="FF0000"/>
                <w:sz w:val="24"/>
                <w:szCs w:val="24"/>
              </w:rPr>
              <w:t>GB3096-2008</w:t>
            </w:r>
            <w:r>
              <w:rPr>
                <w:rFonts w:hAnsi="宋体" w:eastAsia="宋体"/>
                <w:color w:val="FF0000"/>
                <w:sz w:val="24"/>
                <w:szCs w:val="24"/>
              </w:rPr>
              <w:t>）</w:t>
            </w:r>
            <w:r>
              <w:rPr>
                <w:color w:val="FF0000"/>
                <w:sz w:val="24"/>
                <w:szCs w:val="24"/>
              </w:rPr>
              <w:t>2</w:t>
            </w:r>
            <w:r>
              <w:rPr>
                <w:rFonts w:hAnsi="宋体" w:eastAsia="宋体"/>
                <w:color w:val="FF0000"/>
                <w:sz w:val="24"/>
                <w:szCs w:val="24"/>
              </w:rPr>
              <w:t>类区标准</w:t>
            </w:r>
            <w:r>
              <w:rPr>
                <w:rFonts w:hint="eastAsia" w:hAnsi="宋体" w:eastAsia="宋体"/>
                <w:color w:val="FF0000"/>
                <w:sz w:val="24"/>
                <w:szCs w:val="24"/>
              </w:rPr>
              <w:t>（</w:t>
            </w:r>
            <w:r>
              <w:rPr>
                <w:rFonts w:hAnsi="宋体" w:eastAsia="宋体"/>
                <w:color w:val="FF0000"/>
                <w:sz w:val="24"/>
                <w:szCs w:val="24"/>
              </w:rPr>
              <w:t>昼间</w:t>
            </w:r>
            <w:r>
              <w:rPr>
                <w:color w:val="FF0000"/>
                <w:sz w:val="24"/>
                <w:szCs w:val="24"/>
              </w:rPr>
              <w:t>60 dB</w:t>
            </w:r>
            <w:r>
              <w:rPr>
                <w:rFonts w:hAnsi="宋体" w:eastAsia="宋体"/>
                <w:color w:val="FF0000"/>
                <w:sz w:val="24"/>
                <w:szCs w:val="24"/>
              </w:rPr>
              <w:t>（</w:t>
            </w:r>
            <w:r>
              <w:rPr>
                <w:color w:val="FF0000"/>
                <w:sz w:val="24"/>
                <w:szCs w:val="24"/>
              </w:rPr>
              <w:t>A</w:t>
            </w:r>
            <w:r>
              <w:rPr>
                <w:rFonts w:hAnsi="宋体" w:eastAsia="宋体"/>
                <w:color w:val="FF0000"/>
                <w:sz w:val="24"/>
                <w:szCs w:val="24"/>
              </w:rPr>
              <w:t>），夜间</w:t>
            </w:r>
            <w:r>
              <w:rPr>
                <w:color w:val="FF0000"/>
                <w:sz w:val="24"/>
                <w:szCs w:val="24"/>
              </w:rPr>
              <w:t>50dB</w:t>
            </w:r>
            <w:r>
              <w:rPr>
                <w:rFonts w:hAnsi="宋体" w:eastAsia="宋体"/>
                <w:color w:val="FF0000"/>
                <w:sz w:val="24"/>
                <w:szCs w:val="24"/>
              </w:rPr>
              <w:t>（</w:t>
            </w:r>
            <w:r>
              <w:rPr>
                <w:color w:val="FF0000"/>
                <w:sz w:val="24"/>
                <w:szCs w:val="24"/>
              </w:rPr>
              <w:t>A</w:t>
            </w:r>
            <w:r>
              <w:rPr>
                <w:rFonts w:hAnsi="宋体" w:eastAsia="宋体"/>
                <w:color w:val="FF0000"/>
                <w:sz w:val="24"/>
                <w:szCs w:val="24"/>
              </w:rPr>
              <w:t>）</w:t>
            </w:r>
            <w:r>
              <w:rPr>
                <w:rFonts w:hint="eastAsia" w:hAnsi="宋体" w:eastAsia="宋体"/>
                <w:color w:val="FF0000"/>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FF0000"/>
                <w:sz w:val="24"/>
              </w:rPr>
            </w:pPr>
            <w:r>
              <w:rPr>
                <w:color w:val="FF0000"/>
                <w:sz w:val="24"/>
              </w:rPr>
              <w:t>②中期噪声预测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FF0000"/>
                <w:sz w:val="24"/>
              </w:rPr>
            </w:pPr>
            <w:r>
              <w:rPr>
                <w:rFonts w:hint="eastAsia"/>
                <w:color w:val="FF0000"/>
                <w:sz w:val="24"/>
                <w:lang w:eastAsia="zh-CN"/>
              </w:rPr>
              <w:t>本</w:t>
            </w:r>
            <w:r>
              <w:rPr>
                <w:color w:val="FF0000"/>
                <w:sz w:val="24"/>
              </w:rPr>
              <w:t>项目中期（20</w:t>
            </w:r>
            <w:r>
              <w:rPr>
                <w:rFonts w:hint="eastAsia"/>
                <w:color w:val="FF0000"/>
                <w:sz w:val="24"/>
                <w:lang w:val="en-US" w:eastAsia="zh-CN"/>
              </w:rPr>
              <w:t>30</w:t>
            </w:r>
            <w:r>
              <w:rPr>
                <w:color w:val="FF0000"/>
                <w:sz w:val="24"/>
              </w:rPr>
              <w:t>年）噪声预测值见表</w:t>
            </w:r>
            <w:r>
              <w:rPr>
                <w:rFonts w:hint="eastAsia"/>
                <w:color w:val="FF0000"/>
                <w:sz w:val="24"/>
              </w:rPr>
              <w:t>8-1</w:t>
            </w:r>
            <w:r>
              <w:rPr>
                <w:rFonts w:hint="eastAsia"/>
                <w:color w:val="FF0000"/>
                <w:sz w:val="24"/>
                <w:lang w:val="en-US" w:eastAsia="zh-CN"/>
              </w:rPr>
              <w:t>2</w:t>
            </w:r>
            <w:r>
              <w:rPr>
                <w:rFonts w:hint="eastAsia"/>
                <w:color w:val="FF0000"/>
                <w:sz w:val="24"/>
                <w:lang w:eastAsia="zh-CN"/>
              </w:rPr>
              <w:t>，</w:t>
            </w:r>
            <w:r>
              <w:rPr>
                <w:rFonts w:hint="eastAsia" w:hAnsi="宋体"/>
                <w:color w:val="FF0000"/>
                <w:sz w:val="24"/>
              </w:rPr>
              <w:t>昼、夜间噪声</w:t>
            </w:r>
            <w:r>
              <w:rPr>
                <w:rFonts w:hint="eastAsia" w:hAnsi="宋体"/>
                <w:color w:val="FF0000"/>
                <w:sz w:val="24"/>
                <w:lang w:eastAsia="zh-CN"/>
              </w:rPr>
              <w:t>贡献值等声级线分布见图</w:t>
            </w:r>
            <w:r>
              <w:rPr>
                <w:rFonts w:hint="eastAsia" w:hAnsi="宋体"/>
                <w:color w:val="FF0000"/>
                <w:sz w:val="24"/>
                <w:lang w:val="en-US" w:eastAsia="zh-CN"/>
              </w:rPr>
              <w:t>8-8</w:t>
            </w:r>
            <w:r>
              <w:rPr>
                <w:rFonts w:hint="eastAsia" w:hAnsi="宋体"/>
                <w:color w:val="FF0000"/>
                <w:sz w:val="24"/>
              </w:rPr>
              <w:t>、</w:t>
            </w:r>
            <w:r>
              <w:rPr>
                <w:rFonts w:hint="eastAsia" w:hAnsi="宋体"/>
                <w:color w:val="FF0000"/>
                <w:sz w:val="24"/>
                <w:lang w:val="en-US" w:eastAsia="zh-CN"/>
              </w:rPr>
              <w:t>8-9</w:t>
            </w:r>
            <w:r>
              <w:rPr>
                <w:rFonts w:hint="eastAsia" w:hAnsi="宋体"/>
                <w:color w:val="FF0000"/>
                <w:sz w:val="24"/>
              </w:rPr>
              <w:t>。</w:t>
            </w:r>
          </w:p>
          <w:p>
            <w:pPr>
              <w:adjustRightInd w:val="0"/>
              <w:snapToGrid w:val="0"/>
              <w:ind w:firstLine="310" w:firstLineChars="147"/>
              <w:jc w:val="center"/>
              <w:rPr>
                <w:b/>
                <w:color w:val="FF0000"/>
                <w:sz w:val="21"/>
                <w:szCs w:val="21"/>
              </w:rPr>
            </w:pPr>
            <w:r>
              <w:rPr>
                <w:b/>
                <w:color w:val="FF0000"/>
                <w:sz w:val="21"/>
                <w:szCs w:val="21"/>
              </w:rPr>
              <w:t>表</w:t>
            </w:r>
            <w:r>
              <w:rPr>
                <w:rFonts w:hint="eastAsia"/>
                <w:b/>
                <w:color w:val="FF0000"/>
                <w:sz w:val="21"/>
                <w:szCs w:val="21"/>
              </w:rPr>
              <w:t>8-1</w:t>
            </w:r>
            <w:r>
              <w:rPr>
                <w:rFonts w:hint="eastAsia"/>
                <w:b/>
                <w:color w:val="FF0000"/>
                <w:sz w:val="21"/>
                <w:szCs w:val="21"/>
                <w:lang w:val="en-US" w:eastAsia="zh-CN"/>
              </w:rPr>
              <w:t>2</w:t>
            </w:r>
            <w:r>
              <w:rPr>
                <w:b/>
                <w:color w:val="FF0000"/>
                <w:sz w:val="21"/>
                <w:szCs w:val="21"/>
              </w:rPr>
              <w:t xml:space="preserve">     </w:t>
            </w:r>
            <w:r>
              <w:rPr>
                <w:rFonts w:hint="eastAsia"/>
                <w:b/>
                <w:color w:val="FF0000"/>
                <w:sz w:val="21"/>
                <w:szCs w:val="21"/>
                <w:lang w:eastAsia="zh-CN"/>
              </w:rPr>
              <w:t>本项目</w:t>
            </w:r>
            <w:r>
              <w:rPr>
                <w:b/>
                <w:color w:val="FF0000"/>
                <w:sz w:val="21"/>
                <w:szCs w:val="21"/>
              </w:rPr>
              <w:t>中期（20</w:t>
            </w:r>
            <w:r>
              <w:rPr>
                <w:rFonts w:hint="eastAsia"/>
                <w:b/>
                <w:color w:val="FF0000"/>
                <w:sz w:val="21"/>
                <w:szCs w:val="21"/>
                <w:lang w:val="en-US" w:eastAsia="zh-CN"/>
              </w:rPr>
              <w:t>30</w:t>
            </w:r>
            <w:r>
              <w:rPr>
                <w:b/>
                <w:color w:val="FF0000"/>
                <w:sz w:val="21"/>
                <w:szCs w:val="21"/>
              </w:rPr>
              <w:t>年</w:t>
            </w:r>
            <w:r>
              <w:rPr>
                <w:color w:val="FF0000"/>
                <w:sz w:val="21"/>
                <w:szCs w:val="21"/>
              </w:rPr>
              <w:t>）</w:t>
            </w:r>
            <w:r>
              <w:rPr>
                <w:b/>
                <w:color w:val="FF0000"/>
                <w:sz w:val="21"/>
                <w:szCs w:val="21"/>
              </w:rPr>
              <w:t>预测点声环境影响预测结果</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717"/>
              <w:gridCol w:w="1035"/>
              <w:gridCol w:w="916"/>
              <w:gridCol w:w="874"/>
              <w:gridCol w:w="856"/>
              <w:gridCol w:w="1035"/>
              <w:gridCol w:w="906"/>
              <w:gridCol w:w="95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4" w:hRule="atLeast"/>
              </w:trPr>
              <w:tc>
                <w:tcPr>
                  <w:tcW w:w="1035" w:type="pct"/>
                  <w:vMerge w:val="restart"/>
                  <w:noWrap w:val="0"/>
                  <w:vAlign w:val="center"/>
                </w:tcPr>
                <w:p>
                  <w:pPr>
                    <w:adjustRightInd w:val="0"/>
                    <w:snapToGrid w:val="0"/>
                    <w:jc w:val="center"/>
                    <w:rPr>
                      <w:bCs/>
                      <w:color w:val="FF0000"/>
                      <w:szCs w:val="21"/>
                    </w:rPr>
                  </w:pPr>
                  <w:r>
                    <w:rPr>
                      <w:bCs/>
                      <w:color w:val="FF0000"/>
                      <w:szCs w:val="21"/>
                    </w:rPr>
                    <w:t>声环境敏感点</w:t>
                  </w:r>
                </w:p>
              </w:tc>
              <w:tc>
                <w:tcPr>
                  <w:tcW w:w="1703" w:type="pct"/>
                  <w:gridSpan w:val="3"/>
                  <w:noWrap w:val="0"/>
                  <w:vAlign w:val="center"/>
                </w:tcPr>
                <w:p>
                  <w:pPr>
                    <w:adjustRightInd w:val="0"/>
                    <w:snapToGrid w:val="0"/>
                    <w:jc w:val="center"/>
                    <w:rPr>
                      <w:bCs/>
                      <w:color w:val="FF0000"/>
                      <w:szCs w:val="21"/>
                    </w:rPr>
                  </w:pPr>
                  <w:r>
                    <w:rPr>
                      <w:bCs/>
                      <w:color w:val="FF0000"/>
                      <w:szCs w:val="21"/>
                    </w:rPr>
                    <w:t>昼间</w:t>
                  </w:r>
                </w:p>
              </w:tc>
              <w:tc>
                <w:tcPr>
                  <w:tcW w:w="1686" w:type="pct"/>
                  <w:gridSpan w:val="3"/>
                  <w:noWrap w:val="0"/>
                  <w:vAlign w:val="center"/>
                </w:tcPr>
                <w:p>
                  <w:pPr>
                    <w:adjustRightInd w:val="0"/>
                    <w:snapToGrid w:val="0"/>
                    <w:jc w:val="center"/>
                    <w:rPr>
                      <w:bCs/>
                      <w:color w:val="FF0000"/>
                      <w:szCs w:val="21"/>
                    </w:rPr>
                  </w:pPr>
                  <w:r>
                    <w:rPr>
                      <w:bCs/>
                      <w:color w:val="FF0000"/>
                      <w:szCs w:val="21"/>
                    </w:rPr>
                    <w:t>夜间</w:t>
                  </w:r>
                </w:p>
              </w:tc>
              <w:tc>
                <w:tcPr>
                  <w:tcW w:w="575" w:type="pct"/>
                  <w:vMerge w:val="restart"/>
                  <w:noWrap w:val="0"/>
                  <w:vAlign w:val="center"/>
                </w:tcPr>
                <w:p>
                  <w:pPr>
                    <w:adjustRightInd w:val="0"/>
                    <w:snapToGrid w:val="0"/>
                    <w:jc w:val="center"/>
                    <w:rPr>
                      <w:bCs/>
                      <w:color w:val="FF0000"/>
                      <w:szCs w:val="21"/>
                    </w:rPr>
                  </w:pPr>
                  <w:r>
                    <w:rPr>
                      <w:bCs/>
                      <w:color w:val="FF0000"/>
                      <w:szCs w:val="21"/>
                    </w:rPr>
                    <w:t>标准</w:t>
                  </w:r>
                </w:p>
                <w:p>
                  <w:pPr>
                    <w:adjustRightInd w:val="0"/>
                    <w:snapToGrid w:val="0"/>
                    <w:jc w:val="center"/>
                    <w:rPr>
                      <w:bCs/>
                      <w:color w:val="FF0000"/>
                      <w:szCs w:val="21"/>
                    </w:rPr>
                  </w:pPr>
                  <w:r>
                    <w:rPr>
                      <w:bCs/>
                      <w:color w:val="FF0000"/>
                      <w:szCs w:val="21"/>
                    </w:rPr>
                    <w:t>限值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1" w:hRule="atLeast"/>
              </w:trPr>
              <w:tc>
                <w:tcPr>
                  <w:tcW w:w="1035" w:type="pct"/>
                  <w:vMerge w:val="continue"/>
                  <w:noWrap w:val="0"/>
                  <w:vAlign w:val="center"/>
                </w:tcPr>
                <w:p>
                  <w:pPr>
                    <w:adjustRightInd w:val="0"/>
                    <w:snapToGrid w:val="0"/>
                    <w:jc w:val="center"/>
                    <w:rPr>
                      <w:bCs/>
                      <w:color w:val="FF0000"/>
                      <w:szCs w:val="21"/>
                    </w:rPr>
                  </w:pPr>
                </w:p>
              </w:tc>
              <w:tc>
                <w:tcPr>
                  <w:tcW w:w="624" w:type="pct"/>
                  <w:noWrap w:val="0"/>
                  <w:vAlign w:val="center"/>
                </w:tcPr>
                <w:p>
                  <w:pPr>
                    <w:adjustRightInd w:val="0"/>
                    <w:snapToGrid w:val="0"/>
                    <w:jc w:val="center"/>
                    <w:rPr>
                      <w:bCs/>
                      <w:color w:val="FF0000"/>
                      <w:szCs w:val="21"/>
                    </w:rPr>
                  </w:pPr>
                  <w:r>
                    <w:rPr>
                      <w:bCs/>
                      <w:color w:val="FF0000"/>
                      <w:szCs w:val="21"/>
                    </w:rPr>
                    <w:t>贡献值</w:t>
                  </w:r>
                </w:p>
                <w:p>
                  <w:pPr>
                    <w:adjustRightInd w:val="0"/>
                    <w:snapToGrid w:val="0"/>
                    <w:jc w:val="center"/>
                    <w:rPr>
                      <w:bCs/>
                      <w:color w:val="FF0000"/>
                      <w:szCs w:val="21"/>
                    </w:rPr>
                  </w:pPr>
                  <w:r>
                    <w:rPr>
                      <w:bCs/>
                      <w:color w:val="FF0000"/>
                      <w:szCs w:val="21"/>
                    </w:rPr>
                    <w:t>dB（A）</w:t>
                  </w:r>
                </w:p>
              </w:tc>
              <w:tc>
                <w:tcPr>
                  <w:tcW w:w="552" w:type="pct"/>
                  <w:noWrap w:val="0"/>
                  <w:vAlign w:val="center"/>
                </w:tcPr>
                <w:p>
                  <w:pPr>
                    <w:widowControl/>
                    <w:adjustRightInd w:val="0"/>
                    <w:snapToGrid w:val="0"/>
                    <w:jc w:val="center"/>
                    <w:rPr>
                      <w:bCs/>
                      <w:color w:val="FF0000"/>
                      <w:szCs w:val="21"/>
                    </w:rPr>
                  </w:pPr>
                  <w:r>
                    <w:rPr>
                      <w:bCs/>
                      <w:color w:val="FF0000"/>
                      <w:szCs w:val="21"/>
                    </w:rPr>
                    <w:t>背景值</w:t>
                  </w:r>
                </w:p>
                <w:p>
                  <w:pPr>
                    <w:adjustRightInd w:val="0"/>
                    <w:snapToGrid w:val="0"/>
                    <w:jc w:val="center"/>
                    <w:rPr>
                      <w:bCs/>
                      <w:color w:val="FF0000"/>
                      <w:szCs w:val="21"/>
                    </w:rPr>
                  </w:pPr>
                  <w:r>
                    <w:rPr>
                      <w:bCs/>
                      <w:color w:val="FF0000"/>
                      <w:szCs w:val="21"/>
                    </w:rPr>
                    <w:t>dB（A）</w:t>
                  </w:r>
                </w:p>
              </w:tc>
              <w:tc>
                <w:tcPr>
                  <w:tcW w:w="526" w:type="pct"/>
                  <w:noWrap w:val="0"/>
                  <w:vAlign w:val="center"/>
                </w:tcPr>
                <w:p>
                  <w:pPr>
                    <w:widowControl/>
                    <w:adjustRightInd w:val="0"/>
                    <w:snapToGrid w:val="0"/>
                    <w:jc w:val="center"/>
                    <w:rPr>
                      <w:bCs/>
                      <w:color w:val="FF0000"/>
                      <w:szCs w:val="21"/>
                    </w:rPr>
                  </w:pPr>
                  <w:r>
                    <w:rPr>
                      <w:bCs/>
                      <w:color w:val="FF0000"/>
                      <w:szCs w:val="21"/>
                    </w:rPr>
                    <w:t>预测值</w:t>
                  </w:r>
                </w:p>
                <w:p>
                  <w:pPr>
                    <w:adjustRightInd w:val="0"/>
                    <w:snapToGrid w:val="0"/>
                    <w:jc w:val="center"/>
                    <w:rPr>
                      <w:bCs/>
                      <w:color w:val="FF0000"/>
                      <w:szCs w:val="21"/>
                    </w:rPr>
                  </w:pPr>
                  <w:r>
                    <w:rPr>
                      <w:bCs/>
                      <w:color w:val="FF0000"/>
                      <w:szCs w:val="21"/>
                    </w:rPr>
                    <w:t>dB（A）</w:t>
                  </w:r>
                </w:p>
              </w:tc>
              <w:tc>
                <w:tcPr>
                  <w:tcW w:w="516" w:type="pct"/>
                  <w:noWrap w:val="0"/>
                  <w:vAlign w:val="center"/>
                </w:tcPr>
                <w:p>
                  <w:pPr>
                    <w:adjustRightInd w:val="0"/>
                    <w:snapToGrid w:val="0"/>
                    <w:jc w:val="center"/>
                    <w:rPr>
                      <w:bCs/>
                      <w:color w:val="FF0000"/>
                      <w:szCs w:val="21"/>
                    </w:rPr>
                  </w:pPr>
                  <w:r>
                    <w:rPr>
                      <w:bCs/>
                      <w:color w:val="FF0000"/>
                      <w:szCs w:val="21"/>
                    </w:rPr>
                    <w:t>贡献值</w:t>
                  </w:r>
                </w:p>
                <w:p>
                  <w:pPr>
                    <w:adjustRightInd w:val="0"/>
                    <w:snapToGrid w:val="0"/>
                    <w:jc w:val="center"/>
                    <w:rPr>
                      <w:bCs/>
                      <w:color w:val="FF0000"/>
                      <w:szCs w:val="21"/>
                    </w:rPr>
                  </w:pPr>
                  <w:r>
                    <w:rPr>
                      <w:bCs/>
                      <w:color w:val="FF0000"/>
                      <w:szCs w:val="21"/>
                    </w:rPr>
                    <w:t>dB（A）</w:t>
                  </w:r>
                </w:p>
              </w:tc>
              <w:tc>
                <w:tcPr>
                  <w:tcW w:w="624" w:type="pct"/>
                  <w:noWrap w:val="0"/>
                  <w:vAlign w:val="center"/>
                </w:tcPr>
                <w:p>
                  <w:pPr>
                    <w:widowControl/>
                    <w:adjustRightInd w:val="0"/>
                    <w:snapToGrid w:val="0"/>
                    <w:jc w:val="center"/>
                    <w:rPr>
                      <w:bCs/>
                      <w:color w:val="FF0000"/>
                      <w:szCs w:val="21"/>
                    </w:rPr>
                  </w:pPr>
                  <w:r>
                    <w:rPr>
                      <w:bCs/>
                      <w:color w:val="FF0000"/>
                      <w:szCs w:val="21"/>
                    </w:rPr>
                    <w:t>背景值</w:t>
                  </w:r>
                </w:p>
                <w:p>
                  <w:pPr>
                    <w:adjustRightInd w:val="0"/>
                    <w:snapToGrid w:val="0"/>
                    <w:jc w:val="center"/>
                    <w:rPr>
                      <w:bCs/>
                      <w:color w:val="FF0000"/>
                      <w:szCs w:val="21"/>
                    </w:rPr>
                  </w:pPr>
                  <w:r>
                    <w:rPr>
                      <w:bCs/>
                      <w:color w:val="FF0000"/>
                      <w:szCs w:val="21"/>
                    </w:rPr>
                    <w:t>dB（A）</w:t>
                  </w:r>
                </w:p>
              </w:tc>
              <w:tc>
                <w:tcPr>
                  <w:tcW w:w="545" w:type="pct"/>
                  <w:noWrap w:val="0"/>
                  <w:vAlign w:val="center"/>
                </w:tcPr>
                <w:p>
                  <w:pPr>
                    <w:widowControl/>
                    <w:adjustRightInd w:val="0"/>
                    <w:snapToGrid w:val="0"/>
                    <w:jc w:val="center"/>
                    <w:rPr>
                      <w:bCs/>
                      <w:color w:val="FF0000"/>
                      <w:szCs w:val="21"/>
                    </w:rPr>
                  </w:pPr>
                  <w:r>
                    <w:rPr>
                      <w:bCs/>
                      <w:color w:val="FF0000"/>
                      <w:szCs w:val="21"/>
                    </w:rPr>
                    <w:t>预测值</w:t>
                  </w:r>
                </w:p>
                <w:p>
                  <w:pPr>
                    <w:adjustRightInd w:val="0"/>
                    <w:snapToGrid w:val="0"/>
                    <w:jc w:val="center"/>
                    <w:rPr>
                      <w:bCs/>
                      <w:color w:val="FF0000"/>
                      <w:szCs w:val="21"/>
                    </w:rPr>
                  </w:pPr>
                  <w:r>
                    <w:rPr>
                      <w:bCs/>
                      <w:color w:val="FF0000"/>
                      <w:szCs w:val="21"/>
                    </w:rPr>
                    <w:t>dB（A）</w:t>
                  </w:r>
                </w:p>
              </w:tc>
              <w:tc>
                <w:tcPr>
                  <w:tcW w:w="575" w:type="pct"/>
                  <w:vMerge w:val="continue"/>
                  <w:noWrap w:val="0"/>
                  <w:vAlign w:val="center"/>
                </w:tcPr>
                <w:p>
                  <w:pPr>
                    <w:adjustRightInd w:val="0"/>
                    <w:snapToGrid w:val="0"/>
                    <w:jc w:val="center"/>
                    <w:rPr>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035" w:type="pct"/>
                  <w:noWrap w:val="0"/>
                  <w:vAlign w:val="center"/>
                </w:tcPr>
                <w:p>
                  <w:pPr>
                    <w:adjustRightInd w:val="0"/>
                    <w:snapToGrid w:val="0"/>
                    <w:jc w:val="center"/>
                    <w:rPr>
                      <w:rFonts w:hint="eastAsia"/>
                      <w:bCs/>
                      <w:color w:val="FF0000"/>
                      <w:kern w:val="0"/>
                      <w:szCs w:val="21"/>
                    </w:rPr>
                  </w:pPr>
                  <w:r>
                    <w:rPr>
                      <w:rFonts w:hint="eastAsia"/>
                      <w:bCs/>
                      <w:color w:val="FF0000"/>
                      <w:szCs w:val="21"/>
                      <w:lang w:eastAsia="zh-CN"/>
                    </w:rPr>
                    <w:t>凤凰上镜小区</w:t>
                  </w:r>
                </w:p>
              </w:tc>
              <w:tc>
                <w:tcPr>
                  <w:tcW w:w="1035" w:type="dxa"/>
                  <w:noWrap w:val="0"/>
                  <w:vAlign w:val="center"/>
                </w:tcPr>
                <w:p>
                  <w:pPr>
                    <w:adjustRightInd w:val="0"/>
                    <w:snapToGrid w:val="0"/>
                    <w:jc w:val="center"/>
                    <w:rPr>
                      <w:rFonts w:hint="default"/>
                      <w:bCs/>
                      <w:color w:val="FF0000"/>
                      <w:szCs w:val="21"/>
                      <w:lang w:val="en-US" w:eastAsia="zh-CN"/>
                    </w:rPr>
                  </w:pPr>
                  <w:r>
                    <w:rPr>
                      <w:rFonts w:hint="eastAsia"/>
                      <w:bCs/>
                      <w:color w:val="FF0000"/>
                      <w:szCs w:val="21"/>
                      <w:lang w:val="en-US" w:eastAsia="zh-CN"/>
                    </w:rPr>
                    <w:t>49.96</w:t>
                  </w:r>
                </w:p>
              </w:tc>
              <w:tc>
                <w:tcPr>
                  <w:tcW w:w="916" w:type="dxa"/>
                  <w:noWrap w:val="0"/>
                  <w:vAlign w:val="center"/>
                </w:tcPr>
                <w:p>
                  <w:pPr>
                    <w:adjustRightInd w:val="0"/>
                    <w:snapToGrid w:val="0"/>
                    <w:jc w:val="center"/>
                    <w:rPr>
                      <w:rFonts w:hint="eastAsia"/>
                      <w:bCs/>
                      <w:color w:val="FF0000"/>
                      <w:szCs w:val="21"/>
                      <w:lang w:eastAsia="zh-CN"/>
                    </w:rPr>
                  </w:pPr>
                  <w:r>
                    <w:rPr>
                      <w:rFonts w:hint="eastAsia"/>
                      <w:bCs/>
                      <w:color w:val="FF0000"/>
                      <w:szCs w:val="21"/>
                      <w:lang w:val="en-US" w:eastAsia="zh-CN"/>
                    </w:rPr>
                    <w:t>48.80</w:t>
                  </w:r>
                </w:p>
              </w:tc>
              <w:tc>
                <w:tcPr>
                  <w:tcW w:w="874" w:type="dxa"/>
                  <w:noWrap w:val="0"/>
                  <w:vAlign w:val="center"/>
                </w:tcPr>
                <w:p>
                  <w:pPr>
                    <w:adjustRightInd w:val="0"/>
                    <w:snapToGrid w:val="0"/>
                    <w:jc w:val="center"/>
                    <w:rPr>
                      <w:rFonts w:hint="default"/>
                      <w:bCs/>
                      <w:color w:val="FF0000"/>
                      <w:szCs w:val="21"/>
                      <w:lang w:val="en-US" w:eastAsia="zh-CN"/>
                    </w:rPr>
                  </w:pPr>
                  <w:r>
                    <w:rPr>
                      <w:rFonts w:hint="eastAsia"/>
                      <w:bCs/>
                      <w:color w:val="FF0000"/>
                      <w:szCs w:val="21"/>
                      <w:lang w:val="en-US" w:eastAsia="zh-CN"/>
                    </w:rPr>
                    <w:t>52.43</w:t>
                  </w:r>
                </w:p>
              </w:tc>
              <w:tc>
                <w:tcPr>
                  <w:tcW w:w="856" w:type="dxa"/>
                  <w:noWrap w:val="0"/>
                  <w:vAlign w:val="center"/>
                </w:tcPr>
                <w:p>
                  <w:pPr>
                    <w:adjustRightInd w:val="0"/>
                    <w:snapToGrid w:val="0"/>
                    <w:jc w:val="center"/>
                    <w:rPr>
                      <w:rFonts w:hint="default"/>
                      <w:bCs/>
                      <w:color w:val="FF0000"/>
                      <w:szCs w:val="21"/>
                      <w:lang w:val="en-US" w:eastAsia="zh-CN"/>
                    </w:rPr>
                  </w:pPr>
                  <w:r>
                    <w:rPr>
                      <w:rFonts w:hint="eastAsia"/>
                      <w:bCs/>
                      <w:color w:val="FF0000"/>
                      <w:szCs w:val="21"/>
                      <w:lang w:val="en-US" w:eastAsia="zh-CN"/>
                    </w:rPr>
                    <w:t>44.11</w:t>
                  </w:r>
                </w:p>
              </w:tc>
              <w:tc>
                <w:tcPr>
                  <w:tcW w:w="1035" w:type="dxa"/>
                  <w:noWrap w:val="0"/>
                  <w:vAlign w:val="center"/>
                </w:tcPr>
                <w:p>
                  <w:pPr>
                    <w:adjustRightInd w:val="0"/>
                    <w:snapToGrid w:val="0"/>
                    <w:jc w:val="center"/>
                    <w:rPr>
                      <w:rFonts w:hint="eastAsia"/>
                      <w:bCs/>
                      <w:color w:val="FF0000"/>
                      <w:szCs w:val="21"/>
                      <w:lang w:eastAsia="zh-CN"/>
                    </w:rPr>
                  </w:pPr>
                  <w:r>
                    <w:rPr>
                      <w:rFonts w:hint="eastAsia"/>
                      <w:bCs/>
                      <w:color w:val="FF0000"/>
                      <w:szCs w:val="21"/>
                      <w:lang w:val="en-US" w:eastAsia="zh-CN"/>
                    </w:rPr>
                    <w:t>36.60</w:t>
                  </w:r>
                </w:p>
              </w:tc>
              <w:tc>
                <w:tcPr>
                  <w:tcW w:w="904" w:type="dxa"/>
                  <w:noWrap w:val="0"/>
                  <w:vAlign w:val="center"/>
                </w:tcPr>
                <w:p>
                  <w:pPr>
                    <w:adjustRightInd w:val="0"/>
                    <w:snapToGrid w:val="0"/>
                    <w:jc w:val="center"/>
                    <w:rPr>
                      <w:rFonts w:hint="default"/>
                      <w:bCs/>
                      <w:color w:val="FF0000"/>
                      <w:szCs w:val="21"/>
                      <w:lang w:val="en-US" w:eastAsia="zh-CN"/>
                    </w:rPr>
                  </w:pPr>
                  <w:r>
                    <w:rPr>
                      <w:rFonts w:hint="eastAsia"/>
                      <w:bCs/>
                      <w:color w:val="FF0000"/>
                      <w:szCs w:val="21"/>
                      <w:lang w:val="en-US" w:eastAsia="zh-CN"/>
                    </w:rPr>
                    <w:t>44.82</w:t>
                  </w:r>
                </w:p>
              </w:tc>
              <w:tc>
                <w:tcPr>
                  <w:tcW w:w="575" w:type="pct"/>
                  <w:noWrap w:val="0"/>
                  <w:vAlign w:val="center"/>
                </w:tcPr>
                <w:p>
                  <w:pPr>
                    <w:adjustRightInd w:val="0"/>
                    <w:snapToGrid w:val="0"/>
                    <w:jc w:val="center"/>
                    <w:rPr>
                      <w:bCs/>
                      <w:color w:val="FF0000"/>
                      <w:szCs w:val="21"/>
                    </w:rPr>
                  </w:pPr>
                  <w:r>
                    <w:rPr>
                      <w:bCs/>
                      <w:color w:val="FF0000"/>
                      <w:szCs w:val="21"/>
                    </w:rPr>
                    <w:t>60/50</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textAlignment w:val="auto"/>
            </w:pPr>
            <w:r>
              <w:drawing>
                <wp:inline distT="0" distB="0" distL="114300" distR="114300">
                  <wp:extent cx="5258435" cy="2384425"/>
                  <wp:effectExtent l="0" t="0" r="18415" b="15875"/>
                  <wp:docPr id="4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7"/>
                          <pic:cNvPicPr>
                            <a:picLocks noChangeAspect="1"/>
                          </pic:cNvPicPr>
                        </pic:nvPicPr>
                        <pic:blipFill>
                          <a:blip r:embed="rId30"/>
                          <a:stretch>
                            <a:fillRect/>
                          </a:stretch>
                        </pic:blipFill>
                        <pic:spPr>
                          <a:xfrm>
                            <a:off x="0" y="0"/>
                            <a:ext cx="5258435" cy="2384425"/>
                          </a:xfrm>
                          <a:prstGeom prst="rect">
                            <a:avLst/>
                          </a:prstGeom>
                          <a:noFill/>
                          <a:ln>
                            <a:noFill/>
                          </a:ln>
                        </pic:spPr>
                      </pic:pic>
                    </a:graphicData>
                  </a:graphic>
                </wp:inline>
              </w:drawing>
            </w:r>
          </w:p>
          <w:p>
            <w:pPr>
              <w:pStyle w:val="115"/>
              <w:keepNext w:val="0"/>
              <w:keepLines w:val="0"/>
              <w:pageBreakBefore w:val="0"/>
              <w:widowControl/>
              <w:kinsoku/>
              <w:wordWrap/>
              <w:overflowPunct/>
              <w:topLinePunct w:val="0"/>
              <w:autoSpaceDE/>
              <w:autoSpaceDN/>
              <w:bidi w:val="0"/>
              <w:adjustRightInd w:val="0"/>
              <w:snapToGrid w:val="0"/>
              <w:spacing w:before="0" w:after="0" w:line="360" w:lineRule="auto"/>
              <w:ind w:right="113" w:firstLine="0" w:firstLineChars="0"/>
              <w:jc w:val="center"/>
              <w:textAlignment w:val="auto"/>
              <w:rPr>
                <w:b/>
                <w:bCs/>
                <w:color w:val="FF0000"/>
                <w:sz w:val="21"/>
                <w:szCs w:val="21"/>
              </w:rPr>
            </w:pPr>
            <w:r>
              <w:rPr>
                <w:rFonts w:hint="eastAsia" w:eastAsia="宋体"/>
                <w:b/>
                <w:bCs/>
                <w:color w:val="FF0000"/>
                <w:sz w:val="21"/>
                <w:szCs w:val="21"/>
                <w:lang w:eastAsia="zh-CN"/>
              </w:rPr>
              <w:t>图</w:t>
            </w:r>
            <w:r>
              <w:rPr>
                <w:rFonts w:hint="eastAsia" w:eastAsia="宋体"/>
                <w:b/>
                <w:bCs/>
                <w:color w:val="FF0000"/>
                <w:sz w:val="21"/>
                <w:szCs w:val="21"/>
                <w:lang w:val="en-US" w:eastAsia="zh-CN"/>
              </w:rPr>
              <w:t>8-8</w:t>
            </w:r>
            <w:r>
              <w:rPr>
                <w:b/>
                <w:bCs/>
                <w:color w:val="FF0000"/>
                <w:sz w:val="21"/>
                <w:szCs w:val="21"/>
              </w:rPr>
              <w:t xml:space="preserve">  </w:t>
            </w:r>
            <w:r>
              <w:rPr>
                <w:rFonts w:hint="eastAsia"/>
                <w:b/>
                <w:bCs/>
                <w:color w:val="FF0000"/>
                <w:sz w:val="21"/>
                <w:szCs w:val="21"/>
                <w:lang w:eastAsia="zh-CN"/>
              </w:rPr>
              <w:t>中</w:t>
            </w:r>
            <w:r>
              <w:rPr>
                <w:b/>
                <w:bCs/>
                <w:color w:val="FF0000"/>
                <w:sz w:val="21"/>
                <w:szCs w:val="21"/>
              </w:rPr>
              <w:t>期（20</w:t>
            </w:r>
            <w:r>
              <w:rPr>
                <w:rFonts w:hint="eastAsia"/>
                <w:b/>
                <w:bCs/>
                <w:color w:val="FF0000"/>
                <w:sz w:val="21"/>
                <w:szCs w:val="21"/>
                <w:lang w:val="en-US" w:eastAsia="zh-CN"/>
              </w:rPr>
              <w:t>30</w:t>
            </w:r>
            <w:r>
              <w:rPr>
                <w:b/>
                <w:bCs/>
                <w:color w:val="FF0000"/>
                <w:sz w:val="21"/>
                <w:szCs w:val="21"/>
              </w:rPr>
              <w:t>年）声环境预测点昼间等声级线分布图（贡献值）</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textAlignment w:val="auto"/>
            </w:pPr>
            <w:r>
              <w:drawing>
                <wp:inline distT="0" distB="0" distL="114300" distR="114300">
                  <wp:extent cx="5256530" cy="2487930"/>
                  <wp:effectExtent l="0" t="0" r="1270" b="7620"/>
                  <wp:docPr id="4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
                          <pic:cNvPicPr>
                            <a:picLocks noChangeAspect="1"/>
                          </pic:cNvPicPr>
                        </pic:nvPicPr>
                        <pic:blipFill>
                          <a:blip r:embed="rId31"/>
                          <a:stretch>
                            <a:fillRect/>
                          </a:stretch>
                        </pic:blipFill>
                        <pic:spPr>
                          <a:xfrm>
                            <a:off x="0" y="0"/>
                            <a:ext cx="5256530" cy="2487930"/>
                          </a:xfrm>
                          <a:prstGeom prst="rect">
                            <a:avLst/>
                          </a:prstGeom>
                          <a:noFill/>
                          <a:ln>
                            <a:noFill/>
                          </a:ln>
                        </pic:spPr>
                      </pic:pic>
                    </a:graphicData>
                  </a:graphic>
                </wp:inline>
              </w:drawing>
            </w:r>
          </w:p>
          <w:p>
            <w:pPr>
              <w:pStyle w:val="115"/>
              <w:keepNext w:val="0"/>
              <w:keepLines w:val="0"/>
              <w:pageBreakBefore w:val="0"/>
              <w:widowControl/>
              <w:kinsoku/>
              <w:wordWrap/>
              <w:overflowPunct/>
              <w:topLinePunct w:val="0"/>
              <w:autoSpaceDE/>
              <w:autoSpaceDN/>
              <w:bidi w:val="0"/>
              <w:adjustRightInd w:val="0"/>
              <w:snapToGrid w:val="0"/>
              <w:spacing w:before="0" w:after="0" w:line="360" w:lineRule="auto"/>
              <w:ind w:right="113" w:firstLine="0" w:firstLineChars="0"/>
              <w:jc w:val="center"/>
              <w:textAlignment w:val="auto"/>
              <w:rPr>
                <w:b/>
                <w:bCs/>
                <w:color w:val="FF0000"/>
                <w:sz w:val="21"/>
                <w:szCs w:val="21"/>
              </w:rPr>
            </w:pPr>
            <w:r>
              <w:rPr>
                <w:rFonts w:hint="eastAsia" w:eastAsia="宋体"/>
                <w:b/>
                <w:bCs/>
                <w:color w:val="FF0000"/>
                <w:sz w:val="21"/>
                <w:szCs w:val="21"/>
                <w:lang w:eastAsia="zh-CN"/>
              </w:rPr>
              <w:t>图</w:t>
            </w:r>
            <w:r>
              <w:rPr>
                <w:rFonts w:hint="eastAsia" w:eastAsia="宋体"/>
                <w:b/>
                <w:bCs/>
                <w:color w:val="FF0000"/>
                <w:sz w:val="21"/>
                <w:szCs w:val="21"/>
                <w:lang w:val="en-US" w:eastAsia="zh-CN"/>
              </w:rPr>
              <w:t>8-9</w:t>
            </w:r>
            <w:r>
              <w:rPr>
                <w:b/>
                <w:bCs/>
                <w:color w:val="FF0000"/>
                <w:sz w:val="21"/>
                <w:szCs w:val="21"/>
              </w:rPr>
              <w:t xml:space="preserve">  </w:t>
            </w:r>
            <w:r>
              <w:rPr>
                <w:rFonts w:hint="eastAsia"/>
                <w:b/>
                <w:bCs/>
                <w:color w:val="FF0000"/>
                <w:sz w:val="21"/>
                <w:szCs w:val="21"/>
                <w:lang w:eastAsia="zh-CN"/>
              </w:rPr>
              <w:t>中</w:t>
            </w:r>
            <w:r>
              <w:rPr>
                <w:b/>
                <w:bCs/>
                <w:color w:val="FF0000"/>
                <w:sz w:val="21"/>
                <w:szCs w:val="21"/>
              </w:rPr>
              <w:t>期（20</w:t>
            </w:r>
            <w:r>
              <w:rPr>
                <w:rFonts w:hint="eastAsia"/>
                <w:b/>
                <w:bCs/>
                <w:color w:val="FF0000"/>
                <w:sz w:val="21"/>
                <w:szCs w:val="21"/>
                <w:lang w:val="en-US" w:eastAsia="zh-CN"/>
              </w:rPr>
              <w:t>30</w:t>
            </w:r>
            <w:r>
              <w:rPr>
                <w:b/>
                <w:bCs/>
                <w:color w:val="FF0000"/>
                <w:sz w:val="21"/>
                <w:szCs w:val="21"/>
              </w:rPr>
              <w:t>年）声环境预测点</w:t>
            </w:r>
            <w:r>
              <w:rPr>
                <w:rFonts w:hint="eastAsia" w:eastAsia="宋体"/>
                <w:b/>
                <w:bCs/>
                <w:color w:val="FF0000"/>
                <w:sz w:val="21"/>
                <w:szCs w:val="21"/>
                <w:lang w:eastAsia="zh-CN"/>
              </w:rPr>
              <w:t>夜</w:t>
            </w:r>
            <w:r>
              <w:rPr>
                <w:b/>
                <w:bCs/>
                <w:color w:val="FF0000"/>
                <w:sz w:val="21"/>
                <w:szCs w:val="21"/>
              </w:rPr>
              <w:t>间等声级线分布图（贡献值）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hAnsi="宋体" w:eastAsia="宋体"/>
                <w:color w:val="FF0000"/>
                <w:sz w:val="24"/>
                <w:szCs w:val="24"/>
              </w:rPr>
            </w:pPr>
            <w:r>
              <w:rPr>
                <w:rFonts w:hAnsi="宋体" w:eastAsia="宋体"/>
                <w:color w:val="FF0000"/>
                <w:sz w:val="24"/>
                <w:szCs w:val="24"/>
              </w:rPr>
              <w:t>综上，本项目</w:t>
            </w:r>
            <w:r>
              <w:rPr>
                <w:rFonts w:hint="eastAsia" w:hAnsi="宋体" w:eastAsia="宋体"/>
                <w:color w:val="FF0000"/>
                <w:sz w:val="24"/>
                <w:szCs w:val="24"/>
              </w:rPr>
              <w:t>运营后</w:t>
            </w:r>
            <w:r>
              <w:rPr>
                <w:rFonts w:hAnsi="宋体" w:eastAsia="宋体"/>
                <w:color w:val="FF0000"/>
                <w:sz w:val="24"/>
                <w:szCs w:val="24"/>
              </w:rPr>
              <w:t>交通噪声对周围声环境质量造成了一定的影响，根据表</w:t>
            </w:r>
            <w:r>
              <w:rPr>
                <w:rFonts w:hint="eastAsia" w:eastAsia="宋体"/>
                <w:color w:val="FF0000"/>
                <w:sz w:val="24"/>
                <w:szCs w:val="24"/>
                <w:lang w:val="en-US" w:eastAsia="zh-CN"/>
              </w:rPr>
              <w:t>8-1</w:t>
            </w:r>
            <w:r>
              <w:rPr>
                <w:rFonts w:hint="eastAsia"/>
                <w:color w:val="FF0000"/>
                <w:sz w:val="24"/>
                <w:szCs w:val="24"/>
                <w:lang w:val="en-US" w:eastAsia="zh-CN"/>
              </w:rPr>
              <w:t>2</w:t>
            </w:r>
            <w:r>
              <w:rPr>
                <w:rFonts w:hAnsi="宋体" w:eastAsia="宋体"/>
                <w:color w:val="FF0000"/>
                <w:sz w:val="24"/>
                <w:szCs w:val="24"/>
              </w:rPr>
              <w:t>中的预测结果可以看出，在叠加背景值后本</w:t>
            </w:r>
            <w:r>
              <w:rPr>
                <w:rFonts w:hint="eastAsia" w:hAnsi="宋体" w:eastAsia="宋体"/>
                <w:color w:val="FF0000"/>
                <w:sz w:val="24"/>
                <w:szCs w:val="24"/>
                <w:lang w:eastAsia="zh-CN"/>
              </w:rPr>
              <w:t>项目</w:t>
            </w:r>
            <w:r>
              <w:rPr>
                <w:rFonts w:hAnsi="宋体" w:eastAsia="宋体"/>
                <w:color w:val="FF0000"/>
                <w:sz w:val="24"/>
                <w:szCs w:val="24"/>
              </w:rPr>
              <w:t>运营</w:t>
            </w:r>
            <w:r>
              <w:rPr>
                <w:rFonts w:hint="eastAsia" w:hAnsi="宋体"/>
                <w:color w:val="FF0000"/>
                <w:sz w:val="24"/>
                <w:szCs w:val="24"/>
                <w:lang w:eastAsia="zh-CN"/>
              </w:rPr>
              <w:t>中</w:t>
            </w:r>
            <w:r>
              <w:rPr>
                <w:rFonts w:hAnsi="宋体" w:eastAsia="宋体"/>
                <w:color w:val="FF0000"/>
                <w:sz w:val="24"/>
                <w:szCs w:val="24"/>
              </w:rPr>
              <w:t>期（</w:t>
            </w:r>
            <w:r>
              <w:rPr>
                <w:color w:val="FF0000"/>
                <w:sz w:val="24"/>
                <w:szCs w:val="24"/>
              </w:rPr>
              <w:t>20</w:t>
            </w:r>
            <w:r>
              <w:rPr>
                <w:rFonts w:hint="eastAsia"/>
                <w:color w:val="FF0000"/>
                <w:sz w:val="24"/>
                <w:szCs w:val="24"/>
                <w:lang w:val="en-US" w:eastAsia="zh-CN"/>
              </w:rPr>
              <w:t>30</w:t>
            </w:r>
            <w:r>
              <w:rPr>
                <w:rFonts w:hAnsi="宋体" w:eastAsia="宋体"/>
                <w:color w:val="FF0000"/>
                <w:sz w:val="24"/>
                <w:szCs w:val="24"/>
              </w:rPr>
              <w:t>年）</w:t>
            </w:r>
            <w:r>
              <w:rPr>
                <w:rFonts w:hint="eastAsia" w:hAnsi="宋体" w:eastAsia="宋体"/>
                <w:color w:val="FF0000"/>
                <w:sz w:val="24"/>
                <w:szCs w:val="24"/>
                <w:lang w:eastAsia="zh-CN"/>
              </w:rPr>
              <w:t>声环境敏感</w:t>
            </w:r>
            <w:r>
              <w:rPr>
                <w:rFonts w:hAnsi="宋体" w:eastAsia="宋体"/>
                <w:color w:val="FF0000"/>
                <w:sz w:val="24"/>
                <w:szCs w:val="24"/>
              </w:rPr>
              <w:t>点未出现超标现象，满足《声环境质量标准》（</w:t>
            </w:r>
            <w:r>
              <w:rPr>
                <w:color w:val="FF0000"/>
                <w:sz w:val="24"/>
                <w:szCs w:val="24"/>
              </w:rPr>
              <w:t>GB3096-2008</w:t>
            </w:r>
            <w:r>
              <w:rPr>
                <w:rFonts w:hAnsi="宋体" w:eastAsia="宋体"/>
                <w:color w:val="FF0000"/>
                <w:sz w:val="24"/>
                <w:szCs w:val="24"/>
              </w:rPr>
              <w:t>）</w:t>
            </w:r>
            <w:r>
              <w:rPr>
                <w:color w:val="FF0000"/>
                <w:sz w:val="24"/>
                <w:szCs w:val="24"/>
              </w:rPr>
              <w:t>2</w:t>
            </w:r>
            <w:r>
              <w:rPr>
                <w:rFonts w:hAnsi="宋体" w:eastAsia="宋体"/>
                <w:color w:val="FF0000"/>
                <w:sz w:val="24"/>
                <w:szCs w:val="24"/>
              </w:rPr>
              <w:t>类区标准</w:t>
            </w:r>
            <w:r>
              <w:rPr>
                <w:rFonts w:hint="eastAsia" w:hAnsi="宋体" w:eastAsia="宋体"/>
                <w:color w:val="FF0000"/>
                <w:sz w:val="24"/>
                <w:szCs w:val="24"/>
              </w:rPr>
              <w:t>（</w:t>
            </w:r>
            <w:r>
              <w:rPr>
                <w:rFonts w:hAnsi="宋体" w:eastAsia="宋体"/>
                <w:color w:val="FF0000"/>
                <w:sz w:val="24"/>
                <w:szCs w:val="24"/>
              </w:rPr>
              <w:t>昼间</w:t>
            </w:r>
            <w:r>
              <w:rPr>
                <w:color w:val="FF0000"/>
                <w:sz w:val="24"/>
                <w:szCs w:val="24"/>
              </w:rPr>
              <w:t>60dB</w:t>
            </w:r>
            <w:r>
              <w:rPr>
                <w:rFonts w:hAnsi="宋体" w:eastAsia="宋体"/>
                <w:color w:val="FF0000"/>
                <w:sz w:val="24"/>
                <w:szCs w:val="24"/>
              </w:rPr>
              <w:t>（</w:t>
            </w:r>
            <w:r>
              <w:rPr>
                <w:color w:val="FF0000"/>
                <w:sz w:val="24"/>
                <w:szCs w:val="24"/>
              </w:rPr>
              <w:t>A</w:t>
            </w:r>
            <w:r>
              <w:rPr>
                <w:rFonts w:hAnsi="宋体" w:eastAsia="宋体"/>
                <w:color w:val="FF0000"/>
                <w:sz w:val="24"/>
                <w:szCs w:val="24"/>
              </w:rPr>
              <w:t>），夜间</w:t>
            </w:r>
            <w:r>
              <w:rPr>
                <w:color w:val="FF0000"/>
                <w:sz w:val="24"/>
                <w:szCs w:val="24"/>
              </w:rPr>
              <w:t>50dB</w:t>
            </w:r>
            <w:r>
              <w:rPr>
                <w:rFonts w:hAnsi="宋体" w:eastAsia="宋体"/>
                <w:color w:val="FF0000"/>
                <w:sz w:val="24"/>
                <w:szCs w:val="24"/>
              </w:rPr>
              <w:t>（</w:t>
            </w:r>
            <w:r>
              <w:rPr>
                <w:color w:val="FF0000"/>
                <w:sz w:val="24"/>
                <w:szCs w:val="24"/>
              </w:rPr>
              <w:t>A</w:t>
            </w:r>
            <w:r>
              <w:rPr>
                <w:rFonts w:hAnsi="宋体" w:eastAsia="宋体"/>
                <w:color w:val="FF0000"/>
                <w:sz w:val="24"/>
                <w:szCs w:val="24"/>
              </w:rPr>
              <w:t>）</w:t>
            </w:r>
            <w:r>
              <w:rPr>
                <w:rFonts w:hint="eastAsia" w:hAnsi="宋体" w:eastAsia="宋体"/>
                <w:color w:val="FF0000"/>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FF0000"/>
                <w:sz w:val="24"/>
              </w:rPr>
            </w:pPr>
            <w:r>
              <w:rPr>
                <w:color w:val="FF0000"/>
                <w:sz w:val="24"/>
              </w:rPr>
              <w:t>③远期噪声预测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FF0000"/>
                <w:sz w:val="24"/>
              </w:rPr>
            </w:pPr>
            <w:r>
              <w:rPr>
                <w:rFonts w:hint="eastAsia"/>
                <w:color w:val="FF0000"/>
                <w:sz w:val="24"/>
                <w:lang w:eastAsia="zh-CN"/>
              </w:rPr>
              <w:t>本</w:t>
            </w:r>
            <w:r>
              <w:rPr>
                <w:color w:val="FF0000"/>
                <w:sz w:val="24"/>
              </w:rPr>
              <w:t>项目远期（203</w:t>
            </w:r>
            <w:r>
              <w:rPr>
                <w:rFonts w:hint="eastAsia"/>
                <w:color w:val="FF0000"/>
                <w:sz w:val="24"/>
                <w:lang w:val="en-US" w:eastAsia="zh-CN"/>
              </w:rPr>
              <w:t>8</w:t>
            </w:r>
            <w:r>
              <w:rPr>
                <w:color w:val="FF0000"/>
                <w:sz w:val="24"/>
              </w:rPr>
              <w:t>年）噪声预测值见表</w:t>
            </w:r>
            <w:r>
              <w:rPr>
                <w:rFonts w:hint="eastAsia"/>
                <w:color w:val="FF0000"/>
                <w:sz w:val="24"/>
              </w:rPr>
              <w:t>8-1</w:t>
            </w:r>
            <w:r>
              <w:rPr>
                <w:rFonts w:hint="eastAsia"/>
                <w:color w:val="FF0000"/>
                <w:sz w:val="24"/>
                <w:lang w:val="en-US" w:eastAsia="zh-CN"/>
              </w:rPr>
              <w:t>3</w:t>
            </w:r>
            <w:r>
              <w:rPr>
                <w:rFonts w:hint="eastAsia"/>
                <w:color w:val="FF0000"/>
                <w:sz w:val="24"/>
                <w:lang w:eastAsia="zh-CN"/>
              </w:rPr>
              <w:t>，</w:t>
            </w:r>
            <w:r>
              <w:rPr>
                <w:rFonts w:hint="eastAsia" w:hAnsi="宋体"/>
                <w:color w:val="FF0000"/>
                <w:sz w:val="24"/>
              </w:rPr>
              <w:t>昼、夜间噪声</w:t>
            </w:r>
            <w:r>
              <w:rPr>
                <w:rFonts w:hint="eastAsia" w:hAnsi="宋体"/>
                <w:color w:val="FF0000"/>
                <w:sz w:val="24"/>
                <w:lang w:eastAsia="zh-CN"/>
              </w:rPr>
              <w:t>贡献值等声级线分布见图</w:t>
            </w:r>
            <w:r>
              <w:rPr>
                <w:rFonts w:hint="eastAsia" w:hAnsi="宋体"/>
                <w:color w:val="FF0000"/>
                <w:sz w:val="24"/>
                <w:lang w:val="en-US" w:eastAsia="zh-CN"/>
              </w:rPr>
              <w:t>8-10</w:t>
            </w:r>
            <w:r>
              <w:rPr>
                <w:rFonts w:hint="eastAsia" w:hAnsi="宋体"/>
                <w:color w:val="FF0000"/>
                <w:sz w:val="24"/>
              </w:rPr>
              <w:t>、</w:t>
            </w:r>
            <w:r>
              <w:rPr>
                <w:rFonts w:hint="eastAsia" w:hAnsi="宋体"/>
                <w:color w:val="FF0000"/>
                <w:sz w:val="24"/>
                <w:lang w:val="en-US" w:eastAsia="zh-CN"/>
              </w:rPr>
              <w:t>8-11</w:t>
            </w:r>
            <w:r>
              <w:rPr>
                <w:rFonts w:hint="eastAsia" w:hAnsi="宋体"/>
                <w:color w:val="FF0000"/>
                <w:sz w:val="24"/>
              </w:rPr>
              <w:t>。</w:t>
            </w:r>
          </w:p>
          <w:p>
            <w:pPr>
              <w:adjustRightInd w:val="0"/>
              <w:snapToGrid w:val="0"/>
              <w:ind w:firstLine="310" w:firstLineChars="147"/>
              <w:jc w:val="center"/>
              <w:rPr>
                <w:b/>
                <w:color w:val="FF0000"/>
                <w:sz w:val="21"/>
                <w:szCs w:val="21"/>
              </w:rPr>
            </w:pPr>
            <w:r>
              <w:rPr>
                <w:b/>
                <w:color w:val="FF0000"/>
                <w:sz w:val="21"/>
                <w:szCs w:val="21"/>
              </w:rPr>
              <w:t>表</w:t>
            </w:r>
            <w:r>
              <w:rPr>
                <w:rFonts w:hint="eastAsia"/>
                <w:b/>
                <w:color w:val="FF0000"/>
                <w:sz w:val="21"/>
                <w:szCs w:val="21"/>
              </w:rPr>
              <w:t>8-1</w:t>
            </w:r>
            <w:r>
              <w:rPr>
                <w:rFonts w:hint="eastAsia"/>
                <w:b/>
                <w:color w:val="FF0000"/>
                <w:sz w:val="21"/>
                <w:szCs w:val="21"/>
                <w:lang w:val="en-US" w:eastAsia="zh-CN"/>
              </w:rPr>
              <w:t>3</w:t>
            </w:r>
            <w:r>
              <w:rPr>
                <w:b/>
                <w:color w:val="FF0000"/>
                <w:sz w:val="21"/>
                <w:szCs w:val="21"/>
              </w:rPr>
              <w:t xml:space="preserve">        </w:t>
            </w:r>
            <w:r>
              <w:rPr>
                <w:rFonts w:hint="eastAsia"/>
                <w:b/>
                <w:color w:val="FF0000"/>
                <w:sz w:val="21"/>
                <w:szCs w:val="21"/>
                <w:lang w:eastAsia="zh-CN"/>
              </w:rPr>
              <w:t>本项目</w:t>
            </w:r>
            <w:r>
              <w:rPr>
                <w:rFonts w:hint="eastAsia"/>
                <w:b/>
                <w:color w:val="FF0000"/>
                <w:sz w:val="21"/>
                <w:szCs w:val="21"/>
              </w:rPr>
              <w:t>远</w:t>
            </w:r>
            <w:r>
              <w:rPr>
                <w:b/>
                <w:color w:val="FF0000"/>
                <w:sz w:val="21"/>
                <w:szCs w:val="21"/>
              </w:rPr>
              <w:t>期（203</w:t>
            </w:r>
            <w:r>
              <w:rPr>
                <w:rFonts w:hint="eastAsia"/>
                <w:b/>
                <w:color w:val="FF0000"/>
                <w:sz w:val="21"/>
                <w:szCs w:val="21"/>
                <w:lang w:val="en-US" w:eastAsia="zh-CN"/>
              </w:rPr>
              <w:t>8</w:t>
            </w:r>
            <w:r>
              <w:rPr>
                <w:b/>
                <w:color w:val="FF0000"/>
                <w:sz w:val="21"/>
                <w:szCs w:val="21"/>
              </w:rPr>
              <w:t>年）</w:t>
            </w:r>
            <w:r>
              <w:rPr>
                <w:rFonts w:hint="eastAsia"/>
                <w:b/>
                <w:color w:val="FF0000"/>
                <w:sz w:val="21"/>
                <w:szCs w:val="21"/>
                <w:lang w:eastAsia="zh-CN"/>
              </w:rPr>
              <w:t>预测点</w:t>
            </w:r>
            <w:r>
              <w:rPr>
                <w:b/>
                <w:color w:val="FF0000"/>
                <w:sz w:val="21"/>
                <w:szCs w:val="21"/>
              </w:rPr>
              <w:t>声环境影响预测结果</w:t>
            </w:r>
          </w:p>
          <w:tbl>
            <w:tblPr>
              <w:tblStyle w:val="26"/>
              <w:tblW w:w="4977"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710"/>
              <w:gridCol w:w="1029"/>
              <w:gridCol w:w="912"/>
              <w:gridCol w:w="872"/>
              <w:gridCol w:w="851"/>
              <w:gridCol w:w="1029"/>
              <w:gridCol w:w="905"/>
              <w:gridCol w:w="95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1035" w:type="pct"/>
                  <w:vMerge w:val="restart"/>
                  <w:noWrap w:val="0"/>
                  <w:vAlign w:val="center"/>
                </w:tcPr>
                <w:p>
                  <w:pPr>
                    <w:adjustRightInd w:val="0"/>
                    <w:snapToGrid w:val="0"/>
                    <w:jc w:val="center"/>
                    <w:rPr>
                      <w:bCs/>
                      <w:color w:val="FF0000"/>
                      <w:szCs w:val="21"/>
                    </w:rPr>
                  </w:pPr>
                  <w:r>
                    <w:rPr>
                      <w:bCs/>
                      <w:color w:val="FF0000"/>
                      <w:szCs w:val="21"/>
                    </w:rPr>
                    <w:t>声环境敏感点</w:t>
                  </w:r>
                </w:p>
              </w:tc>
              <w:tc>
                <w:tcPr>
                  <w:tcW w:w="1703" w:type="pct"/>
                  <w:gridSpan w:val="3"/>
                  <w:noWrap w:val="0"/>
                  <w:vAlign w:val="center"/>
                </w:tcPr>
                <w:p>
                  <w:pPr>
                    <w:adjustRightInd w:val="0"/>
                    <w:snapToGrid w:val="0"/>
                    <w:jc w:val="center"/>
                    <w:rPr>
                      <w:bCs/>
                      <w:color w:val="FF0000"/>
                      <w:szCs w:val="21"/>
                    </w:rPr>
                  </w:pPr>
                  <w:r>
                    <w:rPr>
                      <w:bCs/>
                      <w:color w:val="FF0000"/>
                      <w:szCs w:val="21"/>
                    </w:rPr>
                    <w:t>昼间</w:t>
                  </w:r>
                </w:p>
              </w:tc>
              <w:tc>
                <w:tcPr>
                  <w:tcW w:w="1686" w:type="pct"/>
                  <w:gridSpan w:val="3"/>
                  <w:noWrap w:val="0"/>
                  <w:vAlign w:val="center"/>
                </w:tcPr>
                <w:p>
                  <w:pPr>
                    <w:adjustRightInd w:val="0"/>
                    <w:snapToGrid w:val="0"/>
                    <w:jc w:val="center"/>
                    <w:rPr>
                      <w:bCs/>
                      <w:color w:val="FF0000"/>
                      <w:szCs w:val="21"/>
                    </w:rPr>
                  </w:pPr>
                  <w:r>
                    <w:rPr>
                      <w:bCs/>
                      <w:color w:val="FF0000"/>
                      <w:szCs w:val="21"/>
                    </w:rPr>
                    <w:t>夜间</w:t>
                  </w:r>
                </w:p>
              </w:tc>
              <w:tc>
                <w:tcPr>
                  <w:tcW w:w="575" w:type="pct"/>
                  <w:vMerge w:val="restart"/>
                  <w:noWrap w:val="0"/>
                  <w:vAlign w:val="center"/>
                </w:tcPr>
                <w:p>
                  <w:pPr>
                    <w:adjustRightInd w:val="0"/>
                    <w:snapToGrid w:val="0"/>
                    <w:jc w:val="center"/>
                    <w:rPr>
                      <w:bCs/>
                      <w:color w:val="FF0000"/>
                      <w:szCs w:val="21"/>
                    </w:rPr>
                  </w:pPr>
                  <w:r>
                    <w:rPr>
                      <w:bCs/>
                      <w:color w:val="FF0000"/>
                      <w:szCs w:val="21"/>
                    </w:rPr>
                    <w:t>标准</w:t>
                  </w:r>
                </w:p>
                <w:p>
                  <w:pPr>
                    <w:adjustRightInd w:val="0"/>
                    <w:snapToGrid w:val="0"/>
                    <w:jc w:val="center"/>
                    <w:rPr>
                      <w:bCs/>
                      <w:color w:val="FF0000"/>
                      <w:szCs w:val="21"/>
                    </w:rPr>
                  </w:pPr>
                  <w:r>
                    <w:rPr>
                      <w:bCs/>
                      <w:color w:val="FF0000"/>
                      <w:szCs w:val="21"/>
                    </w:rPr>
                    <w:t>限值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035" w:type="pct"/>
                  <w:vMerge w:val="continue"/>
                  <w:noWrap w:val="0"/>
                  <w:vAlign w:val="center"/>
                </w:tcPr>
                <w:p>
                  <w:pPr>
                    <w:adjustRightInd w:val="0"/>
                    <w:snapToGrid w:val="0"/>
                    <w:jc w:val="center"/>
                    <w:rPr>
                      <w:bCs/>
                      <w:color w:val="FF0000"/>
                      <w:szCs w:val="21"/>
                    </w:rPr>
                  </w:pPr>
                </w:p>
              </w:tc>
              <w:tc>
                <w:tcPr>
                  <w:tcW w:w="623" w:type="pct"/>
                  <w:noWrap w:val="0"/>
                  <w:vAlign w:val="center"/>
                </w:tcPr>
                <w:p>
                  <w:pPr>
                    <w:adjustRightInd w:val="0"/>
                    <w:snapToGrid w:val="0"/>
                    <w:jc w:val="center"/>
                    <w:rPr>
                      <w:bCs/>
                      <w:color w:val="FF0000"/>
                      <w:szCs w:val="21"/>
                    </w:rPr>
                  </w:pPr>
                  <w:r>
                    <w:rPr>
                      <w:bCs/>
                      <w:color w:val="FF0000"/>
                      <w:szCs w:val="21"/>
                    </w:rPr>
                    <w:t>贡献值</w:t>
                  </w:r>
                </w:p>
                <w:p>
                  <w:pPr>
                    <w:adjustRightInd w:val="0"/>
                    <w:snapToGrid w:val="0"/>
                    <w:jc w:val="center"/>
                    <w:rPr>
                      <w:bCs/>
                      <w:color w:val="FF0000"/>
                      <w:szCs w:val="21"/>
                    </w:rPr>
                  </w:pPr>
                  <w:r>
                    <w:rPr>
                      <w:bCs/>
                      <w:color w:val="FF0000"/>
                      <w:szCs w:val="21"/>
                    </w:rPr>
                    <w:t>dB（A）</w:t>
                  </w:r>
                </w:p>
              </w:tc>
              <w:tc>
                <w:tcPr>
                  <w:tcW w:w="552" w:type="pct"/>
                  <w:noWrap w:val="0"/>
                  <w:vAlign w:val="center"/>
                </w:tcPr>
                <w:p>
                  <w:pPr>
                    <w:widowControl/>
                    <w:adjustRightInd w:val="0"/>
                    <w:snapToGrid w:val="0"/>
                    <w:jc w:val="center"/>
                    <w:rPr>
                      <w:bCs/>
                      <w:color w:val="FF0000"/>
                      <w:szCs w:val="21"/>
                    </w:rPr>
                  </w:pPr>
                  <w:r>
                    <w:rPr>
                      <w:bCs/>
                      <w:color w:val="FF0000"/>
                      <w:szCs w:val="21"/>
                    </w:rPr>
                    <w:t>背景值</w:t>
                  </w:r>
                </w:p>
                <w:p>
                  <w:pPr>
                    <w:adjustRightInd w:val="0"/>
                    <w:snapToGrid w:val="0"/>
                    <w:jc w:val="center"/>
                    <w:rPr>
                      <w:bCs/>
                      <w:color w:val="FF0000"/>
                      <w:szCs w:val="21"/>
                    </w:rPr>
                  </w:pPr>
                  <w:r>
                    <w:rPr>
                      <w:bCs/>
                      <w:color w:val="FF0000"/>
                      <w:szCs w:val="21"/>
                    </w:rPr>
                    <w:t>dB（A）</w:t>
                  </w:r>
                </w:p>
              </w:tc>
              <w:tc>
                <w:tcPr>
                  <w:tcW w:w="527" w:type="pct"/>
                  <w:noWrap w:val="0"/>
                  <w:vAlign w:val="center"/>
                </w:tcPr>
                <w:p>
                  <w:pPr>
                    <w:widowControl/>
                    <w:adjustRightInd w:val="0"/>
                    <w:snapToGrid w:val="0"/>
                    <w:jc w:val="center"/>
                    <w:rPr>
                      <w:bCs/>
                      <w:color w:val="FF0000"/>
                      <w:szCs w:val="21"/>
                    </w:rPr>
                  </w:pPr>
                  <w:r>
                    <w:rPr>
                      <w:bCs/>
                      <w:color w:val="FF0000"/>
                      <w:szCs w:val="21"/>
                    </w:rPr>
                    <w:t>预测值</w:t>
                  </w:r>
                </w:p>
                <w:p>
                  <w:pPr>
                    <w:adjustRightInd w:val="0"/>
                    <w:snapToGrid w:val="0"/>
                    <w:jc w:val="center"/>
                    <w:rPr>
                      <w:bCs/>
                      <w:color w:val="FF0000"/>
                      <w:szCs w:val="21"/>
                    </w:rPr>
                  </w:pPr>
                  <w:r>
                    <w:rPr>
                      <w:bCs/>
                      <w:color w:val="FF0000"/>
                      <w:szCs w:val="21"/>
                    </w:rPr>
                    <w:t>dB（A）</w:t>
                  </w:r>
                </w:p>
              </w:tc>
              <w:tc>
                <w:tcPr>
                  <w:tcW w:w="515" w:type="pct"/>
                  <w:noWrap w:val="0"/>
                  <w:vAlign w:val="center"/>
                </w:tcPr>
                <w:p>
                  <w:pPr>
                    <w:adjustRightInd w:val="0"/>
                    <w:snapToGrid w:val="0"/>
                    <w:jc w:val="center"/>
                    <w:rPr>
                      <w:bCs/>
                      <w:color w:val="FF0000"/>
                      <w:szCs w:val="21"/>
                    </w:rPr>
                  </w:pPr>
                  <w:r>
                    <w:rPr>
                      <w:bCs/>
                      <w:color w:val="FF0000"/>
                      <w:szCs w:val="21"/>
                    </w:rPr>
                    <w:t>贡献值</w:t>
                  </w:r>
                </w:p>
                <w:p>
                  <w:pPr>
                    <w:adjustRightInd w:val="0"/>
                    <w:snapToGrid w:val="0"/>
                    <w:jc w:val="center"/>
                    <w:rPr>
                      <w:bCs/>
                      <w:color w:val="FF0000"/>
                      <w:szCs w:val="21"/>
                    </w:rPr>
                  </w:pPr>
                  <w:r>
                    <w:rPr>
                      <w:bCs/>
                      <w:color w:val="FF0000"/>
                      <w:szCs w:val="21"/>
                    </w:rPr>
                    <w:t>dB（A）</w:t>
                  </w:r>
                </w:p>
              </w:tc>
              <w:tc>
                <w:tcPr>
                  <w:tcW w:w="623" w:type="pct"/>
                  <w:noWrap w:val="0"/>
                  <w:vAlign w:val="center"/>
                </w:tcPr>
                <w:p>
                  <w:pPr>
                    <w:widowControl/>
                    <w:adjustRightInd w:val="0"/>
                    <w:snapToGrid w:val="0"/>
                    <w:jc w:val="center"/>
                    <w:rPr>
                      <w:bCs/>
                      <w:color w:val="FF0000"/>
                      <w:szCs w:val="21"/>
                    </w:rPr>
                  </w:pPr>
                  <w:r>
                    <w:rPr>
                      <w:bCs/>
                      <w:color w:val="FF0000"/>
                      <w:szCs w:val="21"/>
                    </w:rPr>
                    <w:t>背景值</w:t>
                  </w:r>
                </w:p>
                <w:p>
                  <w:pPr>
                    <w:adjustRightInd w:val="0"/>
                    <w:snapToGrid w:val="0"/>
                    <w:jc w:val="center"/>
                    <w:rPr>
                      <w:bCs/>
                      <w:color w:val="FF0000"/>
                      <w:szCs w:val="21"/>
                    </w:rPr>
                  </w:pPr>
                  <w:r>
                    <w:rPr>
                      <w:bCs/>
                      <w:color w:val="FF0000"/>
                      <w:szCs w:val="21"/>
                    </w:rPr>
                    <w:t>dB（A）</w:t>
                  </w:r>
                </w:p>
              </w:tc>
              <w:tc>
                <w:tcPr>
                  <w:tcW w:w="546" w:type="pct"/>
                  <w:noWrap w:val="0"/>
                  <w:vAlign w:val="center"/>
                </w:tcPr>
                <w:p>
                  <w:pPr>
                    <w:widowControl/>
                    <w:adjustRightInd w:val="0"/>
                    <w:snapToGrid w:val="0"/>
                    <w:jc w:val="center"/>
                    <w:rPr>
                      <w:bCs/>
                      <w:color w:val="FF0000"/>
                      <w:szCs w:val="21"/>
                    </w:rPr>
                  </w:pPr>
                  <w:r>
                    <w:rPr>
                      <w:bCs/>
                      <w:color w:val="FF0000"/>
                      <w:szCs w:val="21"/>
                    </w:rPr>
                    <w:t>预测值</w:t>
                  </w:r>
                </w:p>
                <w:p>
                  <w:pPr>
                    <w:adjustRightInd w:val="0"/>
                    <w:snapToGrid w:val="0"/>
                    <w:jc w:val="center"/>
                    <w:rPr>
                      <w:bCs/>
                      <w:color w:val="FF0000"/>
                      <w:szCs w:val="21"/>
                    </w:rPr>
                  </w:pPr>
                  <w:r>
                    <w:rPr>
                      <w:bCs/>
                      <w:color w:val="FF0000"/>
                      <w:szCs w:val="21"/>
                    </w:rPr>
                    <w:t>dB（A）</w:t>
                  </w:r>
                </w:p>
              </w:tc>
              <w:tc>
                <w:tcPr>
                  <w:tcW w:w="575" w:type="pct"/>
                  <w:vMerge w:val="continue"/>
                  <w:noWrap w:val="0"/>
                  <w:vAlign w:val="center"/>
                </w:tcPr>
                <w:p>
                  <w:pPr>
                    <w:adjustRightInd w:val="0"/>
                    <w:snapToGrid w:val="0"/>
                    <w:jc w:val="center"/>
                    <w:rPr>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035" w:type="pct"/>
                  <w:noWrap w:val="0"/>
                  <w:vAlign w:val="center"/>
                </w:tcPr>
                <w:p>
                  <w:pPr>
                    <w:adjustRightInd w:val="0"/>
                    <w:snapToGrid w:val="0"/>
                    <w:jc w:val="center"/>
                    <w:rPr>
                      <w:rFonts w:hint="eastAsia"/>
                      <w:bCs/>
                      <w:color w:val="FF0000"/>
                      <w:kern w:val="0"/>
                      <w:szCs w:val="21"/>
                    </w:rPr>
                  </w:pPr>
                  <w:r>
                    <w:rPr>
                      <w:rFonts w:hint="eastAsia"/>
                      <w:bCs/>
                      <w:color w:val="FF0000"/>
                      <w:szCs w:val="21"/>
                      <w:lang w:eastAsia="zh-CN"/>
                    </w:rPr>
                    <w:t>凤凰上镜小区</w:t>
                  </w:r>
                </w:p>
              </w:tc>
              <w:tc>
                <w:tcPr>
                  <w:tcW w:w="623" w:type="pct"/>
                  <w:noWrap w:val="0"/>
                  <w:vAlign w:val="center"/>
                </w:tcPr>
                <w:p>
                  <w:pPr>
                    <w:adjustRightInd w:val="0"/>
                    <w:snapToGrid w:val="0"/>
                    <w:jc w:val="center"/>
                    <w:rPr>
                      <w:rFonts w:hint="default"/>
                      <w:bCs/>
                      <w:color w:val="FF0000"/>
                      <w:szCs w:val="21"/>
                      <w:lang w:val="en-US" w:eastAsia="zh-CN"/>
                    </w:rPr>
                  </w:pPr>
                  <w:r>
                    <w:rPr>
                      <w:bCs/>
                      <w:color w:val="FF0000"/>
                      <w:szCs w:val="21"/>
                      <w:lang w:val="en-US" w:eastAsia="zh-CN"/>
                    </w:rPr>
                    <w:t>51.67</w:t>
                  </w:r>
                </w:p>
              </w:tc>
              <w:tc>
                <w:tcPr>
                  <w:tcW w:w="552" w:type="pct"/>
                  <w:noWrap w:val="0"/>
                  <w:vAlign w:val="center"/>
                </w:tcPr>
                <w:p>
                  <w:pPr>
                    <w:adjustRightInd w:val="0"/>
                    <w:snapToGrid w:val="0"/>
                    <w:jc w:val="center"/>
                    <w:rPr>
                      <w:bCs/>
                      <w:color w:val="FF0000"/>
                      <w:szCs w:val="21"/>
                    </w:rPr>
                  </w:pPr>
                  <w:r>
                    <w:rPr>
                      <w:bCs/>
                      <w:color w:val="FF0000"/>
                      <w:szCs w:val="21"/>
                      <w:lang w:val="en-US" w:eastAsia="zh-CN"/>
                    </w:rPr>
                    <w:t>48.80</w:t>
                  </w:r>
                </w:p>
              </w:tc>
              <w:tc>
                <w:tcPr>
                  <w:tcW w:w="527" w:type="pct"/>
                  <w:noWrap w:val="0"/>
                  <w:vAlign w:val="center"/>
                </w:tcPr>
                <w:p>
                  <w:pPr>
                    <w:adjustRightInd w:val="0"/>
                    <w:snapToGrid w:val="0"/>
                    <w:jc w:val="center"/>
                    <w:rPr>
                      <w:rFonts w:hint="default"/>
                      <w:bCs/>
                      <w:color w:val="FF0000"/>
                      <w:szCs w:val="21"/>
                      <w:lang w:val="en-US" w:eastAsia="zh-CN"/>
                    </w:rPr>
                  </w:pPr>
                  <w:r>
                    <w:rPr>
                      <w:bCs/>
                      <w:color w:val="FF0000"/>
                      <w:szCs w:val="21"/>
                      <w:lang w:val="en-US" w:eastAsia="zh-CN"/>
                    </w:rPr>
                    <w:t>53.48</w:t>
                  </w:r>
                </w:p>
              </w:tc>
              <w:tc>
                <w:tcPr>
                  <w:tcW w:w="515" w:type="pct"/>
                  <w:noWrap w:val="0"/>
                  <w:vAlign w:val="center"/>
                </w:tcPr>
                <w:p>
                  <w:pPr>
                    <w:adjustRightInd w:val="0"/>
                    <w:snapToGrid w:val="0"/>
                    <w:jc w:val="center"/>
                    <w:rPr>
                      <w:rFonts w:hint="default"/>
                      <w:bCs/>
                      <w:color w:val="FF0000"/>
                      <w:szCs w:val="21"/>
                      <w:lang w:val="en-US" w:eastAsia="zh-CN"/>
                    </w:rPr>
                  </w:pPr>
                  <w:r>
                    <w:rPr>
                      <w:bCs/>
                      <w:color w:val="FF0000"/>
                      <w:szCs w:val="21"/>
                      <w:lang w:val="en-US" w:eastAsia="zh-CN"/>
                    </w:rPr>
                    <w:t>45.61</w:t>
                  </w:r>
                </w:p>
              </w:tc>
              <w:tc>
                <w:tcPr>
                  <w:tcW w:w="623" w:type="pct"/>
                  <w:noWrap w:val="0"/>
                  <w:vAlign w:val="center"/>
                </w:tcPr>
                <w:p>
                  <w:pPr>
                    <w:adjustRightInd w:val="0"/>
                    <w:snapToGrid w:val="0"/>
                    <w:jc w:val="center"/>
                    <w:rPr>
                      <w:bCs/>
                      <w:color w:val="FF0000"/>
                      <w:szCs w:val="21"/>
                    </w:rPr>
                  </w:pPr>
                  <w:r>
                    <w:rPr>
                      <w:bCs/>
                      <w:color w:val="FF0000"/>
                      <w:szCs w:val="21"/>
                      <w:lang w:val="en-US" w:eastAsia="zh-CN"/>
                    </w:rPr>
                    <w:t>36.60</w:t>
                  </w:r>
                </w:p>
              </w:tc>
              <w:tc>
                <w:tcPr>
                  <w:tcW w:w="546" w:type="pct"/>
                  <w:noWrap w:val="0"/>
                  <w:vAlign w:val="center"/>
                </w:tcPr>
                <w:p>
                  <w:pPr>
                    <w:adjustRightInd w:val="0"/>
                    <w:snapToGrid w:val="0"/>
                    <w:jc w:val="center"/>
                    <w:rPr>
                      <w:rFonts w:hint="default"/>
                      <w:bCs/>
                      <w:color w:val="FF0000"/>
                      <w:szCs w:val="21"/>
                      <w:lang w:val="en-US" w:eastAsia="zh-CN"/>
                    </w:rPr>
                  </w:pPr>
                  <w:r>
                    <w:rPr>
                      <w:bCs/>
                      <w:color w:val="FF0000"/>
                      <w:szCs w:val="21"/>
                      <w:lang w:val="en-US" w:eastAsia="zh-CN"/>
                    </w:rPr>
                    <w:t>46.12</w:t>
                  </w:r>
                </w:p>
              </w:tc>
              <w:tc>
                <w:tcPr>
                  <w:tcW w:w="575" w:type="pct"/>
                  <w:noWrap w:val="0"/>
                  <w:vAlign w:val="center"/>
                </w:tcPr>
                <w:p>
                  <w:pPr>
                    <w:adjustRightInd w:val="0"/>
                    <w:snapToGrid w:val="0"/>
                    <w:jc w:val="center"/>
                    <w:rPr>
                      <w:bCs/>
                      <w:color w:val="FF0000"/>
                      <w:szCs w:val="21"/>
                    </w:rPr>
                  </w:pPr>
                  <w:r>
                    <w:rPr>
                      <w:bCs/>
                      <w:color w:val="FF0000"/>
                      <w:szCs w:val="21"/>
                    </w:rPr>
                    <w:t>60/50</w:t>
                  </w:r>
                </w:p>
              </w:tc>
            </w:tr>
          </w:tbl>
          <w:p>
            <w:pPr>
              <w:pStyle w:val="33"/>
              <w:keepNext w:val="0"/>
              <w:keepLines w:val="0"/>
              <w:pageBreakBefore w:val="0"/>
              <w:widowControl w:val="0"/>
              <w:kinsoku/>
              <w:wordWrap/>
              <w:overflowPunct/>
              <w:topLinePunct w:val="0"/>
              <w:autoSpaceDE/>
              <w:autoSpaceDN/>
              <w:bidi w:val="0"/>
              <w:adjustRightInd w:val="0"/>
              <w:snapToGrid w:val="0"/>
              <w:spacing w:before="157" w:beforeLines="50"/>
              <w:ind w:firstLine="0" w:firstLineChars="0"/>
              <w:jc w:val="center"/>
              <w:textAlignment w:val="auto"/>
              <w:rPr>
                <w:rFonts w:ascii="Times New Roman" w:hAnsi="Times New Roman" w:eastAsia="Times New Roman" w:cs="Times New Roman"/>
                <w:b/>
                <w:bCs/>
                <w:color w:val="FF0000"/>
                <w:kern w:val="0"/>
                <w:sz w:val="21"/>
                <w:szCs w:val="21"/>
                <w:lang w:val="en-US" w:eastAsia="zh-CN" w:bidi="ar-SA"/>
              </w:rPr>
            </w:pPr>
            <w:r>
              <w:drawing>
                <wp:inline distT="0" distB="0" distL="114300" distR="114300">
                  <wp:extent cx="5250815" cy="2381250"/>
                  <wp:effectExtent l="0" t="0" r="6985" b="0"/>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pic:cNvPicPr>
                        </pic:nvPicPr>
                        <pic:blipFill>
                          <a:blip r:embed="rId32"/>
                          <a:stretch>
                            <a:fillRect/>
                          </a:stretch>
                        </pic:blipFill>
                        <pic:spPr>
                          <a:xfrm>
                            <a:off x="0" y="0"/>
                            <a:ext cx="5250815" cy="2381250"/>
                          </a:xfrm>
                          <a:prstGeom prst="rect">
                            <a:avLst/>
                          </a:prstGeom>
                          <a:noFill/>
                          <a:ln>
                            <a:noFill/>
                          </a:ln>
                        </pic:spPr>
                      </pic:pic>
                    </a:graphicData>
                  </a:graphic>
                </wp:inline>
              </w:drawing>
            </w:r>
            <w:r>
              <w:rPr>
                <w:rFonts w:hint="eastAsia" w:ascii="Times New Roman" w:hAnsi="Times New Roman" w:eastAsia="Times New Roman" w:cs="Times New Roman"/>
                <w:b/>
                <w:bCs/>
                <w:color w:val="FF0000"/>
                <w:kern w:val="0"/>
                <w:sz w:val="21"/>
                <w:szCs w:val="21"/>
                <w:lang w:val="en-US" w:eastAsia="zh-CN" w:bidi="ar-SA"/>
              </w:rPr>
              <w:t xml:space="preserve">图8-10  </w:t>
            </w:r>
            <w:r>
              <w:rPr>
                <w:rFonts w:hint="eastAsia"/>
                <w:lang w:val="en-US" w:eastAsia="zh-CN"/>
              </w:rPr>
              <w:t xml:space="preserve"> </w:t>
            </w:r>
            <w:r>
              <w:rPr>
                <w:rFonts w:hint="eastAsia" w:ascii="Times New Roman" w:hAnsi="Times New Roman" w:eastAsia="Times New Roman" w:cs="Times New Roman"/>
                <w:b/>
                <w:bCs/>
                <w:color w:val="FF0000"/>
                <w:kern w:val="0"/>
                <w:sz w:val="21"/>
                <w:szCs w:val="21"/>
                <w:lang w:val="en-US" w:eastAsia="zh-CN" w:bidi="ar-SA"/>
              </w:rPr>
              <w:t>远</w:t>
            </w:r>
            <w:r>
              <w:rPr>
                <w:rFonts w:ascii="Times New Roman" w:hAnsi="Times New Roman" w:eastAsia="Times New Roman" w:cs="Times New Roman"/>
                <w:b/>
                <w:bCs/>
                <w:color w:val="FF0000"/>
                <w:kern w:val="0"/>
                <w:sz w:val="21"/>
                <w:szCs w:val="21"/>
                <w:lang w:val="en-US" w:eastAsia="zh-CN" w:bidi="ar-SA"/>
              </w:rPr>
              <w:t>期（20</w:t>
            </w:r>
            <w:r>
              <w:rPr>
                <w:rFonts w:hint="eastAsia" w:ascii="Times New Roman" w:hAnsi="Times New Roman" w:eastAsia="Times New Roman" w:cs="Times New Roman"/>
                <w:b/>
                <w:bCs/>
                <w:color w:val="FF0000"/>
                <w:kern w:val="0"/>
                <w:sz w:val="21"/>
                <w:szCs w:val="21"/>
                <w:lang w:val="en-US" w:eastAsia="zh-CN" w:bidi="ar-SA"/>
              </w:rPr>
              <w:t>38</w:t>
            </w:r>
            <w:r>
              <w:rPr>
                <w:rFonts w:ascii="Times New Roman" w:hAnsi="Times New Roman" w:eastAsia="Times New Roman" w:cs="Times New Roman"/>
                <w:b/>
                <w:bCs/>
                <w:color w:val="FF0000"/>
                <w:kern w:val="0"/>
                <w:sz w:val="21"/>
                <w:szCs w:val="21"/>
                <w:lang w:val="en-US" w:eastAsia="zh-CN" w:bidi="ar-SA"/>
              </w:rPr>
              <w:t>年）声环境预测点</w:t>
            </w:r>
            <w:r>
              <w:rPr>
                <w:rFonts w:hint="eastAsia" w:ascii="Times New Roman" w:hAnsi="Times New Roman" w:eastAsia="Times New Roman" w:cs="Times New Roman"/>
                <w:b/>
                <w:bCs/>
                <w:color w:val="FF0000"/>
                <w:kern w:val="0"/>
                <w:sz w:val="21"/>
                <w:szCs w:val="21"/>
                <w:lang w:val="en-US" w:eastAsia="zh-CN" w:bidi="ar-SA"/>
              </w:rPr>
              <w:t>昼</w:t>
            </w:r>
            <w:r>
              <w:rPr>
                <w:rFonts w:ascii="Times New Roman" w:hAnsi="Times New Roman" w:eastAsia="Times New Roman" w:cs="Times New Roman"/>
                <w:b/>
                <w:bCs/>
                <w:color w:val="FF0000"/>
                <w:kern w:val="0"/>
                <w:sz w:val="21"/>
                <w:szCs w:val="21"/>
                <w:lang w:val="en-US" w:eastAsia="zh-CN" w:bidi="ar-SA"/>
              </w:rPr>
              <w:t>间等声级线分布图（贡献值）</w:t>
            </w:r>
          </w:p>
          <w:p>
            <w:pPr>
              <w:pStyle w:val="33"/>
              <w:keepNext w:val="0"/>
              <w:keepLines w:val="0"/>
              <w:pageBreakBefore w:val="0"/>
              <w:widowControl w:val="0"/>
              <w:kinsoku/>
              <w:wordWrap/>
              <w:overflowPunct/>
              <w:topLinePunct w:val="0"/>
              <w:autoSpaceDE/>
              <w:autoSpaceDN/>
              <w:bidi w:val="0"/>
              <w:adjustRightInd w:val="0"/>
              <w:snapToGrid w:val="0"/>
              <w:spacing w:before="157" w:beforeLines="50"/>
              <w:ind w:firstLine="0" w:firstLineChars="0"/>
              <w:textAlignment w:val="auto"/>
            </w:pPr>
            <w:r>
              <w:drawing>
                <wp:inline distT="0" distB="0" distL="114300" distR="114300">
                  <wp:extent cx="5258435" cy="2691765"/>
                  <wp:effectExtent l="0" t="0" r="18415" b="13335"/>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pic:cNvPicPr>
                            <a:picLocks noChangeAspect="1"/>
                          </pic:cNvPicPr>
                        </pic:nvPicPr>
                        <pic:blipFill>
                          <a:blip r:embed="rId33"/>
                          <a:stretch>
                            <a:fillRect/>
                          </a:stretch>
                        </pic:blipFill>
                        <pic:spPr>
                          <a:xfrm>
                            <a:off x="0" y="0"/>
                            <a:ext cx="5258435" cy="2691765"/>
                          </a:xfrm>
                          <a:prstGeom prst="rect">
                            <a:avLst/>
                          </a:prstGeom>
                          <a:noFill/>
                          <a:ln>
                            <a:noFill/>
                          </a:ln>
                        </pic:spPr>
                      </pic:pic>
                    </a:graphicData>
                  </a:graphic>
                </wp:inline>
              </w:drawing>
            </w:r>
          </w:p>
          <w:p>
            <w:pPr>
              <w:pStyle w:val="33"/>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Times New Roman" w:cs="Times New Roman"/>
                <w:b/>
                <w:bCs/>
                <w:color w:val="FF0000"/>
                <w:kern w:val="0"/>
                <w:sz w:val="21"/>
                <w:szCs w:val="21"/>
                <w:lang w:val="en-US" w:eastAsia="zh-CN" w:bidi="ar-SA"/>
              </w:rPr>
            </w:pPr>
            <w:r>
              <w:rPr>
                <w:rFonts w:hint="eastAsia" w:ascii="Times New Roman" w:hAnsi="Times New Roman" w:eastAsia="Times New Roman" w:cs="Times New Roman"/>
                <w:b/>
                <w:bCs/>
                <w:color w:val="FF0000"/>
                <w:kern w:val="0"/>
                <w:sz w:val="21"/>
                <w:szCs w:val="21"/>
                <w:lang w:val="en-US" w:eastAsia="zh-CN" w:bidi="ar-SA"/>
              </w:rPr>
              <w:t>图8-1</w:t>
            </w:r>
            <w:r>
              <w:rPr>
                <w:rFonts w:hint="eastAsia" w:eastAsia="Times New Roman" w:cs="Times New Roman"/>
                <w:b/>
                <w:bCs/>
                <w:color w:val="FF0000"/>
                <w:kern w:val="0"/>
                <w:sz w:val="21"/>
                <w:szCs w:val="21"/>
                <w:lang w:val="en-US" w:eastAsia="zh-CN" w:bidi="ar-SA"/>
              </w:rPr>
              <w:t>1</w:t>
            </w:r>
            <w:r>
              <w:rPr>
                <w:rFonts w:hint="eastAsia" w:ascii="Times New Roman" w:hAnsi="Times New Roman" w:eastAsia="Times New Roman" w:cs="Times New Roman"/>
                <w:b/>
                <w:bCs/>
                <w:color w:val="FF0000"/>
                <w:kern w:val="0"/>
                <w:sz w:val="21"/>
                <w:szCs w:val="21"/>
                <w:lang w:val="en-US" w:eastAsia="zh-CN" w:bidi="ar-SA"/>
              </w:rPr>
              <w:t xml:space="preserve">  </w:t>
            </w:r>
            <w:r>
              <w:rPr>
                <w:rFonts w:hint="eastAsia"/>
                <w:lang w:val="en-US" w:eastAsia="zh-CN"/>
              </w:rPr>
              <w:t xml:space="preserve"> </w:t>
            </w:r>
            <w:r>
              <w:rPr>
                <w:rFonts w:hint="eastAsia" w:ascii="Times New Roman" w:hAnsi="Times New Roman" w:eastAsia="Times New Roman" w:cs="Times New Roman"/>
                <w:b/>
                <w:bCs/>
                <w:color w:val="FF0000"/>
                <w:kern w:val="0"/>
                <w:sz w:val="21"/>
                <w:szCs w:val="21"/>
                <w:lang w:val="en-US" w:eastAsia="zh-CN" w:bidi="ar-SA"/>
              </w:rPr>
              <w:t>远</w:t>
            </w:r>
            <w:r>
              <w:rPr>
                <w:rFonts w:ascii="Times New Roman" w:hAnsi="Times New Roman" w:eastAsia="Times New Roman" w:cs="Times New Roman"/>
                <w:b/>
                <w:bCs/>
                <w:color w:val="FF0000"/>
                <w:kern w:val="0"/>
                <w:sz w:val="21"/>
                <w:szCs w:val="21"/>
                <w:lang w:val="en-US" w:eastAsia="zh-CN" w:bidi="ar-SA"/>
              </w:rPr>
              <w:t>期（20</w:t>
            </w:r>
            <w:r>
              <w:rPr>
                <w:rFonts w:hint="eastAsia" w:ascii="Times New Roman" w:hAnsi="Times New Roman" w:eastAsia="Times New Roman" w:cs="Times New Roman"/>
                <w:b/>
                <w:bCs/>
                <w:color w:val="FF0000"/>
                <w:kern w:val="0"/>
                <w:sz w:val="21"/>
                <w:szCs w:val="21"/>
                <w:lang w:val="en-US" w:eastAsia="zh-CN" w:bidi="ar-SA"/>
              </w:rPr>
              <w:t>38</w:t>
            </w:r>
            <w:r>
              <w:rPr>
                <w:rFonts w:ascii="Times New Roman" w:hAnsi="Times New Roman" w:eastAsia="Times New Roman" w:cs="Times New Roman"/>
                <w:b/>
                <w:bCs/>
                <w:color w:val="FF0000"/>
                <w:kern w:val="0"/>
                <w:sz w:val="21"/>
                <w:szCs w:val="21"/>
                <w:lang w:val="en-US" w:eastAsia="zh-CN" w:bidi="ar-SA"/>
              </w:rPr>
              <w:t>年）声环境预测点</w:t>
            </w:r>
            <w:r>
              <w:rPr>
                <w:rFonts w:hint="eastAsia" w:eastAsia="Times New Roman" w:cs="Times New Roman"/>
                <w:b/>
                <w:bCs/>
                <w:color w:val="FF0000"/>
                <w:kern w:val="0"/>
                <w:sz w:val="21"/>
                <w:szCs w:val="21"/>
                <w:lang w:val="en-US" w:eastAsia="zh-CN" w:bidi="ar-SA"/>
              </w:rPr>
              <w:t>夜</w:t>
            </w:r>
            <w:r>
              <w:rPr>
                <w:rFonts w:ascii="Times New Roman" w:hAnsi="Times New Roman" w:eastAsia="Times New Roman" w:cs="Times New Roman"/>
                <w:b/>
                <w:bCs/>
                <w:color w:val="FF0000"/>
                <w:kern w:val="0"/>
                <w:sz w:val="21"/>
                <w:szCs w:val="21"/>
                <w:lang w:val="en-US" w:eastAsia="zh-CN" w:bidi="ar-SA"/>
              </w:rPr>
              <w:t>间等声级线分布图（贡献值）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hAnsi="宋体" w:eastAsia="宋体"/>
                <w:color w:val="FF0000"/>
                <w:sz w:val="24"/>
                <w:szCs w:val="24"/>
              </w:rPr>
            </w:pPr>
            <w:r>
              <w:rPr>
                <w:rFonts w:hAnsi="宋体" w:eastAsia="宋体"/>
                <w:color w:val="FF0000"/>
                <w:sz w:val="24"/>
                <w:szCs w:val="24"/>
              </w:rPr>
              <w:t>综上，本项目</w:t>
            </w:r>
            <w:r>
              <w:rPr>
                <w:rFonts w:hint="eastAsia" w:hAnsi="宋体" w:eastAsia="宋体"/>
                <w:color w:val="FF0000"/>
                <w:sz w:val="24"/>
                <w:szCs w:val="24"/>
              </w:rPr>
              <w:t>运营后</w:t>
            </w:r>
            <w:r>
              <w:rPr>
                <w:rFonts w:hAnsi="宋体" w:eastAsia="宋体"/>
                <w:color w:val="FF0000"/>
                <w:sz w:val="24"/>
                <w:szCs w:val="24"/>
              </w:rPr>
              <w:t>交通噪声对周围声环境质量造成了一定的影响，根据表</w:t>
            </w:r>
            <w:r>
              <w:rPr>
                <w:rFonts w:hint="eastAsia" w:eastAsia="宋体"/>
                <w:color w:val="FF0000"/>
                <w:sz w:val="24"/>
                <w:szCs w:val="24"/>
                <w:lang w:val="en-US" w:eastAsia="zh-CN"/>
              </w:rPr>
              <w:t>8-1</w:t>
            </w:r>
            <w:r>
              <w:rPr>
                <w:rFonts w:hint="eastAsia"/>
                <w:color w:val="FF0000"/>
                <w:sz w:val="24"/>
                <w:szCs w:val="24"/>
                <w:lang w:val="en-US" w:eastAsia="zh-CN"/>
              </w:rPr>
              <w:t>3</w:t>
            </w:r>
            <w:r>
              <w:rPr>
                <w:rFonts w:hAnsi="宋体" w:eastAsia="宋体"/>
                <w:color w:val="FF0000"/>
                <w:sz w:val="24"/>
                <w:szCs w:val="24"/>
              </w:rPr>
              <w:t>中的预测结果可以看出，在叠加背景值后本</w:t>
            </w:r>
            <w:r>
              <w:rPr>
                <w:rFonts w:hint="eastAsia" w:hAnsi="宋体" w:eastAsia="宋体"/>
                <w:color w:val="FF0000"/>
                <w:sz w:val="24"/>
                <w:szCs w:val="24"/>
                <w:lang w:eastAsia="zh-CN"/>
              </w:rPr>
              <w:t>项目</w:t>
            </w:r>
            <w:r>
              <w:rPr>
                <w:rFonts w:hAnsi="宋体" w:eastAsia="宋体"/>
                <w:color w:val="FF0000"/>
                <w:sz w:val="24"/>
                <w:szCs w:val="24"/>
              </w:rPr>
              <w:t>运营</w:t>
            </w:r>
            <w:r>
              <w:rPr>
                <w:rFonts w:hint="eastAsia" w:hAnsi="宋体"/>
                <w:color w:val="FF0000"/>
                <w:sz w:val="24"/>
                <w:szCs w:val="24"/>
                <w:lang w:eastAsia="zh-CN"/>
              </w:rPr>
              <w:t>远</w:t>
            </w:r>
            <w:r>
              <w:rPr>
                <w:rFonts w:hAnsi="宋体" w:eastAsia="宋体"/>
                <w:color w:val="FF0000"/>
                <w:sz w:val="24"/>
                <w:szCs w:val="24"/>
              </w:rPr>
              <w:t>期（</w:t>
            </w:r>
            <w:r>
              <w:rPr>
                <w:color w:val="FF0000"/>
                <w:sz w:val="24"/>
                <w:szCs w:val="24"/>
              </w:rPr>
              <w:t>20</w:t>
            </w:r>
            <w:r>
              <w:rPr>
                <w:rFonts w:hint="eastAsia"/>
                <w:color w:val="FF0000"/>
                <w:sz w:val="24"/>
                <w:szCs w:val="24"/>
                <w:lang w:val="en-US" w:eastAsia="zh-CN"/>
              </w:rPr>
              <w:t>38</w:t>
            </w:r>
            <w:r>
              <w:rPr>
                <w:rFonts w:hAnsi="宋体" w:eastAsia="宋体"/>
                <w:color w:val="FF0000"/>
                <w:sz w:val="24"/>
                <w:szCs w:val="24"/>
              </w:rPr>
              <w:t>年）</w:t>
            </w:r>
            <w:r>
              <w:rPr>
                <w:rFonts w:hint="eastAsia" w:hAnsi="宋体" w:eastAsia="宋体"/>
                <w:color w:val="FF0000"/>
                <w:sz w:val="24"/>
                <w:szCs w:val="24"/>
                <w:lang w:eastAsia="zh-CN"/>
              </w:rPr>
              <w:t>声环境敏感</w:t>
            </w:r>
            <w:r>
              <w:rPr>
                <w:rFonts w:hAnsi="宋体" w:eastAsia="宋体"/>
                <w:color w:val="FF0000"/>
                <w:sz w:val="24"/>
                <w:szCs w:val="24"/>
              </w:rPr>
              <w:t>点未出现超标现象，满足《声环境质量标准》（</w:t>
            </w:r>
            <w:r>
              <w:rPr>
                <w:color w:val="FF0000"/>
                <w:sz w:val="24"/>
                <w:szCs w:val="24"/>
              </w:rPr>
              <w:t>GB3096-2008</w:t>
            </w:r>
            <w:r>
              <w:rPr>
                <w:rFonts w:hAnsi="宋体" w:eastAsia="宋体"/>
                <w:color w:val="FF0000"/>
                <w:sz w:val="24"/>
                <w:szCs w:val="24"/>
              </w:rPr>
              <w:t>）</w:t>
            </w:r>
            <w:r>
              <w:rPr>
                <w:color w:val="FF0000"/>
                <w:sz w:val="24"/>
                <w:szCs w:val="24"/>
              </w:rPr>
              <w:t>2</w:t>
            </w:r>
            <w:r>
              <w:rPr>
                <w:rFonts w:hAnsi="宋体" w:eastAsia="宋体"/>
                <w:color w:val="FF0000"/>
                <w:sz w:val="24"/>
                <w:szCs w:val="24"/>
              </w:rPr>
              <w:t>类区标准</w:t>
            </w:r>
            <w:r>
              <w:rPr>
                <w:rFonts w:hint="eastAsia" w:hAnsi="宋体" w:eastAsia="宋体"/>
                <w:color w:val="FF0000"/>
                <w:sz w:val="24"/>
                <w:szCs w:val="24"/>
              </w:rPr>
              <w:t>（</w:t>
            </w:r>
            <w:r>
              <w:rPr>
                <w:rFonts w:hAnsi="宋体" w:eastAsia="宋体"/>
                <w:color w:val="FF0000"/>
                <w:sz w:val="24"/>
                <w:szCs w:val="24"/>
              </w:rPr>
              <w:t>昼间</w:t>
            </w:r>
            <w:r>
              <w:rPr>
                <w:color w:val="FF0000"/>
                <w:sz w:val="24"/>
                <w:szCs w:val="24"/>
              </w:rPr>
              <w:t>60dB</w:t>
            </w:r>
            <w:r>
              <w:rPr>
                <w:rFonts w:hAnsi="宋体" w:eastAsia="宋体"/>
                <w:color w:val="FF0000"/>
                <w:sz w:val="24"/>
                <w:szCs w:val="24"/>
              </w:rPr>
              <w:t>（</w:t>
            </w:r>
            <w:r>
              <w:rPr>
                <w:color w:val="FF0000"/>
                <w:sz w:val="24"/>
                <w:szCs w:val="24"/>
              </w:rPr>
              <w:t>A</w:t>
            </w:r>
            <w:r>
              <w:rPr>
                <w:rFonts w:hAnsi="宋体" w:eastAsia="宋体"/>
                <w:color w:val="FF0000"/>
                <w:sz w:val="24"/>
                <w:szCs w:val="24"/>
              </w:rPr>
              <w:t>），夜间</w:t>
            </w:r>
            <w:r>
              <w:rPr>
                <w:color w:val="FF0000"/>
                <w:sz w:val="24"/>
                <w:szCs w:val="24"/>
              </w:rPr>
              <w:t>50dB</w:t>
            </w:r>
            <w:r>
              <w:rPr>
                <w:rFonts w:hAnsi="宋体" w:eastAsia="宋体"/>
                <w:color w:val="FF0000"/>
                <w:sz w:val="24"/>
                <w:szCs w:val="24"/>
              </w:rPr>
              <w:t>（</w:t>
            </w:r>
            <w:r>
              <w:rPr>
                <w:color w:val="FF0000"/>
                <w:sz w:val="24"/>
                <w:szCs w:val="24"/>
              </w:rPr>
              <w:t>A</w:t>
            </w:r>
            <w:r>
              <w:rPr>
                <w:rFonts w:hAnsi="宋体" w:eastAsia="宋体"/>
                <w:color w:val="FF0000"/>
                <w:sz w:val="24"/>
                <w:szCs w:val="24"/>
              </w:rPr>
              <w:t>）</w:t>
            </w:r>
            <w:r>
              <w:rPr>
                <w:rFonts w:hint="eastAsia" w:hAnsi="宋体" w:eastAsia="宋体"/>
                <w:color w:val="FF0000"/>
                <w:sz w:val="24"/>
                <w:szCs w:val="24"/>
              </w:rPr>
              <w:t>）。</w:t>
            </w:r>
          </w:p>
          <w:p>
            <w:pPr>
              <w:adjustRightInd w:val="0"/>
              <w:snapToGrid w:val="0"/>
              <w:spacing w:line="360" w:lineRule="auto"/>
              <w:ind w:firstLine="482"/>
              <w:rPr>
                <w:color w:val="FF0000"/>
                <w:sz w:val="24"/>
              </w:rPr>
            </w:pPr>
            <w:r>
              <w:rPr>
                <w:rFonts w:hint="eastAsia" w:ascii="宋体" w:hAnsi="宋体"/>
                <w:color w:val="FF0000"/>
                <w:sz w:val="24"/>
              </w:rPr>
              <w:t>⑶</w:t>
            </w:r>
            <w:r>
              <w:rPr>
                <w:rFonts w:hint="eastAsia"/>
                <w:color w:val="FF0000"/>
                <w:sz w:val="24"/>
              </w:rPr>
              <w:t>垂直方向</w:t>
            </w:r>
            <w:r>
              <w:rPr>
                <w:rFonts w:hint="eastAsia" w:hAnsi="宋体"/>
                <w:color w:val="FF0000"/>
                <w:sz w:val="24"/>
              </w:rPr>
              <w:t>声环境影响预测</w:t>
            </w:r>
          </w:p>
          <w:p>
            <w:pPr>
              <w:adjustRightInd w:val="0"/>
              <w:snapToGrid w:val="0"/>
              <w:spacing w:line="360" w:lineRule="auto"/>
              <w:ind w:firstLine="482"/>
              <w:rPr>
                <w:color w:val="FF0000"/>
                <w:sz w:val="24"/>
                <w:szCs w:val="24"/>
              </w:rPr>
            </w:pPr>
            <w:r>
              <w:rPr>
                <w:rFonts w:hint="eastAsia"/>
                <w:color w:val="FF0000"/>
                <w:sz w:val="24"/>
              </w:rPr>
              <w:t>根</w:t>
            </w:r>
            <w:r>
              <w:rPr>
                <w:rFonts w:hint="eastAsia"/>
                <w:color w:val="FF0000"/>
                <w:sz w:val="24"/>
                <w:szCs w:val="24"/>
              </w:rPr>
              <w:t>据《环境影响评价技术导则</w:t>
            </w:r>
            <w:r>
              <w:rPr>
                <w:color w:val="FF0000"/>
                <w:sz w:val="24"/>
                <w:szCs w:val="24"/>
              </w:rPr>
              <w:t xml:space="preserve"> </w:t>
            </w:r>
            <w:r>
              <w:rPr>
                <w:rFonts w:hint="eastAsia"/>
                <w:color w:val="FF0000"/>
                <w:sz w:val="24"/>
                <w:szCs w:val="24"/>
              </w:rPr>
              <w:t>声环境》（</w:t>
            </w:r>
            <w:r>
              <w:rPr>
                <w:color w:val="FF0000"/>
                <w:sz w:val="24"/>
                <w:szCs w:val="24"/>
              </w:rPr>
              <w:t>HJ2.4-20</w:t>
            </w:r>
            <w:r>
              <w:rPr>
                <w:rFonts w:hint="eastAsia"/>
                <w:color w:val="FF0000"/>
                <w:sz w:val="24"/>
                <w:szCs w:val="24"/>
                <w:lang w:val="en-US" w:eastAsia="zh-CN"/>
              </w:rPr>
              <w:t>21</w:t>
            </w:r>
            <w:r>
              <w:rPr>
                <w:rFonts w:hint="eastAsia"/>
                <w:color w:val="FF0000"/>
                <w:sz w:val="24"/>
                <w:szCs w:val="24"/>
              </w:rPr>
              <w:t>）评价基本要求，当敏感目标高于（含）三层建筑时，应绘制垂直方向的等声级线图。根据调查，本项目</w:t>
            </w:r>
            <w:r>
              <w:rPr>
                <w:rFonts w:hint="eastAsia"/>
                <w:color w:val="FF0000"/>
                <w:sz w:val="24"/>
                <w:szCs w:val="24"/>
                <w:lang w:eastAsia="zh-CN"/>
              </w:rPr>
              <w:t>滨河大桥东侧</w:t>
            </w:r>
            <w:r>
              <w:rPr>
                <w:rFonts w:hint="eastAsia"/>
                <w:color w:val="FF0000"/>
                <w:sz w:val="24"/>
                <w:szCs w:val="24"/>
              </w:rPr>
              <w:t>的</w:t>
            </w:r>
            <w:r>
              <w:rPr>
                <w:rFonts w:hint="eastAsia"/>
                <w:bCs/>
                <w:color w:val="FF0000"/>
                <w:sz w:val="24"/>
                <w:szCs w:val="24"/>
                <w:lang w:eastAsia="zh-CN"/>
              </w:rPr>
              <w:t>凤凰上镜小区</w:t>
            </w:r>
            <w:r>
              <w:rPr>
                <w:rFonts w:hint="eastAsia"/>
                <w:color w:val="FF0000"/>
                <w:sz w:val="24"/>
                <w:szCs w:val="24"/>
              </w:rPr>
              <w:t>为</w:t>
            </w:r>
            <w:r>
              <w:rPr>
                <w:rFonts w:hint="eastAsia"/>
                <w:color w:val="FF0000"/>
                <w:sz w:val="24"/>
                <w:szCs w:val="24"/>
                <w:lang w:val="en-US" w:eastAsia="zh-CN"/>
              </w:rPr>
              <w:t>20</w:t>
            </w:r>
            <w:r>
              <w:rPr>
                <w:rFonts w:hint="eastAsia"/>
                <w:color w:val="FF0000"/>
                <w:sz w:val="24"/>
                <w:szCs w:val="24"/>
              </w:rPr>
              <w:t>层建筑，因此对</w:t>
            </w:r>
            <w:r>
              <w:rPr>
                <w:rFonts w:hint="eastAsia"/>
                <w:bCs/>
                <w:color w:val="FF0000"/>
                <w:sz w:val="24"/>
                <w:szCs w:val="24"/>
                <w:lang w:eastAsia="zh-CN"/>
              </w:rPr>
              <w:t>凤凰上镜小区</w:t>
            </w:r>
            <w:r>
              <w:rPr>
                <w:rFonts w:hint="eastAsia"/>
                <w:color w:val="FF0000"/>
                <w:sz w:val="24"/>
                <w:szCs w:val="24"/>
              </w:rPr>
              <w:t>第一排建筑进行近期（</w:t>
            </w:r>
            <w:r>
              <w:rPr>
                <w:color w:val="FF0000"/>
                <w:sz w:val="24"/>
                <w:szCs w:val="24"/>
              </w:rPr>
              <w:t>20</w:t>
            </w:r>
            <w:r>
              <w:rPr>
                <w:rFonts w:hint="eastAsia"/>
                <w:color w:val="FF0000"/>
                <w:sz w:val="24"/>
                <w:szCs w:val="24"/>
              </w:rPr>
              <w:t>2</w:t>
            </w:r>
            <w:r>
              <w:rPr>
                <w:rFonts w:hint="eastAsia"/>
                <w:color w:val="FF0000"/>
                <w:sz w:val="24"/>
                <w:szCs w:val="24"/>
                <w:lang w:val="en-US" w:eastAsia="zh-CN"/>
              </w:rPr>
              <w:t>4</w:t>
            </w:r>
            <w:r>
              <w:rPr>
                <w:rFonts w:hint="eastAsia"/>
                <w:color w:val="FF0000"/>
                <w:sz w:val="24"/>
                <w:szCs w:val="24"/>
              </w:rPr>
              <w:t>年）、中期（</w:t>
            </w:r>
            <w:r>
              <w:rPr>
                <w:color w:val="FF0000"/>
                <w:sz w:val="24"/>
                <w:szCs w:val="24"/>
              </w:rPr>
              <w:t>20</w:t>
            </w:r>
            <w:r>
              <w:rPr>
                <w:rFonts w:hint="eastAsia"/>
                <w:color w:val="FF0000"/>
                <w:sz w:val="24"/>
                <w:szCs w:val="24"/>
                <w:lang w:val="en-US" w:eastAsia="zh-CN"/>
              </w:rPr>
              <w:t>30</w:t>
            </w:r>
            <w:r>
              <w:rPr>
                <w:rFonts w:hint="eastAsia"/>
                <w:color w:val="FF0000"/>
                <w:sz w:val="24"/>
                <w:szCs w:val="24"/>
              </w:rPr>
              <w:t>年）和远期（</w:t>
            </w:r>
            <w:r>
              <w:rPr>
                <w:color w:val="FF0000"/>
                <w:sz w:val="24"/>
                <w:szCs w:val="24"/>
              </w:rPr>
              <w:t>203</w:t>
            </w:r>
            <w:r>
              <w:rPr>
                <w:rFonts w:hint="eastAsia"/>
                <w:color w:val="FF0000"/>
                <w:sz w:val="24"/>
                <w:szCs w:val="24"/>
                <w:lang w:val="en-US" w:eastAsia="zh-CN"/>
              </w:rPr>
              <w:t>8</w:t>
            </w:r>
            <w:r>
              <w:rPr>
                <w:rFonts w:hint="eastAsia"/>
                <w:color w:val="FF0000"/>
                <w:sz w:val="24"/>
                <w:szCs w:val="24"/>
              </w:rPr>
              <w:t>年）</w:t>
            </w:r>
            <w:r>
              <w:rPr>
                <w:rFonts w:hint="eastAsia"/>
                <w:color w:val="FF0000"/>
                <w:sz w:val="24"/>
                <w:szCs w:val="24"/>
                <w:lang w:eastAsia="zh-CN"/>
              </w:rPr>
              <w:t>垂向</w:t>
            </w:r>
            <w:r>
              <w:rPr>
                <w:rFonts w:hint="eastAsia"/>
                <w:color w:val="FF0000"/>
                <w:sz w:val="24"/>
                <w:szCs w:val="24"/>
              </w:rPr>
              <w:t>噪声预测。</w:t>
            </w:r>
          </w:p>
          <w:p>
            <w:pPr>
              <w:adjustRightInd w:val="0"/>
              <w:snapToGrid w:val="0"/>
              <w:spacing w:line="360" w:lineRule="auto"/>
              <w:ind w:firstLine="482"/>
              <w:rPr>
                <w:color w:val="FF0000"/>
                <w:sz w:val="24"/>
                <w:szCs w:val="24"/>
              </w:rPr>
            </w:pPr>
            <w:r>
              <w:rPr>
                <w:rFonts w:hint="eastAsia" w:ascii="宋体" w:hAnsi="宋体"/>
                <w:color w:val="FF0000"/>
                <w:sz w:val="24"/>
                <w:szCs w:val="24"/>
              </w:rPr>
              <w:t>①</w:t>
            </w:r>
            <w:r>
              <w:rPr>
                <w:rFonts w:hint="eastAsia"/>
                <w:color w:val="FF0000"/>
                <w:sz w:val="24"/>
                <w:szCs w:val="24"/>
              </w:rPr>
              <w:t>近期（</w:t>
            </w:r>
            <w:r>
              <w:rPr>
                <w:color w:val="FF0000"/>
                <w:sz w:val="24"/>
                <w:szCs w:val="24"/>
              </w:rPr>
              <w:t>20</w:t>
            </w:r>
            <w:r>
              <w:rPr>
                <w:rFonts w:hint="eastAsia"/>
                <w:color w:val="FF0000"/>
                <w:sz w:val="24"/>
                <w:szCs w:val="24"/>
              </w:rPr>
              <w:t>2</w:t>
            </w:r>
            <w:r>
              <w:rPr>
                <w:rFonts w:hint="eastAsia"/>
                <w:color w:val="FF0000"/>
                <w:sz w:val="24"/>
                <w:szCs w:val="24"/>
                <w:lang w:val="en-US" w:eastAsia="zh-CN"/>
              </w:rPr>
              <w:t>4</w:t>
            </w:r>
            <w:r>
              <w:rPr>
                <w:rFonts w:hint="eastAsia"/>
                <w:color w:val="FF0000"/>
                <w:sz w:val="24"/>
                <w:szCs w:val="24"/>
              </w:rPr>
              <w:t>年）垂向噪声预测</w:t>
            </w:r>
          </w:p>
          <w:p>
            <w:pPr>
              <w:adjustRightInd w:val="0"/>
              <w:snapToGrid w:val="0"/>
              <w:spacing w:line="360" w:lineRule="auto"/>
              <w:ind w:firstLine="482"/>
              <w:rPr>
                <w:rFonts w:hint="eastAsia"/>
                <w:color w:val="FF0000"/>
                <w:sz w:val="24"/>
                <w:szCs w:val="24"/>
              </w:rPr>
            </w:pPr>
            <w:r>
              <w:rPr>
                <w:rFonts w:hint="eastAsia"/>
                <w:color w:val="FF0000"/>
                <w:sz w:val="24"/>
                <w:szCs w:val="24"/>
              </w:rPr>
              <w:t>近期（202</w:t>
            </w:r>
            <w:r>
              <w:rPr>
                <w:rFonts w:hint="eastAsia"/>
                <w:color w:val="FF0000"/>
                <w:sz w:val="24"/>
                <w:szCs w:val="24"/>
                <w:lang w:val="en-US" w:eastAsia="zh-CN"/>
              </w:rPr>
              <w:t>4</w:t>
            </w:r>
            <w:r>
              <w:rPr>
                <w:rFonts w:hint="eastAsia"/>
                <w:color w:val="FF0000"/>
                <w:sz w:val="24"/>
                <w:szCs w:val="24"/>
              </w:rPr>
              <w:t>年）垂向噪声预测情况见表</w:t>
            </w:r>
            <w:r>
              <w:rPr>
                <w:rFonts w:hint="eastAsia"/>
                <w:color w:val="FF0000"/>
                <w:sz w:val="24"/>
                <w:szCs w:val="24"/>
                <w:lang w:val="en-US" w:eastAsia="zh-CN"/>
              </w:rPr>
              <w:t>8-14，贡献值与</w:t>
            </w:r>
            <w:r>
              <w:rPr>
                <w:rFonts w:hint="eastAsia"/>
                <w:color w:val="FF0000"/>
                <w:sz w:val="24"/>
                <w:szCs w:val="24"/>
              </w:rPr>
              <w:t>第一排建筑</w:t>
            </w:r>
            <w:r>
              <w:rPr>
                <w:rFonts w:hint="eastAsia"/>
                <w:color w:val="FF0000"/>
                <w:sz w:val="24"/>
                <w:szCs w:val="24"/>
                <w:lang w:eastAsia="zh-CN"/>
              </w:rPr>
              <w:t>楼层高度关系</w:t>
            </w:r>
            <w:r>
              <w:rPr>
                <w:rFonts w:hint="eastAsia"/>
                <w:color w:val="FF0000"/>
                <w:sz w:val="24"/>
                <w:szCs w:val="24"/>
              </w:rPr>
              <w:t>预测见图</w:t>
            </w:r>
            <w:r>
              <w:rPr>
                <w:rFonts w:hint="eastAsia"/>
                <w:color w:val="FF0000"/>
                <w:sz w:val="24"/>
                <w:szCs w:val="24"/>
                <w:lang w:val="en-US" w:eastAsia="zh-CN"/>
              </w:rPr>
              <w:t>8-12</w:t>
            </w:r>
            <w:r>
              <w:rPr>
                <w:rFonts w:hint="eastAsia"/>
                <w:color w:val="FF0000"/>
                <w:sz w:val="24"/>
                <w:szCs w:val="24"/>
                <w:lang w:eastAsia="zh-CN"/>
              </w:rPr>
              <w:t>、</w:t>
            </w:r>
            <w:r>
              <w:rPr>
                <w:rFonts w:hint="eastAsia"/>
                <w:color w:val="FF0000"/>
                <w:sz w:val="24"/>
                <w:szCs w:val="24"/>
                <w:lang w:val="en-US" w:eastAsia="zh-CN"/>
              </w:rPr>
              <w:t>8-13</w:t>
            </w:r>
            <w:r>
              <w:rPr>
                <w:rFonts w:hint="eastAsia"/>
                <w:color w:val="FF0000"/>
                <w:sz w:val="24"/>
                <w:szCs w:val="24"/>
              </w:rPr>
              <w:t>。</w:t>
            </w:r>
          </w:p>
          <w:p>
            <w:pPr>
              <w:adjustRightInd w:val="0"/>
              <w:snapToGrid w:val="0"/>
              <w:ind w:firstLine="310" w:firstLineChars="147"/>
              <w:jc w:val="center"/>
              <w:rPr>
                <w:b/>
                <w:color w:val="FF0000"/>
                <w:sz w:val="21"/>
                <w:szCs w:val="21"/>
              </w:rPr>
            </w:pPr>
            <w:r>
              <w:rPr>
                <w:rFonts w:hint="eastAsia"/>
                <w:b/>
                <w:color w:val="FF0000"/>
                <w:sz w:val="21"/>
                <w:szCs w:val="21"/>
              </w:rPr>
              <w:t>表</w:t>
            </w:r>
            <w:r>
              <w:rPr>
                <w:rFonts w:hint="eastAsia"/>
                <w:b/>
                <w:color w:val="FF0000"/>
                <w:sz w:val="21"/>
                <w:szCs w:val="21"/>
                <w:lang w:val="en-US" w:eastAsia="zh-CN"/>
              </w:rPr>
              <w:t>8-14</w:t>
            </w:r>
            <w:r>
              <w:rPr>
                <w:b/>
                <w:color w:val="FF0000"/>
                <w:sz w:val="21"/>
                <w:szCs w:val="21"/>
              </w:rPr>
              <w:t xml:space="preserve">        </w:t>
            </w:r>
            <w:r>
              <w:rPr>
                <w:rFonts w:hint="eastAsia"/>
                <w:b/>
                <w:color w:val="FF0000"/>
                <w:sz w:val="21"/>
                <w:szCs w:val="21"/>
                <w:lang w:eastAsia="zh-CN"/>
              </w:rPr>
              <w:t>近期（</w:t>
            </w:r>
            <w:r>
              <w:rPr>
                <w:b/>
                <w:color w:val="FF0000"/>
                <w:sz w:val="21"/>
                <w:szCs w:val="21"/>
              </w:rPr>
              <w:t>20</w:t>
            </w:r>
            <w:r>
              <w:rPr>
                <w:rFonts w:hint="eastAsia"/>
                <w:b/>
                <w:color w:val="FF0000"/>
                <w:sz w:val="21"/>
                <w:szCs w:val="21"/>
              </w:rPr>
              <w:t>2</w:t>
            </w:r>
            <w:r>
              <w:rPr>
                <w:rFonts w:hint="eastAsia"/>
                <w:b/>
                <w:color w:val="FF0000"/>
                <w:sz w:val="21"/>
                <w:szCs w:val="21"/>
                <w:lang w:val="en-US" w:eastAsia="zh-CN"/>
              </w:rPr>
              <w:t>4</w:t>
            </w:r>
            <w:r>
              <w:rPr>
                <w:rFonts w:hint="eastAsia"/>
                <w:b/>
                <w:color w:val="FF0000"/>
                <w:sz w:val="21"/>
                <w:szCs w:val="21"/>
              </w:rPr>
              <w:t>年</w:t>
            </w:r>
            <w:r>
              <w:rPr>
                <w:rFonts w:hint="eastAsia"/>
                <w:b/>
                <w:color w:val="FF0000"/>
                <w:sz w:val="21"/>
                <w:szCs w:val="21"/>
                <w:lang w:eastAsia="zh-CN"/>
              </w:rPr>
              <w:t>）</w:t>
            </w:r>
            <w:r>
              <w:rPr>
                <w:rFonts w:hint="eastAsia"/>
                <w:b/>
                <w:color w:val="FF0000"/>
                <w:sz w:val="21"/>
                <w:szCs w:val="21"/>
              </w:rPr>
              <w:t>垂向噪声预测结果一览表</w:t>
            </w:r>
          </w:p>
          <w:tbl>
            <w:tblPr>
              <w:tblStyle w:val="26"/>
              <w:tblW w:w="827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09"/>
              <w:gridCol w:w="1434"/>
              <w:gridCol w:w="1581"/>
              <w:gridCol w:w="1047"/>
              <w:gridCol w:w="1047"/>
              <w:gridCol w:w="1081"/>
              <w:gridCol w:w="117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909" w:type="dxa"/>
                  <w:noWrap w:val="0"/>
                  <w:vAlign w:val="center"/>
                </w:tcPr>
                <w:p>
                  <w:pPr>
                    <w:adjustRightInd w:val="0"/>
                    <w:snapToGrid w:val="0"/>
                    <w:jc w:val="center"/>
                    <w:rPr>
                      <w:b/>
                      <w:color w:val="FF0000"/>
                      <w:szCs w:val="21"/>
                    </w:rPr>
                  </w:pPr>
                  <w:r>
                    <w:rPr>
                      <w:rFonts w:hint="eastAsia"/>
                      <w:b/>
                      <w:color w:val="FF0000"/>
                      <w:szCs w:val="21"/>
                    </w:rPr>
                    <w:t>名称</w:t>
                  </w:r>
                </w:p>
              </w:tc>
              <w:tc>
                <w:tcPr>
                  <w:tcW w:w="1434" w:type="dxa"/>
                  <w:noWrap w:val="0"/>
                  <w:vAlign w:val="center"/>
                </w:tcPr>
                <w:p>
                  <w:pPr>
                    <w:adjustRightInd w:val="0"/>
                    <w:snapToGrid w:val="0"/>
                    <w:jc w:val="center"/>
                    <w:rPr>
                      <w:b/>
                      <w:color w:val="FF0000"/>
                      <w:szCs w:val="21"/>
                    </w:rPr>
                  </w:pPr>
                  <w:r>
                    <w:rPr>
                      <w:rFonts w:hint="eastAsia"/>
                      <w:b/>
                      <w:color w:val="FF0000"/>
                      <w:szCs w:val="21"/>
                    </w:rPr>
                    <w:t>监测点位</w:t>
                  </w:r>
                </w:p>
              </w:tc>
              <w:tc>
                <w:tcPr>
                  <w:tcW w:w="1581" w:type="dxa"/>
                  <w:noWrap w:val="0"/>
                  <w:vAlign w:val="center"/>
                </w:tcPr>
                <w:p>
                  <w:pPr>
                    <w:adjustRightInd w:val="0"/>
                    <w:snapToGrid w:val="0"/>
                    <w:jc w:val="center"/>
                    <w:rPr>
                      <w:b/>
                      <w:color w:val="FF0000"/>
                      <w:szCs w:val="21"/>
                    </w:rPr>
                  </w:pPr>
                  <w:r>
                    <w:rPr>
                      <w:rFonts w:hint="eastAsia"/>
                      <w:b/>
                      <w:color w:val="FF0000"/>
                      <w:szCs w:val="21"/>
                    </w:rPr>
                    <w:t>监测时段</w:t>
                  </w:r>
                </w:p>
              </w:tc>
              <w:tc>
                <w:tcPr>
                  <w:tcW w:w="1047" w:type="dxa"/>
                  <w:noWrap w:val="0"/>
                  <w:vAlign w:val="center"/>
                </w:tcPr>
                <w:p>
                  <w:pPr>
                    <w:adjustRightInd w:val="0"/>
                    <w:snapToGrid w:val="0"/>
                    <w:jc w:val="center"/>
                    <w:rPr>
                      <w:b/>
                      <w:color w:val="FF0000"/>
                      <w:szCs w:val="21"/>
                    </w:rPr>
                  </w:pPr>
                  <w:r>
                    <w:rPr>
                      <w:rFonts w:hint="eastAsia"/>
                      <w:b/>
                      <w:color w:val="FF0000"/>
                      <w:szCs w:val="21"/>
                    </w:rPr>
                    <w:t>背景值</w:t>
                  </w:r>
                </w:p>
              </w:tc>
              <w:tc>
                <w:tcPr>
                  <w:tcW w:w="1047" w:type="dxa"/>
                  <w:noWrap w:val="0"/>
                  <w:vAlign w:val="center"/>
                </w:tcPr>
                <w:p>
                  <w:pPr>
                    <w:adjustRightInd w:val="0"/>
                    <w:snapToGrid w:val="0"/>
                    <w:jc w:val="center"/>
                    <w:rPr>
                      <w:b/>
                      <w:color w:val="FF0000"/>
                      <w:szCs w:val="21"/>
                    </w:rPr>
                  </w:pPr>
                  <w:r>
                    <w:rPr>
                      <w:rFonts w:hint="eastAsia"/>
                      <w:b/>
                      <w:color w:val="FF0000"/>
                      <w:szCs w:val="21"/>
                    </w:rPr>
                    <w:t>贡献值</w:t>
                  </w:r>
                </w:p>
              </w:tc>
              <w:tc>
                <w:tcPr>
                  <w:tcW w:w="1081" w:type="dxa"/>
                  <w:noWrap w:val="0"/>
                  <w:vAlign w:val="center"/>
                </w:tcPr>
                <w:p>
                  <w:pPr>
                    <w:adjustRightInd w:val="0"/>
                    <w:snapToGrid w:val="0"/>
                    <w:jc w:val="center"/>
                    <w:rPr>
                      <w:b/>
                      <w:color w:val="FF0000"/>
                      <w:szCs w:val="21"/>
                    </w:rPr>
                  </w:pPr>
                  <w:r>
                    <w:rPr>
                      <w:rFonts w:hint="eastAsia"/>
                      <w:b/>
                      <w:color w:val="FF0000"/>
                      <w:szCs w:val="21"/>
                    </w:rPr>
                    <w:t>预测值</w:t>
                  </w:r>
                </w:p>
              </w:tc>
              <w:tc>
                <w:tcPr>
                  <w:tcW w:w="1177" w:type="dxa"/>
                  <w:noWrap w:val="0"/>
                  <w:vAlign w:val="center"/>
                </w:tcPr>
                <w:p>
                  <w:pPr>
                    <w:adjustRightInd w:val="0"/>
                    <w:snapToGrid w:val="0"/>
                    <w:jc w:val="center"/>
                    <w:rPr>
                      <w:b/>
                      <w:color w:val="FF0000"/>
                      <w:szCs w:val="21"/>
                    </w:rPr>
                  </w:pPr>
                  <w:r>
                    <w:rPr>
                      <w:rFonts w:hint="eastAsia"/>
                      <w:b/>
                      <w:color w:val="FF0000"/>
                      <w:szCs w:val="21"/>
                    </w:rPr>
                    <w:t>达标情况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restart"/>
                  <w:noWrap w:val="0"/>
                  <w:vAlign w:val="center"/>
                </w:tcPr>
                <w:p>
                  <w:pPr>
                    <w:adjustRightInd w:val="0"/>
                    <w:snapToGrid w:val="0"/>
                    <w:jc w:val="center"/>
                    <w:rPr>
                      <w:color w:val="FF0000"/>
                      <w:szCs w:val="21"/>
                    </w:rPr>
                  </w:pPr>
                  <w:r>
                    <w:rPr>
                      <w:rFonts w:hint="eastAsia"/>
                      <w:bCs/>
                      <w:color w:val="FF0000"/>
                      <w:szCs w:val="21"/>
                      <w:lang w:eastAsia="zh-CN"/>
                    </w:rPr>
                    <w:t>凤凰上镜小区</w:t>
                  </w:r>
                </w:p>
              </w:tc>
              <w:tc>
                <w:tcPr>
                  <w:tcW w:w="1434" w:type="dxa"/>
                  <w:vMerge w:val="restart"/>
                  <w:noWrap w:val="0"/>
                  <w:vAlign w:val="center"/>
                </w:tcPr>
                <w:p>
                  <w:pPr>
                    <w:adjustRightInd w:val="0"/>
                    <w:snapToGrid w:val="0"/>
                    <w:jc w:val="center"/>
                    <w:rPr>
                      <w:color w:val="FF0000"/>
                      <w:szCs w:val="21"/>
                    </w:rPr>
                  </w:pPr>
                  <w:r>
                    <w:rPr>
                      <w:rFonts w:hint="eastAsia"/>
                      <w:color w:val="FF0000"/>
                      <w:szCs w:val="21"/>
                    </w:rPr>
                    <w:t>第一排1层</w:t>
                  </w:r>
                </w:p>
              </w:tc>
              <w:tc>
                <w:tcPr>
                  <w:tcW w:w="1581" w:type="dxa"/>
                  <w:noWrap w:val="0"/>
                  <w:vAlign w:val="center"/>
                </w:tcPr>
                <w:p>
                  <w:pPr>
                    <w:adjustRightInd w:val="0"/>
                    <w:snapToGrid w:val="0"/>
                    <w:jc w:val="center"/>
                    <w:rPr>
                      <w:color w:val="FF0000"/>
                      <w:szCs w:val="21"/>
                    </w:rPr>
                  </w:pPr>
                  <w:r>
                    <w:rPr>
                      <w:rFonts w:hint="eastAsia"/>
                      <w:color w:val="FF0000"/>
                      <w:szCs w:val="21"/>
                    </w:rPr>
                    <w:t>昼间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48.8</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45.81</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50.62</w:t>
                  </w:r>
                </w:p>
              </w:tc>
              <w:tc>
                <w:tcPr>
                  <w:tcW w:w="1177" w:type="dxa"/>
                  <w:noWrap w:val="0"/>
                  <w:vAlign w:val="center"/>
                </w:tcPr>
                <w:p>
                  <w:pPr>
                    <w:adjustRightInd w:val="0"/>
                    <w:snapToGrid w:val="0"/>
                    <w:jc w:val="center"/>
                    <w:rPr>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909" w:type="dxa"/>
                  <w:vMerge w:val="continue"/>
                  <w:noWrap w:val="0"/>
                  <w:vAlign w:val="center"/>
                </w:tcPr>
                <w:p>
                  <w:pPr>
                    <w:widowControl/>
                    <w:jc w:val="left"/>
                    <w:rPr>
                      <w:color w:val="FF0000"/>
                      <w:szCs w:val="21"/>
                    </w:rPr>
                  </w:pPr>
                </w:p>
              </w:tc>
              <w:tc>
                <w:tcPr>
                  <w:tcW w:w="1434" w:type="dxa"/>
                  <w:vMerge w:val="continue"/>
                  <w:noWrap w:val="0"/>
                  <w:vAlign w:val="center"/>
                </w:tcPr>
                <w:p>
                  <w:pPr>
                    <w:widowControl/>
                    <w:jc w:val="left"/>
                    <w:rPr>
                      <w:color w:val="FF0000"/>
                      <w:szCs w:val="21"/>
                    </w:rPr>
                  </w:pPr>
                </w:p>
              </w:tc>
              <w:tc>
                <w:tcPr>
                  <w:tcW w:w="1581" w:type="dxa"/>
                  <w:noWrap w:val="0"/>
                  <w:vAlign w:val="center"/>
                </w:tcPr>
                <w:p>
                  <w:pPr>
                    <w:adjustRightInd w:val="0"/>
                    <w:snapToGrid w:val="0"/>
                    <w:jc w:val="center"/>
                    <w:rPr>
                      <w:color w:val="FF0000"/>
                      <w:szCs w:val="21"/>
                    </w:rPr>
                  </w:pPr>
                  <w:r>
                    <w:rPr>
                      <w:rFonts w:hint="eastAsia"/>
                      <w:color w:val="FF0000"/>
                      <w:szCs w:val="21"/>
                    </w:rPr>
                    <w:t>夜间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36.6</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39.53</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41.32</w:t>
                  </w:r>
                </w:p>
              </w:tc>
              <w:tc>
                <w:tcPr>
                  <w:tcW w:w="1177" w:type="dxa"/>
                  <w:noWrap w:val="0"/>
                  <w:vAlign w:val="center"/>
                </w:tcPr>
                <w:p>
                  <w:pPr>
                    <w:adjustRightInd w:val="0"/>
                    <w:snapToGrid w:val="0"/>
                    <w:jc w:val="center"/>
                    <w:rPr>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42" w:hRule="atLeast"/>
                <w:jc w:val="center"/>
              </w:trPr>
              <w:tc>
                <w:tcPr>
                  <w:tcW w:w="909" w:type="dxa"/>
                  <w:vMerge w:val="continue"/>
                  <w:noWrap w:val="0"/>
                  <w:vAlign w:val="center"/>
                </w:tcPr>
                <w:p>
                  <w:pPr>
                    <w:widowControl/>
                    <w:jc w:val="left"/>
                    <w:rPr>
                      <w:color w:val="FF0000"/>
                      <w:szCs w:val="21"/>
                    </w:rPr>
                  </w:pPr>
                </w:p>
              </w:tc>
              <w:tc>
                <w:tcPr>
                  <w:tcW w:w="1434" w:type="dxa"/>
                  <w:vMerge w:val="restart"/>
                  <w:noWrap w:val="0"/>
                  <w:vAlign w:val="center"/>
                </w:tcPr>
                <w:p>
                  <w:pPr>
                    <w:adjustRightInd w:val="0"/>
                    <w:snapToGrid w:val="0"/>
                    <w:jc w:val="center"/>
                    <w:rPr>
                      <w:color w:val="FF0000"/>
                      <w:szCs w:val="21"/>
                    </w:rPr>
                  </w:pPr>
                  <w:r>
                    <w:rPr>
                      <w:rFonts w:hint="eastAsia"/>
                      <w:color w:val="FF0000"/>
                      <w:szCs w:val="21"/>
                    </w:rPr>
                    <w:t>第一排3层</w:t>
                  </w:r>
                </w:p>
              </w:tc>
              <w:tc>
                <w:tcPr>
                  <w:tcW w:w="1581" w:type="dxa"/>
                  <w:noWrap w:val="0"/>
                  <w:vAlign w:val="center"/>
                </w:tcPr>
                <w:p>
                  <w:pPr>
                    <w:adjustRightInd w:val="0"/>
                    <w:snapToGrid w:val="0"/>
                    <w:jc w:val="center"/>
                    <w:rPr>
                      <w:color w:val="FF0000"/>
                      <w:szCs w:val="21"/>
                    </w:rPr>
                  </w:pPr>
                  <w:r>
                    <w:rPr>
                      <w:rFonts w:hint="eastAsia"/>
                      <w:color w:val="FF0000"/>
                      <w:szCs w:val="21"/>
                    </w:rPr>
                    <w:t>昼间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48.2</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48.72</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51.51</w:t>
                  </w:r>
                </w:p>
              </w:tc>
              <w:tc>
                <w:tcPr>
                  <w:tcW w:w="1177" w:type="dxa"/>
                  <w:noWrap w:val="0"/>
                  <w:vAlign w:val="center"/>
                </w:tcPr>
                <w:p>
                  <w:pPr>
                    <w:adjustRightInd w:val="0"/>
                    <w:snapToGrid w:val="0"/>
                    <w:jc w:val="center"/>
                    <w:rPr>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continue"/>
                  <w:noWrap w:val="0"/>
                  <w:vAlign w:val="center"/>
                </w:tcPr>
                <w:p>
                  <w:pPr>
                    <w:widowControl/>
                    <w:jc w:val="left"/>
                    <w:rPr>
                      <w:color w:val="FF0000"/>
                      <w:szCs w:val="21"/>
                    </w:rPr>
                  </w:pPr>
                </w:p>
              </w:tc>
              <w:tc>
                <w:tcPr>
                  <w:tcW w:w="1581" w:type="dxa"/>
                  <w:noWrap w:val="0"/>
                  <w:vAlign w:val="center"/>
                </w:tcPr>
                <w:p>
                  <w:pPr>
                    <w:adjustRightInd w:val="0"/>
                    <w:snapToGrid w:val="0"/>
                    <w:jc w:val="center"/>
                    <w:rPr>
                      <w:color w:val="FF0000"/>
                      <w:szCs w:val="21"/>
                    </w:rPr>
                  </w:pPr>
                  <w:r>
                    <w:rPr>
                      <w:rFonts w:hint="eastAsia"/>
                      <w:color w:val="FF0000"/>
                      <w:szCs w:val="21"/>
                    </w:rPr>
                    <w:t>夜间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36.0</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42.44</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43.38</w:t>
                  </w:r>
                </w:p>
              </w:tc>
              <w:tc>
                <w:tcPr>
                  <w:tcW w:w="1177" w:type="dxa"/>
                  <w:noWrap w:val="0"/>
                  <w:vAlign w:val="center"/>
                </w:tcPr>
                <w:p>
                  <w:pPr>
                    <w:adjustRightInd w:val="0"/>
                    <w:snapToGrid w:val="0"/>
                    <w:jc w:val="center"/>
                    <w:rPr>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restart"/>
                  <w:noWrap w:val="0"/>
                  <w:vAlign w:val="center"/>
                </w:tcPr>
                <w:p>
                  <w:pPr>
                    <w:adjustRightInd w:val="0"/>
                    <w:snapToGrid w:val="0"/>
                    <w:jc w:val="center"/>
                    <w:rPr>
                      <w:color w:val="FF0000"/>
                      <w:szCs w:val="21"/>
                    </w:rPr>
                  </w:pPr>
                  <w:r>
                    <w:rPr>
                      <w:rFonts w:hint="eastAsia"/>
                      <w:color w:val="FF0000"/>
                      <w:szCs w:val="21"/>
                    </w:rPr>
                    <w:t>第一排5层</w:t>
                  </w:r>
                </w:p>
              </w:tc>
              <w:tc>
                <w:tcPr>
                  <w:tcW w:w="1581" w:type="dxa"/>
                  <w:noWrap w:val="0"/>
                  <w:vAlign w:val="center"/>
                </w:tcPr>
                <w:p>
                  <w:pPr>
                    <w:adjustRightInd w:val="0"/>
                    <w:snapToGrid w:val="0"/>
                    <w:jc w:val="center"/>
                    <w:rPr>
                      <w:color w:val="FF0000"/>
                      <w:szCs w:val="21"/>
                    </w:rPr>
                  </w:pPr>
                  <w:r>
                    <w:rPr>
                      <w:rFonts w:hint="eastAsia"/>
                      <w:color w:val="FF0000"/>
                      <w:szCs w:val="21"/>
                    </w:rPr>
                    <w:t>昼间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47.5</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50.03</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52.07</w:t>
                  </w:r>
                </w:p>
              </w:tc>
              <w:tc>
                <w:tcPr>
                  <w:tcW w:w="1177" w:type="dxa"/>
                  <w:noWrap w:val="0"/>
                  <w:vAlign w:val="center"/>
                </w:tcPr>
                <w:p>
                  <w:pPr>
                    <w:adjustRightInd w:val="0"/>
                    <w:snapToGrid w:val="0"/>
                    <w:jc w:val="center"/>
                    <w:rPr>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continue"/>
                  <w:noWrap w:val="0"/>
                  <w:vAlign w:val="center"/>
                </w:tcPr>
                <w:p>
                  <w:pPr>
                    <w:widowControl/>
                    <w:jc w:val="left"/>
                    <w:rPr>
                      <w:color w:val="FF0000"/>
                      <w:szCs w:val="21"/>
                    </w:rPr>
                  </w:pPr>
                </w:p>
              </w:tc>
              <w:tc>
                <w:tcPr>
                  <w:tcW w:w="1581" w:type="dxa"/>
                  <w:noWrap w:val="0"/>
                  <w:vAlign w:val="center"/>
                </w:tcPr>
                <w:p>
                  <w:pPr>
                    <w:adjustRightInd w:val="0"/>
                    <w:snapToGrid w:val="0"/>
                    <w:jc w:val="center"/>
                    <w:rPr>
                      <w:color w:val="FF0000"/>
                      <w:szCs w:val="21"/>
                    </w:rPr>
                  </w:pPr>
                  <w:r>
                    <w:rPr>
                      <w:rFonts w:hint="eastAsia"/>
                      <w:color w:val="FF0000"/>
                      <w:szCs w:val="21"/>
                    </w:rPr>
                    <w:t>夜间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36.5</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43.75</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44.56</w:t>
                  </w:r>
                </w:p>
              </w:tc>
              <w:tc>
                <w:tcPr>
                  <w:tcW w:w="1177" w:type="dxa"/>
                  <w:noWrap w:val="0"/>
                  <w:vAlign w:val="center"/>
                </w:tcPr>
                <w:p>
                  <w:pPr>
                    <w:adjustRightInd w:val="0"/>
                    <w:snapToGrid w:val="0"/>
                    <w:jc w:val="center"/>
                    <w:rPr>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restart"/>
                  <w:noWrap w:val="0"/>
                  <w:vAlign w:val="center"/>
                </w:tcPr>
                <w:p>
                  <w:pPr>
                    <w:adjustRightInd w:val="0"/>
                    <w:snapToGrid w:val="0"/>
                    <w:jc w:val="center"/>
                    <w:rPr>
                      <w:color w:val="FF0000"/>
                      <w:szCs w:val="21"/>
                    </w:rPr>
                  </w:pPr>
                  <w:r>
                    <w:rPr>
                      <w:rFonts w:hint="eastAsia"/>
                      <w:color w:val="FF0000"/>
                      <w:szCs w:val="21"/>
                    </w:rPr>
                    <w:t>第一排7层</w:t>
                  </w:r>
                </w:p>
              </w:tc>
              <w:tc>
                <w:tcPr>
                  <w:tcW w:w="1581" w:type="dxa"/>
                  <w:noWrap w:val="0"/>
                  <w:vAlign w:val="center"/>
                </w:tcPr>
                <w:p>
                  <w:pPr>
                    <w:adjustRightInd w:val="0"/>
                    <w:snapToGrid w:val="0"/>
                    <w:jc w:val="center"/>
                    <w:rPr>
                      <w:color w:val="FF0000"/>
                      <w:szCs w:val="21"/>
                    </w:rPr>
                  </w:pPr>
                  <w:r>
                    <w:rPr>
                      <w:rFonts w:hint="eastAsia"/>
                      <w:color w:val="FF0000"/>
                      <w:szCs w:val="21"/>
                    </w:rPr>
                    <w:t>昼间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47.8</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49.84</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52.01</w:t>
                  </w:r>
                </w:p>
              </w:tc>
              <w:tc>
                <w:tcPr>
                  <w:tcW w:w="1177" w:type="dxa"/>
                  <w:noWrap w:val="0"/>
                  <w:vAlign w:val="center"/>
                </w:tcPr>
                <w:p>
                  <w:pPr>
                    <w:adjustRightInd w:val="0"/>
                    <w:snapToGrid w:val="0"/>
                    <w:jc w:val="center"/>
                    <w:rPr>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continue"/>
                  <w:noWrap w:val="0"/>
                  <w:vAlign w:val="center"/>
                </w:tcPr>
                <w:p>
                  <w:pPr>
                    <w:widowControl/>
                    <w:jc w:val="left"/>
                    <w:rPr>
                      <w:color w:val="FF0000"/>
                      <w:szCs w:val="21"/>
                    </w:rPr>
                  </w:pPr>
                </w:p>
              </w:tc>
              <w:tc>
                <w:tcPr>
                  <w:tcW w:w="1581" w:type="dxa"/>
                  <w:noWrap w:val="0"/>
                  <w:vAlign w:val="center"/>
                </w:tcPr>
                <w:p>
                  <w:pPr>
                    <w:adjustRightInd w:val="0"/>
                    <w:snapToGrid w:val="0"/>
                    <w:jc w:val="center"/>
                    <w:rPr>
                      <w:color w:val="FF0000"/>
                      <w:szCs w:val="21"/>
                    </w:rPr>
                  </w:pPr>
                  <w:r>
                    <w:rPr>
                      <w:rFonts w:hint="eastAsia"/>
                      <w:color w:val="FF0000"/>
                      <w:szCs w:val="21"/>
                    </w:rPr>
                    <w:t>夜间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36.3</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43.56</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44.36</w:t>
                  </w:r>
                </w:p>
              </w:tc>
              <w:tc>
                <w:tcPr>
                  <w:tcW w:w="1177" w:type="dxa"/>
                  <w:noWrap w:val="0"/>
                  <w:vAlign w:val="center"/>
                </w:tcPr>
                <w:p>
                  <w:pPr>
                    <w:adjustRightInd w:val="0"/>
                    <w:snapToGrid w:val="0"/>
                    <w:jc w:val="center"/>
                    <w:rPr>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restart"/>
                  <w:noWrap w:val="0"/>
                  <w:vAlign w:val="center"/>
                </w:tcPr>
                <w:p>
                  <w:pPr>
                    <w:adjustRightInd w:val="0"/>
                    <w:snapToGrid w:val="0"/>
                    <w:jc w:val="center"/>
                    <w:rPr>
                      <w:color w:val="FF0000"/>
                      <w:szCs w:val="21"/>
                    </w:rPr>
                  </w:pPr>
                  <w:r>
                    <w:rPr>
                      <w:rFonts w:hint="eastAsia"/>
                      <w:color w:val="FF0000"/>
                      <w:szCs w:val="21"/>
                    </w:rPr>
                    <w:t>第一排9层</w:t>
                  </w:r>
                </w:p>
              </w:tc>
              <w:tc>
                <w:tcPr>
                  <w:tcW w:w="1581" w:type="dxa"/>
                  <w:noWrap w:val="0"/>
                  <w:vAlign w:val="center"/>
                </w:tcPr>
                <w:p>
                  <w:pPr>
                    <w:adjustRightInd w:val="0"/>
                    <w:snapToGrid w:val="0"/>
                    <w:jc w:val="center"/>
                    <w:rPr>
                      <w:color w:val="FF0000"/>
                      <w:szCs w:val="21"/>
                    </w:rPr>
                  </w:pPr>
                  <w:r>
                    <w:rPr>
                      <w:rFonts w:hint="eastAsia"/>
                      <w:color w:val="FF0000"/>
                      <w:szCs w:val="21"/>
                    </w:rPr>
                    <w:t>昼间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48.1</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49.58</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51.96</w:t>
                  </w:r>
                </w:p>
              </w:tc>
              <w:tc>
                <w:tcPr>
                  <w:tcW w:w="1177" w:type="dxa"/>
                  <w:noWrap w:val="0"/>
                  <w:vAlign w:val="center"/>
                </w:tcPr>
                <w:p>
                  <w:pPr>
                    <w:adjustRightInd w:val="0"/>
                    <w:snapToGrid w:val="0"/>
                    <w:jc w:val="center"/>
                    <w:rPr>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continue"/>
                  <w:noWrap w:val="0"/>
                  <w:vAlign w:val="center"/>
                </w:tcPr>
                <w:p>
                  <w:pPr>
                    <w:widowControl/>
                    <w:jc w:val="left"/>
                    <w:rPr>
                      <w:color w:val="FF0000"/>
                      <w:szCs w:val="21"/>
                    </w:rPr>
                  </w:pPr>
                </w:p>
              </w:tc>
              <w:tc>
                <w:tcPr>
                  <w:tcW w:w="1581" w:type="dxa"/>
                  <w:noWrap w:val="0"/>
                  <w:vAlign w:val="center"/>
                </w:tcPr>
                <w:p>
                  <w:pPr>
                    <w:adjustRightInd w:val="0"/>
                    <w:snapToGrid w:val="0"/>
                    <w:jc w:val="center"/>
                    <w:rPr>
                      <w:color w:val="FF0000"/>
                      <w:szCs w:val="21"/>
                    </w:rPr>
                  </w:pPr>
                  <w:r>
                    <w:rPr>
                      <w:rFonts w:hint="eastAsia"/>
                      <w:color w:val="FF0000"/>
                      <w:szCs w:val="21"/>
                    </w:rPr>
                    <w:t>夜间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36.7</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43.30</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44.25</w:t>
                  </w:r>
                </w:p>
              </w:tc>
              <w:tc>
                <w:tcPr>
                  <w:tcW w:w="1177" w:type="dxa"/>
                  <w:noWrap w:val="0"/>
                  <w:vAlign w:val="center"/>
                </w:tcPr>
                <w:p>
                  <w:pPr>
                    <w:adjustRightInd w:val="0"/>
                    <w:snapToGrid w:val="0"/>
                    <w:jc w:val="center"/>
                    <w:rPr>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restart"/>
                  <w:noWrap w:val="0"/>
                  <w:vAlign w:val="center"/>
                </w:tcPr>
                <w:p>
                  <w:pPr>
                    <w:widowControl/>
                    <w:jc w:val="left"/>
                    <w:rPr>
                      <w:color w:val="FF0000"/>
                      <w:szCs w:val="21"/>
                    </w:rPr>
                  </w:pPr>
                  <w:r>
                    <w:rPr>
                      <w:rFonts w:hint="eastAsia"/>
                      <w:color w:val="FF0000"/>
                      <w:szCs w:val="21"/>
                    </w:rPr>
                    <w:t>第一排</w:t>
                  </w:r>
                  <w:r>
                    <w:rPr>
                      <w:rFonts w:hint="eastAsia"/>
                      <w:color w:val="FF0000"/>
                      <w:szCs w:val="21"/>
                      <w:lang w:val="en-US" w:eastAsia="zh-CN"/>
                    </w:rPr>
                    <w:t>11</w:t>
                  </w:r>
                  <w:r>
                    <w:rPr>
                      <w:rFonts w:hint="eastAsia"/>
                      <w:color w:val="FF0000"/>
                      <w:szCs w:val="21"/>
                    </w:rPr>
                    <w:t>层</w:t>
                  </w:r>
                </w:p>
              </w:tc>
              <w:tc>
                <w:tcPr>
                  <w:tcW w:w="1581" w:type="dxa"/>
                  <w:noWrap w:val="0"/>
                  <w:vAlign w:val="center"/>
                </w:tcPr>
                <w:p>
                  <w:pPr>
                    <w:adjustRightInd w:val="0"/>
                    <w:snapToGrid w:val="0"/>
                    <w:jc w:val="center"/>
                    <w:rPr>
                      <w:rFonts w:hint="eastAsia"/>
                      <w:color w:val="FF0000"/>
                      <w:szCs w:val="21"/>
                    </w:rPr>
                  </w:pPr>
                  <w:r>
                    <w:rPr>
                      <w:rFonts w:hint="eastAsia"/>
                      <w:color w:val="FF0000"/>
                      <w:szCs w:val="21"/>
                    </w:rPr>
                    <w:t>昼间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46.8</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49.28</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51.24</w:t>
                  </w:r>
                </w:p>
              </w:tc>
              <w:tc>
                <w:tcPr>
                  <w:tcW w:w="1177" w:type="dxa"/>
                  <w:noWrap w:val="0"/>
                  <w:vAlign w:val="center"/>
                </w:tcPr>
                <w:p>
                  <w:pPr>
                    <w:adjustRightInd w:val="0"/>
                    <w:snapToGrid w:val="0"/>
                    <w:jc w:val="center"/>
                    <w:rPr>
                      <w:rFonts w:hint="eastAsia"/>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continue"/>
                  <w:noWrap w:val="0"/>
                  <w:vAlign w:val="center"/>
                </w:tcPr>
                <w:p>
                  <w:pPr>
                    <w:widowControl/>
                    <w:jc w:val="left"/>
                    <w:rPr>
                      <w:color w:val="FF0000"/>
                      <w:szCs w:val="21"/>
                    </w:rPr>
                  </w:pPr>
                </w:p>
              </w:tc>
              <w:tc>
                <w:tcPr>
                  <w:tcW w:w="1581" w:type="dxa"/>
                  <w:noWrap w:val="0"/>
                  <w:vAlign w:val="center"/>
                </w:tcPr>
                <w:p>
                  <w:pPr>
                    <w:adjustRightInd w:val="0"/>
                    <w:snapToGrid w:val="0"/>
                    <w:jc w:val="center"/>
                    <w:rPr>
                      <w:rFonts w:hint="eastAsia"/>
                      <w:color w:val="FF0000"/>
                      <w:szCs w:val="21"/>
                    </w:rPr>
                  </w:pPr>
                  <w:r>
                    <w:rPr>
                      <w:rFonts w:hint="eastAsia"/>
                      <w:color w:val="FF0000"/>
                      <w:szCs w:val="21"/>
                    </w:rPr>
                    <w:t>夜间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36.9</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43.00</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44.02</w:t>
                  </w:r>
                </w:p>
              </w:tc>
              <w:tc>
                <w:tcPr>
                  <w:tcW w:w="1177" w:type="dxa"/>
                  <w:noWrap w:val="0"/>
                  <w:vAlign w:val="center"/>
                </w:tcPr>
                <w:p>
                  <w:pPr>
                    <w:adjustRightInd w:val="0"/>
                    <w:snapToGrid w:val="0"/>
                    <w:jc w:val="center"/>
                    <w:rPr>
                      <w:rFonts w:hint="eastAsia"/>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restart"/>
                  <w:noWrap w:val="0"/>
                  <w:vAlign w:val="center"/>
                </w:tcPr>
                <w:p>
                  <w:pPr>
                    <w:widowControl/>
                    <w:jc w:val="left"/>
                    <w:rPr>
                      <w:color w:val="FF0000"/>
                      <w:szCs w:val="21"/>
                    </w:rPr>
                  </w:pPr>
                  <w:r>
                    <w:rPr>
                      <w:rFonts w:hint="eastAsia"/>
                      <w:color w:val="FF0000"/>
                      <w:szCs w:val="21"/>
                    </w:rPr>
                    <w:t>第一排</w:t>
                  </w:r>
                  <w:r>
                    <w:rPr>
                      <w:rFonts w:hint="eastAsia"/>
                      <w:color w:val="FF0000"/>
                      <w:szCs w:val="21"/>
                      <w:lang w:val="en-US" w:eastAsia="zh-CN"/>
                    </w:rPr>
                    <w:t>13</w:t>
                  </w:r>
                  <w:r>
                    <w:rPr>
                      <w:rFonts w:hint="eastAsia"/>
                      <w:color w:val="FF0000"/>
                      <w:szCs w:val="21"/>
                    </w:rPr>
                    <w:t>层</w:t>
                  </w:r>
                </w:p>
              </w:tc>
              <w:tc>
                <w:tcPr>
                  <w:tcW w:w="1581" w:type="dxa"/>
                  <w:noWrap w:val="0"/>
                  <w:vAlign w:val="center"/>
                </w:tcPr>
                <w:p>
                  <w:pPr>
                    <w:adjustRightInd w:val="0"/>
                    <w:snapToGrid w:val="0"/>
                    <w:jc w:val="center"/>
                    <w:rPr>
                      <w:rFonts w:hint="eastAsia"/>
                      <w:color w:val="FF0000"/>
                      <w:szCs w:val="21"/>
                    </w:rPr>
                  </w:pPr>
                  <w:r>
                    <w:rPr>
                      <w:rFonts w:hint="eastAsia"/>
                      <w:color w:val="FF0000"/>
                      <w:szCs w:val="21"/>
                    </w:rPr>
                    <w:t>昼间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46.7</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48.96</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51.06</w:t>
                  </w:r>
                </w:p>
              </w:tc>
              <w:tc>
                <w:tcPr>
                  <w:tcW w:w="1177" w:type="dxa"/>
                  <w:noWrap w:val="0"/>
                  <w:vAlign w:val="center"/>
                </w:tcPr>
                <w:p>
                  <w:pPr>
                    <w:adjustRightInd w:val="0"/>
                    <w:snapToGrid w:val="0"/>
                    <w:jc w:val="center"/>
                    <w:rPr>
                      <w:rFonts w:hint="eastAsia"/>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continue"/>
                  <w:noWrap w:val="0"/>
                  <w:vAlign w:val="center"/>
                </w:tcPr>
                <w:p>
                  <w:pPr>
                    <w:widowControl/>
                    <w:jc w:val="left"/>
                    <w:rPr>
                      <w:color w:val="FF0000"/>
                      <w:szCs w:val="21"/>
                    </w:rPr>
                  </w:pPr>
                </w:p>
              </w:tc>
              <w:tc>
                <w:tcPr>
                  <w:tcW w:w="1581" w:type="dxa"/>
                  <w:noWrap w:val="0"/>
                  <w:vAlign w:val="center"/>
                </w:tcPr>
                <w:p>
                  <w:pPr>
                    <w:adjustRightInd w:val="0"/>
                    <w:snapToGrid w:val="0"/>
                    <w:jc w:val="center"/>
                    <w:rPr>
                      <w:rFonts w:hint="eastAsia"/>
                      <w:color w:val="FF0000"/>
                      <w:szCs w:val="21"/>
                    </w:rPr>
                  </w:pPr>
                  <w:r>
                    <w:rPr>
                      <w:rFonts w:hint="eastAsia"/>
                      <w:color w:val="FF0000"/>
                      <w:szCs w:val="21"/>
                    </w:rPr>
                    <w:t>夜间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36.4</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42.68</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43.65</w:t>
                  </w:r>
                </w:p>
              </w:tc>
              <w:tc>
                <w:tcPr>
                  <w:tcW w:w="1177" w:type="dxa"/>
                  <w:noWrap w:val="0"/>
                  <w:vAlign w:val="center"/>
                </w:tcPr>
                <w:p>
                  <w:pPr>
                    <w:adjustRightInd w:val="0"/>
                    <w:snapToGrid w:val="0"/>
                    <w:jc w:val="center"/>
                    <w:rPr>
                      <w:rFonts w:hint="eastAsia"/>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restart"/>
                  <w:noWrap w:val="0"/>
                  <w:vAlign w:val="center"/>
                </w:tcPr>
                <w:p>
                  <w:pPr>
                    <w:widowControl/>
                    <w:jc w:val="left"/>
                    <w:rPr>
                      <w:color w:val="FF0000"/>
                      <w:szCs w:val="21"/>
                    </w:rPr>
                  </w:pPr>
                  <w:r>
                    <w:rPr>
                      <w:rFonts w:hint="eastAsia"/>
                      <w:color w:val="FF0000"/>
                      <w:szCs w:val="21"/>
                    </w:rPr>
                    <w:t>第一排</w:t>
                  </w:r>
                  <w:r>
                    <w:rPr>
                      <w:rFonts w:hint="eastAsia"/>
                      <w:color w:val="FF0000"/>
                      <w:szCs w:val="21"/>
                      <w:lang w:val="en-US" w:eastAsia="zh-CN"/>
                    </w:rPr>
                    <w:t>15</w:t>
                  </w:r>
                  <w:r>
                    <w:rPr>
                      <w:rFonts w:hint="eastAsia"/>
                      <w:color w:val="FF0000"/>
                      <w:szCs w:val="21"/>
                    </w:rPr>
                    <w:t>层</w:t>
                  </w:r>
                </w:p>
              </w:tc>
              <w:tc>
                <w:tcPr>
                  <w:tcW w:w="1581" w:type="dxa"/>
                  <w:noWrap w:val="0"/>
                  <w:vAlign w:val="center"/>
                </w:tcPr>
                <w:p>
                  <w:pPr>
                    <w:adjustRightInd w:val="0"/>
                    <w:snapToGrid w:val="0"/>
                    <w:jc w:val="center"/>
                    <w:rPr>
                      <w:rFonts w:hint="eastAsia"/>
                      <w:color w:val="FF0000"/>
                      <w:szCs w:val="21"/>
                    </w:rPr>
                  </w:pPr>
                  <w:r>
                    <w:rPr>
                      <w:rFonts w:hint="eastAsia"/>
                      <w:color w:val="FF0000"/>
                      <w:szCs w:val="21"/>
                    </w:rPr>
                    <w:t>昼间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48.1</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48.62</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51.40</w:t>
                  </w:r>
                </w:p>
              </w:tc>
              <w:tc>
                <w:tcPr>
                  <w:tcW w:w="1177" w:type="dxa"/>
                  <w:noWrap w:val="0"/>
                  <w:vAlign w:val="center"/>
                </w:tcPr>
                <w:p>
                  <w:pPr>
                    <w:adjustRightInd w:val="0"/>
                    <w:snapToGrid w:val="0"/>
                    <w:jc w:val="center"/>
                    <w:rPr>
                      <w:rFonts w:hint="eastAsia"/>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continue"/>
                  <w:noWrap w:val="0"/>
                  <w:vAlign w:val="center"/>
                </w:tcPr>
                <w:p>
                  <w:pPr>
                    <w:widowControl/>
                    <w:jc w:val="left"/>
                    <w:rPr>
                      <w:color w:val="FF0000"/>
                      <w:szCs w:val="21"/>
                    </w:rPr>
                  </w:pPr>
                </w:p>
              </w:tc>
              <w:tc>
                <w:tcPr>
                  <w:tcW w:w="1581" w:type="dxa"/>
                  <w:noWrap w:val="0"/>
                  <w:vAlign w:val="center"/>
                </w:tcPr>
                <w:p>
                  <w:pPr>
                    <w:adjustRightInd w:val="0"/>
                    <w:snapToGrid w:val="0"/>
                    <w:jc w:val="center"/>
                    <w:rPr>
                      <w:rFonts w:hint="eastAsia"/>
                      <w:color w:val="FF0000"/>
                      <w:szCs w:val="21"/>
                    </w:rPr>
                  </w:pPr>
                  <w:r>
                    <w:rPr>
                      <w:rFonts w:hint="eastAsia"/>
                      <w:color w:val="FF0000"/>
                      <w:szCs w:val="21"/>
                    </w:rPr>
                    <w:t>夜间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38.9</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42.34</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44.07</w:t>
                  </w:r>
                </w:p>
              </w:tc>
              <w:tc>
                <w:tcPr>
                  <w:tcW w:w="1177" w:type="dxa"/>
                  <w:noWrap w:val="0"/>
                  <w:vAlign w:val="center"/>
                </w:tcPr>
                <w:p>
                  <w:pPr>
                    <w:adjustRightInd w:val="0"/>
                    <w:snapToGrid w:val="0"/>
                    <w:jc w:val="center"/>
                    <w:rPr>
                      <w:rFonts w:hint="eastAsia"/>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restart"/>
                  <w:noWrap w:val="0"/>
                  <w:vAlign w:val="center"/>
                </w:tcPr>
                <w:p>
                  <w:pPr>
                    <w:widowControl/>
                    <w:jc w:val="left"/>
                    <w:rPr>
                      <w:color w:val="FF0000"/>
                      <w:szCs w:val="21"/>
                    </w:rPr>
                  </w:pPr>
                  <w:r>
                    <w:rPr>
                      <w:rFonts w:hint="eastAsia"/>
                      <w:color w:val="FF0000"/>
                      <w:szCs w:val="21"/>
                    </w:rPr>
                    <w:t>第一排</w:t>
                  </w:r>
                  <w:r>
                    <w:rPr>
                      <w:rFonts w:hint="eastAsia"/>
                      <w:color w:val="FF0000"/>
                      <w:szCs w:val="21"/>
                      <w:lang w:val="en-US" w:eastAsia="zh-CN"/>
                    </w:rPr>
                    <w:t>17</w:t>
                  </w:r>
                  <w:r>
                    <w:rPr>
                      <w:rFonts w:hint="eastAsia"/>
                      <w:color w:val="FF0000"/>
                      <w:szCs w:val="21"/>
                    </w:rPr>
                    <w:t>层</w:t>
                  </w:r>
                </w:p>
              </w:tc>
              <w:tc>
                <w:tcPr>
                  <w:tcW w:w="1581" w:type="dxa"/>
                  <w:noWrap w:val="0"/>
                  <w:vAlign w:val="center"/>
                </w:tcPr>
                <w:p>
                  <w:pPr>
                    <w:adjustRightInd w:val="0"/>
                    <w:snapToGrid w:val="0"/>
                    <w:jc w:val="center"/>
                    <w:rPr>
                      <w:rFonts w:hint="eastAsia"/>
                      <w:color w:val="FF0000"/>
                      <w:szCs w:val="21"/>
                    </w:rPr>
                  </w:pPr>
                  <w:r>
                    <w:rPr>
                      <w:rFonts w:hint="eastAsia"/>
                      <w:color w:val="FF0000"/>
                      <w:szCs w:val="21"/>
                    </w:rPr>
                    <w:t>昼间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47.9</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48.28</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51.12</w:t>
                  </w:r>
                </w:p>
              </w:tc>
              <w:tc>
                <w:tcPr>
                  <w:tcW w:w="1177" w:type="dxa"/>
                  <w:noWrap w:val="0"/>
                  <w:vAlign w:val="center"/>
                </w:tcPr>
                <w:p>
                  <w:pPr>
                    <w:adjustRightInd w:val="0"/>
                    <w:snapToGrid w:val="0"/>
                    <w:jc w:val="center"/>
                    <w:rPr>
                      <w:rFonts w:hint="eastAsia"/>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continue"/>
                  <w:noWrap w:val="0"/>
                  <w:vAlign w:val="center"/>
                </w:tcPr>
                <w:p>
                  <w:pPr>
                    <w:widowControl/>
                    <w:jc w:val="left"/>
                    <w:rPr>
                      <w:color w:val="FF0000"/>
                      <w:szCs w:val="21"/>
                    </w:rPr>
                  </w:pPr>
                </w:p>
              </w:tc>
              <w:tc>
                <w:tcPr>
                  <w:tcW w:w="1581" w:type="dxa"/>
                  <w:noWrap w:val="0"/>
                  <w:vAlign w:val="center"/>
                </w:tcPr>
                <w:p>
                  <w:pPr>
                    <w:adjustRightInd w:val="0"/>
                    <w:snapToGrid w:val="0"/>
                    <w:jc w:val="center"/>
                    <w:rPr>
                      <w:rFonts w:hint="eastAsia"/>
                      <w:color w:val="FF0000"/>
                      <w:szCs w:val="21"/>
                    </w:rPr>
                  </w:pPr>
                  <w:r>
                    <w:rPr>
                      <w:rFonts w:hint="eastAsia"/>
                      <w:color w:val="FF0000"/>
                      <w:szCs w:val="21"/>
                    </w:rPr>
                    <w:t>夜间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37.6</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42.00</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43.38</w:t>
                  </w:r>
                </w:p>
              </w:tc>
              <w:tc>
                <w:tcPr>
                  <w:tcW w:w="1177" w:type="dxa"/>
                  <w:noWrap w:val="0"/>
                  <w:vAlign w:val="center"/>
                </w:tcPr>
                <w:p>
                  <w:pPr>
                    <w:adjustRightInd w:val="0"/>
                    <w:snapToGrid w:val="0"/>
                    <w:jc w:val="center"/>
                    <w:rPr>
                      <w:rFonts w:hint="eastAsia"/>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restart"/>
                  <w:noWrap w:val="0"/>
                  <w:vAlign w:val="center"/>
                </w:tcPr>
                <w:p>
                  <w:pPr>
                    <w:widowControl/>
                    <w:jc w:val="left"/>
                    <w:rPr>
                      <w:color w:val="FF0000"/>
                      <w:szCs w:val="21"/>
                    </w:rPr>
                  </w:pPr>
                  <w:r>
                    <w:rPr>
                      <w:rFonts w:hint="eastAsia"/>
                      <w:color w:val="FF0000"/>
                      <w:szCs w:val="21"/>
                    </w:rPr>
                    <w:t>第一排</w:t>
                  </w:r>
                  <w:r>
                    <w:rPr>
                      <w:rFonts w:hint="eastAsia"/>
                      <w:color w:val="FF0000"/>
                      <w:szCs w:val="21"/>
                      <w:lang w:val="en-US" w:eastAsia="zh-CN"/>
                    </w:rPr>
                    <w:t>1</w:t>
                  </w:r>
                  <w:r>
                    <w:rPr>
                      <w:rFonts w:hint="eastAsia"/>
                      <w:color w:val="FF0000"/>
                      <w:szCs w:val="21"/>
                    </w:rPr>
                    <w:t>9层</w:t>
                  </w:r>
                </w:p>
              </w:tc>
              <w:tc>
                <w:tcPr>
                  <w:tcW w:w="1581" w:type="dxa"/>
                  <w:noWrap w:val="0"/>
                  <w:vAlign w:val="center"/>
                </w:tcPr>
                <w:p>
                  <w:pPr>
                    <w:adjustRightInd w:val="0"/>
                    <w:snapToGrid w:val="0"/>
                    <w:jc w:val="center"/>
                    <w:rPr>
                      <w:rFonts w:hint="eastAsia"/>
                      <w:color w:val="FF0000"/>
                      <w:szCs w:val="21"/>
                    </w:rPr>
                  </w:pPr>
                  <w:r>
                    <w:rPr>
                      <w:rFonts w:hint="eastAsia"/>
                      <w:color w:val="FF0000"/>
                      <w:szCs w:val="21"/>
                    </w:rPr>
                    <w:t>昼间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48.1</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47.94</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51.07</w:t>
                  </w:r>
                </w:p>
              </w:tc>
              <w:tc>
                <w:tcPr>
                  <w:tcW w:w="1177" w:type="dxa"/>
                  <w:noWrap w:val="0"/>
                  <w:vAlign w:val="center"/>
                </w:tcPr>
                <w:p>
                  <w:pPr>
                    <w:adjustRightInd w:val="0"/>
                    <w:snapToGrid w:val="0"/>
                    <w:jc w:val="center"/>
                    <w:rPr>
                      <w:rFonts w:hint="eastAsia"/>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continue"/>
                  <w:noWrap w:val="0"/>
                  <w:vAlign w:val="center"/>
                </w:tcPr>
                <w:p>
                  <w:pPr>
                    <w:widowControl/>
                    <w:jc w:val="left"/>
                    <w:rPr>
                      <w:color w:val="FF0000"/>
                      <w:szCs w:val="21"/>
                    </w:rPr>
                  </w:pPr>
                </w:p>
              </w:tc>
              <w:tc>
                <w:tcPr>
                  <w:tcW w:w="1581" w:type="dxa"/>
                  <w:noWrap w:val="0"/>
                  <w:vAlign w:val="center"/>
                </w:tcPr>
                <w:p>
                  <w:pPr>
                    <w:adjustRightInd w:val="0"/>
                    <w:snapToGrid w:val="0"/>
                    <w:jc w:val="center"/>
                    <w:rPr>
                      <w:rFonts w:hint="eastAsia"/>
                      <w:color w:val="FF0000"/>
                      <w:szCs w:val="21"/>
                    </w:rPr>
                  </w:pPr>
                  <w:r>
                    <w:rPr>
                      <w:rFonts w:hint="eastAsia"/>
                      <w:color w:val="FF0000"/>
                      <w:szCs w:val="21"/>
                    </w:rPr>
                    <w:t>夜间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37.0</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41.66</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42.93</w:t>
                  </w:r>
                </w:p>
              </w:tc>
              <w:tc>
                <w:tcPr>
                  <w:tcW w:w="1177" w:type="dxa"/>
                  <w:noWrap w:val="0"/>
                  <w:vAlign w:val="center"/>
                </w:tcPr>
                <w:p>
                  <w:pPr>
                    <w:adjustRightInd w:val="0"/>
                    <w:snapToGrid w:val="0"/>
                    <w:jc w:val="center"/>
                    <w:rPr>
                      <w:rFonts w:hint="eastAsia"/>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52" w:hRule="atLeast"/>
                <w:jc w:val="center"/>
              </w:trPr>
              <w:tc>
                <w:tcPr>
                  <w:tcW w:w="8276" w:type="dxa"/>
                  <w:gridSpan w:val="7"/>
                  <w:noWrap w:val="0"/>
                  <w:vAlign w:val="center"/>
                </w:tcPr>
                <w:p>
                  <w:pPr>
                    <w:adjustRightInd w:val="0"/>
                    <w:snapToGrid w:val="0"/>
                    <w:jc w:val="left"/>
                    <w:rPr>
                      <w:color w:val="FF0000"/>
                      <w:szCs w:val="21"/>
                    </w:rPr>
                  </w:pPr>
                  <w:r>
                    <w:rPr>
                      <w:rFonts w:hint="eastAsia"/>
                      <w:color w:val="FF0000"/>
                      <w:szCs w:val="21"/>
                    </w:rPr>
                    <w:t>注：第一排建筑位于</w:t>
                  </w:r>
                  <w:r>
                    <w:rPr>
                      <w:rFonts w:hint="eastAsia"/>
                      <w:color w:val="FF0000"/>
                      <w:szCs w:val="21"/>
                      <w:lang w:val="en-US" w:eastAsia="zh-CN"/>
                    </w:rPr>
                    <w:t>2</w:t>
                  </w:r>
                  <w:r>
                    <w:rPr>
                      <w:rFonts w:hint="eastAsia"/>
                      <w:color w:val="FF0000"/>
                      <w:szCs w:val="21"/>
                    </w:rPr>
                    <w:t>类区域，执行《声环境质量标准》（</w:t>
                  </w:r>
                  <w:r>
                    <w:rPr>
                      <w:color w:val="FF0000"/>
                      <w:szCs w:val="21"/>
                    </w:rPr>
                    <w:t>GB3096-2008</w:t>
                  </w:r>
                  <w:r>
                    <w:rPr>
                      <w:rFonts w:hint="eastAsia"/>
                      <w:color w:val="FF0000"/>
                      <w:szCs w:val="21"/>
                    </w:rPr>
                    <w:t>）</w:t>
                  </w:r>
                  <w:r>
                    <w:rPr>
                      <w:rFonts w:hint="eastAsia"/>
                      <w:color w:val="FF0000"/>
                      <w:szCs w:val="21"/>
                      <w:lang w:val="en-US" w:eastAsia="zh-CN"/>
                    </w:rPr>
                    <w:t>2类</w:t>
                  </w:r>
                  <w:r>
                    <w:rPr>
                      <w:rFonts w:hint="eastAsia"/>
                      <w:color w:val="FF0000"/>
                      <w:szCs w:val="21"/>
                    </w:rPr>
                    <w:t>标准限值，昼间</w:t>
                  </w:r>
                  <w:r>
                    <w:rPr>
                      <w:rFonts w:hint="eastAsia"/>
                      <w:color w:val="FF0000"/>
                      <w:szCs w:val="21"/>
                      <w:lang w:val="en-US" w:eastAsia="zh-CN"/>
                    </w:rPr>
                    <w:t>60</w:t>
                  </w:r>
                  <w:r>
                    <w:rPr>
                      <w:color w:val="FF0000"/>
                      <w:szCs w:val="21"/>
                    </w:rPr>
                    <w:t xml:space="preserve"> dB</w:t>
                  </w:r>
                  <w:r>
                    <w:rPr>
                      <w:rFonts w:hint="eastAsia"/>
                      <w:color w:val="FF0000"/>
                      <w:szCs w:val="21"/>
                    </w:rPr>
                    <w:t>（</w:t>
                  </w:r>
                  <w:r>
                    <w:rPr>
                      <w:color w:val="FF0000"/>
                      <w:szCs w:val="21"/>
                    </w:rPr>
                    <w:t>A</w:t>
                  </w:r>
                  <w:r>
                    <w:rPr>
                      <w:rFonts w:hint="eastAsia"/>
                      <w:color w:val="FF0000"/>
                      <w:szCs w:val="21"/>
                    </w:rPr>
                    <w:t>），夜间</w:t>
                  </w:r>
                  <w:r>
                    <w:rPr>
                      <w:color w:val="FF0000"/>
                      <w:szCs w:val="21"/>
                    </w:rPr>
                    <w:t>5</w:t>
                  </w:r>
                  <w:r>
                    <w:rPr>
                      <w:rFonts w:hint="eastAsia"/>
                      <w:color w:val="FF0000"/>
                      <w:szCs w:val="21"/>
                      <w:lang w:val="en-US" w:eastAsia="zh-CN"/>
                    </w:rPr>
                    <w:t>0</w:t>
                  </w:r>
                  <w:r>
                    <w:rPr>
                      <w:color w:val="FF0000"/>
                      <w:szCs w:val="21"/>
                    </w:rPr>
                    <w:t>dB</w:t>
                  </w:r>
                  <w:r>
                    <w:rPr>
                      <w:rFonts w:hint="eastAsia"/>
                      <w:color w:val="FF0000"/>
                      <w:szCs w:val="21"/>
                    </w:rPr>
                    <w:t>（</w:t>
                  </w:r>
                  <w:r>
                    <w:rPr>
                      <w:color w:val="FF0000"/>
                      <w:szCs w:val="21"/>
                    </w:rPr>
                    <w:t>A</w:t>
                  </w:r>
                  <w:r>
                    <w:rPr>
                      <w:rFonts w:hint="eastAsia"/>
                      <w:color w:val="FF0000"/>
                      <w:szCs w:val="21"/>
                    </w:rPr>
                    <w:t>）。</w:t>
                  </w:r>
                </w:p>
              </w:tc>
            </w:tr>
          </w:tbl>
          <w:p>
            <w:pPr>
              <w:keepNext w:val="0"/>
              <w:keepLines w:val="0"/>
              <w:pageBreakBefore w:val="0"/>
              <w:widowControl w:val="0"/>
              <w:kinsoku/>
              <w:wordWrap/>
              <w:overflowPunct/>
              <w:topLinePunct w:val="0"/>
              <w:autoSpaceDE/>
              <w:autoSpaceDN/>
              <w:bidi w:val="0"/>
              <w:adjustRightInd w:val="0"/>
              <w:snapToGrid w:val="0"/>
              <w:spacing w:before="120" w:beforeLines="50" w:line="360" w:lineRule="auto"/>
              <w:ind w:firstLine="0" w:firstLineChars="0"/>
              <w:textAlignment w:val="auto"/>
              <w:rPr>
                <w:rFonts w:hint="eastAsia"/>
                <w:color w:val="FF0000"/>
                <w:sz w:val="24"/>
              </w:rPr>
            </w:pPr>
            <w:r>
              <w:drawing>
                <wp:inline distT="0" distB="0" distL="114300" distR="114300">
                  <wp:extent cx="5257165" cy="2762885"/>
                  <wp:effectExtent l="0" t="0" r="635" b="1841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34"/>
                          <a:stretch>
                            <a:fillRect/>
                          </a:stretch>
                        </pic:blipFill>
                        <pic:spPr>
                          <a:xfrm>
                            <a:off x="0" y="0"/>
                            <a:ext cx="5257165" cy="2762885"/>
                          </a:xfrm>
                          <a:prstGeom prst="rect">
                            <a:avLst/>
                          </a:prstGeom>
                          <a:noFill/>
                          <a:ln>
                            <a:noFill/>
                          </a:ln>
                        </pic:spPr>
                      </pic:pic>
                    </a:graphicData>
                  </a:graphic>
                </wp:inline>
              </w:drawing>
            </w:r>
          </w:p>
          <w:p>
            <w:pPr>
              <w:adjustRightInd w:val="0"/>
              <w:snapToGrid w:val="0"/>
              <w:spacing w:line="360" w:lineRule="auto"/>
              <w:jc w:val="center"/>
              <w:rPr>
                <w:rFonts w:hint="eastAsia"/>
                <w:b/>
                <w:color w:val="FF0000"/>
                <w:sz w:val="21"/>
                <w:szCs w:val="21"/>
              </w:rPr>
            </w:pPr>
            <w:r>
              <w:rPr>
                <w:rFonts w:hint="eastAsia"/>
                <w:b/>
                <w:color w:val="FF0000"/>
                <w:sz w:val="21"/>
                <w:szCs w:val="21"/>
              </w:rPr>
              <w:t>图</w:t>
            </w:r>
            <w:r>
              <w:rPr>
                <w:rFonts w:hint="eastAsia"/>
                <w:b/>
                <w:color w:val="FF0000"/>
                <w:sz w:val="21"/>
                <w:szCs w:val="21"/>
                <w:lang w:val="en-US" w:eastAsia="zh-CN"/>
              </w:rPr>
              <w:t>8-12</w:t>
            </w:r>
            <w:r>
              <w:rPr>
                <w:rFonts w:hint="eastAsia"/>
                <w:b/>
                <w:color w:val="FF0000"/>
                <w:sz w:val="21"/>
                <w:szCs w:val="21"/>
              </w:rPr>
              <w:t xml:space="preserve">  </w:t>
            </w:r>
            <w:r>
              <w:rPr>
                <w:rFonts w:hint="eastAsia"/>
                <w:b/>
                <w:color w:val="FF0000"/>
                <w:sz w:val="21"/>
                <w:szCs w:val="21"/>
                <w:lang w:eastAsia="zh-CN"/>
              </w:rPr>
              <w:t>近期（</w:t>
            </w:r>
            <w:r>
              <w:rPr>
                <w:rFonts w:hint="eastAsia"/>
                <w:b/>
                <w:color w:val="FF0000"/>
                <w:sz w:val="21"/>
                <w:szCs w:val="21"/>
              </w:rPr>
              <w:t>202</w:t>
            </w:r>
            <w:r>
              <w:rPr>
                <w:rFonts w:hint="eastAsia"/>
                <w:b/>
                <w:color w:val="FF0000"/>
                <w:sz w:val="21"/>
                <w:szCs w:val="21"/>
                <w:lang w:val="en-US" w:eastAsia="zh-CN"/>
              </w:rPr>
              <w:t>4</w:t>
            </w:r>
            <w:r>
              <w:rPr>
                <w:rFonts w:hint="eastAsia"/>
                <w:b/>
                <w:color w:val="FF0000"/>
                <w:sz w:val="21"/>
                <w:szCs w:val="21"/>
              </w:rPr>
              <w:t>年</w:t>
            </w:r>
            <w:r>
              <w:rPr>
                <w:rFonts w:hint="eastAsia"/>
                <w:b/>
                <w:color w:val="FF0000"/>
                <w:sz w:val="21"/>
                <w:szCs w:val="21"/>
                <w:lang w:eastAsia="zh-CN"/>
              </w:rPr>
              <w:t>）</w:t>
            </w:r>
            <w:r>
              <w:rPr>
                <w:rFonts w:hint="eastAsia"/>
                <w:b/>
                <w:color w:val="FF0000"/>
                <w:sz w:val="21"/>
                <w:szCs w:val="21"/>
              </w:rPr>
              <w:t>垂向噪声昼间贡献值与楼层高度关系图</w:t>
            </w:r>
          </w:p>
          <w:p>
            <w:pPr>
              <w:adjustRightInd w:val="0"/>
              <w:snapToGrid w:val="0"/>
              <w:spacing w:line="360" w:lineRule="auto"/>
              <w:jc w:val="center"/>
              <w:rPr>
                <w:rFonts w:hint="eastAsia"/>
                <w:color w:val="FF0000"/>
                <w:sz w:val="24"/>
              </w:rPr>
            </w:pPr>
            <w:r>
              <w:drawing>
                <wp:inline distT="0" distB="0" distL="114300" distR="114300">
                  <wp:extent cx="5257165" cy="2772410"/>
                  <wp:effectExtent l="0" t="0" r="635" b="889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35"/>
                          <a:stretch>
                            <a:fillRect/>
                          </a:stretch>
                        </pic:blipFill>
                        <pic:spPr>
                          <a:xfrm>
                            <a:off x="0" y="0"/>
                            <a:ext cx="5257165" cy="2772410"/>
                          </a:xfrm>
                          <a:prstGeom prst="rect">
                            <a:avLst/>
                          </a:prstGeom>
                          <a:noFill/>
                          <a:ln>
                            <a:noFill/>
                          </a:ln>
                        </pic:spPr>
                      </pic:pic>
                    </a:graphicData>
                  </a:graphic>
                </wp:inline>
              </w:drawing>
            </w:r>
          </w:p>
          <w:p>
            <w:pPr>
              <w:adjustRightInd w:val="0"/>
              <w:snapToGrid w:val="0"/>
              <w:spacing w:line="360" w:lineRule="auto"/>
              <w:jc w:val="center"/>
              <w:rPr>
                <w:rFonts w:hint="eastAsia"/>
                <w:b/>
                <w:color w:val="FF0000"/>
                <w:sz w:val="21"/>
                <w:szCs w:val="21"/>
                <w:lang w:eastAsia="zh-CN"/>
              </w:rPr>
            </w:pPr>
            <w:r>
              <w:rPr>
                <w:rFonts w:hint="eastAsia"/>
                <w:b/>
                <w:color w:val="FF0000"/>
                <w:sz w:val="21"/>
                <w:szCs w:val="21"/>
                <w:lang w:eastAsia="zh-CN"/>
              </w:rPr>
              <w:t>图</w:t>
            </w:r>
            <w:r>
              <w:rPr>
                <w:rFonts w:hint="eastAsia"/>
                <w:b/>
                <w:color w:val="FF0000"/>
                <w:sz w:val="21"/>
                <w:szCs w:val="21"/>
                <w:lang w:val="en-US" w:eastAsia="zh-CN"/>
              </w:rPr>
              <w:t>8-13</w:t>
            </w:r>
            <w:r>
              <w:rPr>
                <w:rFonts w:hint="eastAsia"/>
                <w:b/>
                <w:color w:val="FF0000"/>
                <w:sz w:val="21"/>
                <w:szCs w:val="21"/>
                <w:lang w:eastAsia="zh-CN"/>
              </w:rPr>
              <w:t xml:space="preserve">    近期（202</w:t>
            </w:r>
            <w:r>
              <w:rPr>
                <w:rFonts w:hint="eastAsia"/>
                <w:b/>
                <w:color w:val="FF0000"/>
                <w:sz w:val="21"/>
                <w:szCs w:val="21"/>
                <w:lang w:val="en-US" w:eastAsia="zh-CN"/>
              </w:rPr>
              <w:t>4</w:t>
            </w:r>
            <w:r>
              <w:rPr>
                <w:rFonts w:hint="eastAsia"/>
                <w:b/>
                <w:color w:val="FF0000"/>
                <w:sz w:val="21"/>
                <w:szCs w:val="21"/>
                <w:lang w:eastAsia="zh-CN"/>
              </w:rPr>
              <w:t>年）垂向噪声夜间贡献值与楼层高度关系图</w:t>
            </w:r>
          </w:p>
          <w:p>
            <w:pPr>
              <w:adjustRightInd w:val="0"/>
              <w:snapToGrid w:val="0"/>
              <w:spacing w:before="120" w:beforeLines="50" w:line="360" w:lineRule="auto"/>
              <w:ind w:firstLine="470" w:firstLineChars="196"/>
              <w:rPr>
                <w:rFonts w:hint="eastAsia" w:eastAsia="宋体"/>
                <w:color w:val="FF0000"/>
                <w:sz w:val="24"/>
                <w:lang w:eastAsia="zh-CN"/>
              </w:rPr>
            </w:pPr>
            <w:r>
              <w:rPr>
                <w:rFonts w:hint="eastAsia"/>
                <w:color w:val="FF0000"/>
                <w:sz w:val="24"/>
              </w:rPr>
              <w:t>根据预测结果，</w:t>
            </w:r>
            <w:r>
              <w:rPr>
                <w:rFonts w:hint="eastAsia"/>
                <w:color w:val="FF0000"/>
                <w:sz w:val="24"/>
                <w:lang w:eastAsia="zh-CN"/>
              </w:rPr>
              <w:t>近期（202</w:t>
            </w:r>
            <w:r>
              <w:rPr>
                <w:rFonts w:hint="eastAsia"/>
                <w:color w:val="FF0000"/>
                <w:sz w:val="24"/>
                <w:lang w:val="en-US" w:eastAsia="zh-CN"/>
              </w:rPr>
              <w:t>4</w:t>
            </w:r>
            <w:r>
              <w:rPr>
                <w:rFonts w:hint="eastAsia"/>
                <w:color w:val="FF0000"/>
                <w:sz w:val="24"/>
                <w:lang w:eastAsia="zh-CN"/>
              </w:rPr>
              <w:t>年）垂向噪声对</w:t>
            </w:r>
            <w:r>
              <w:rPr>
                <w:rFonts w:hint="eastAsia"/>
                <w:bCs/>
                <w:color w:val="FF0000"/>
                <w:szCs w:val="21"/>
                <w:lang w:eastAsia="zh-CN"/>
              </w:rPr>
              <w:t>凤凰上镜小区</w:t>
            </w:r>
            <w:r>
              <w:rPr>
                <w:rFonts w:hint="eastAsia"/>
                <w:color w:val="FF0000"/>
                <w:sz w:val="24"/>
                <w:lang w:eastAsia="zh-CN"/>
              </w:rPr>
              <w:t>第一</w:t>
            </w:r>
            <w:r>
              <w:rPr>
                <w:rFonts w:hint="eastAsia"/>
                <w:color w:val="FF0000"/>
                <w:sz w:val="24"/>
              </w:rPr>
              <w:t>排建筑物噪声贡献值从一层开始随着楼高的增高而加大，到第</w:t>
            </w:r>
            <w:r>
              <w:rPr>
                <w:rFonts w:hint="eastAsia"/>
                <w:color w:val="FF0000"/>
                <w:sz w:val="24"/>
                <w:lang w:eastAsia="zh-CN"/>
              </w:rPr>
              <w:t>五</w:t>
            </w:r>
            <w:r>
              <w:rPr>
                <w:rFonts w:hint="eastAsia"/>
                <w:color w:val="FF0000"/>
                <w:sz w:val="24"/>
              </w:rPr>
              <w:t>层道路噪声贡献值达到最大值，并随着楼层增高而缓慢减弱，昼间噪声最大贡献值为</w:t>
            </w:r>
            <w:r>
              <w:rPr>
                <w:rFonts w:hint="eastAsia"/>
                <w:color w:val="FF0000"/>
                <w:sz w:val="24"/>
                <w:lang w:val="en-US" w:eastAsia="zh-CN"/>
              </w:rPr>
              <w:t>50.03</w:t>
            </w:r>
            <w:r>
              <w:rPr>
                <w:color w:val="FF0000"/>
                <w:sz w:val="24"/>
              </w:rPr>
              <w:t>dB(A)</w:t>
            </w:r>
            <w:r>
              <w:rPr>
                <w:rFonts w:hint="eastAsia"/>
                <w:color w:val="FF0000"/>
                <w:sz w:val="24"/>
              </w:rPr>
              <w:t>，夜间噪声最大贡献值为43.</w:t>
            </w:r>
            <w:r>
              <w:rPr>
                <w:rFonts w:hint="eastAsia"/>
                <w:color w:val="FF0000"/>
                <w:sz w:val="24"/>
                <w:lang w:val="en-US" w:eastAsia="zh-CN"/>
              </w:rPr>
              <w:t>75</w:t>
            </w:r>
            <w:r>
              <w:rPr>
                <w:color w:val="FF0000"/>
                <w:sz w:val="24"/>
              </w:rPr>
              <w:t>dB(A)</w:t>
            </w:r>
            <w:r>
              <w:rPr>
                <w:rFonts w:hint="eastAsia"/>
                <w:color w:val="FF0000"/>
                <w:sz w:val="24"/>
                <w:lang w:eastAsia="zh-CN"/>
              </w:rPr>
              <w:t>，</w:t>
            </w:r>
            <w:r>
              <w:rPr>
                <w:rFonts w:hAnsi="宋体" w:eastAsia="宋体"/>
                <w:color w:val="FF0000"/>
                <w:sz w:val="24"/>
                <w:szCs w:val="24"/>
              </w:rPr>
              <w:t>满足《声环境质量标准》（</w:t>
            </w:r>
            <w:r>
              <w:rPr>
                <w:color w:val="FF0000"/>
                <w:sz w:val="24"/>
                <w:szCs w:val="24"/>
              </w:rPr>
              <w:t>GB3096-2008</w:t>
            </w:r>
            <w:r>
              <w:rPr>
                <w:rFonts w:hAnsi="宋体" w:eastAsia="宋体"/>
                <w:color w:val="FF0000"/>
                <w:sz w:val="24"/>
                <w:szCs w:val="24"/>
              </w:rPr>
              <w:t>）</w:t>
            </w:r>
            <w:r>
              <w:rPr>
                <w:color w:val="FF0000"/>
                <w:sz w:val="24"/>
                <w:szCs w:val="24"/>
              </w:rPr>
              <w:t>2</w:t>
            </w:r>
            <w:r>
              <w:rPr>
                <w:rFonts w:hAnsi="宋体" w:eastAsia="宋体"/>
                <w:color w:val="FF0000"/>
                <w:sz w:val="24"/>
                <w:szCs w:val="24"/>
              </w:rPr>
              <w:t>类区标准</w:t>
            </w:r>
            <w:r>
              <w:rPr>
                <w:rFonts w:hint="eastAsia" w:hAnsi="宋体" w:eastAsia="宋体"/>
                <w:color w:val="FF0000"/>
                <w:sz w:val="24"/>
                <w:szCs w:val="24"/>
              </w:rPr>
              <w:t>（</w:t>
            </w:r>
            <w:r>
              <w:rPr>
                <w:rFonts w:hAnsi="宋体" w:eastAsia="宋体"/>
                <w:color w:val="FF0000"/>
                <w:sz w:val="24"/>
                <w:szCs w:val="24"/>
              </w:rPr>
              <w:t>昼间</w:t>
            </w:r>
            <w:r>
              <w:rPr>
                <w:color w:val="FF0000"/>
                <w:sz w:val="24"/>
                <w:szCs w:val="24"/>
              </w:rPr>
              <w:t>60dB</w:t>
            </w:r>
            <w:r>
              <w:rPr>
                <w:rFonts w:hAnsi="宋体" w:eastAsia="宋体"/>
                <w:color w:val="FF0000"/>
                <w:sz w:val="24"/>
                <w:szCs w:val="24"/>
              </w:rPr>
              <w:t>（</w:t>
            </w:r>
            <w:r>
              <w:rPr>
                <w:color w:val="FF0000"/>
                <w:sz w:val="24"/>
                <w:szCs w:val="24"/>
              </w:rPr>
              <w:t>A</w:t>
            </w:r>
            <w:r>
              <w:rPr>
                <w:rFonts w:hAnsi="宋体" w:eastAsia="宋体"/>
                <w:color w:val="FF0000"/>
                <w:sz w:val="24"/>
                <w:szCs w:val="24"/>
              </w:rPr>
              <w:t>），夜间</w:t>
            </w:r>
            <w:r>
              <w:rPr>
                <w:color w:val="FF0000"/>
                <w:sz w:val="24"/>
                <w:szCs w:val="24"/>
              </w:rPr>
              <w:t>50dB</w:t>
            </w:r>
            <w:r>
              <w:rPr>
                <w:rFonts w:hAnsi="宋体" w:eastAsia="宋体"/>
                <w:color w:val="FF0000"/>
                <w:sz w:val="24"/>
                <w:szCs w:val="24"/>
              </w:rPr>
              <w:t>（</w:t>
            </w:r>
            <w:r>
              <w:rPr>
                <w:color w:val="FF0000"/>
                <w:sz w:val="24"/>
                <w:szCs w:val="24"/>
              </w:rPr>
              <w:t>A</w:t>
            </w:r>
            <w:r>
              <w:rPr>
                <w:rFonts w:hAnsi="宋体" w:eastAsia="宋体"/>
                <w:color w:val="FF0000"/>
                <w:sz w:val="24"/>
                <w:szCs w:val="24"/>
              </w:rPr>
              <w:t>）</w:t>
            </w:r>
            <w:r>
              <w:rPr>
                <w:rFonts w:hint="eastAsia" w:hAnsi="宋体" w:eastAsia="宋体"/>
                <w:color w:val="FF0000"/>
                <w:sz w:val="24"/>
                <w:szCs w:val="24"/>
              </w:rPr>
              <w:t>）</w:t>
            </w:r>
            <w:r>
              <w:rPr>
                <w:rFonts w:hint="eastAsia" w:hAnsi="宋体"/>
                <w:color w:val="FF0000"/>
                <w:sz w:val="24"/>
                <w:szCs w:val="24"/>
                <w:lang w:eastAsia="zh-CN"/>
              </w:rPr>
              <w:t>。</w:t>
            </w:r>
          </w:p>
          <w:p>
            <w:pPr>
              <w:adjustRightInd w:val="0"/>
              <w:snapToGrid w:val="0"/>
              <w:spacing w:line="360" w:lineRule="auto"/>
              <w:ind w:firstLine="482"/>
              <w:rPr>
                <w:color w:val="FF0000"/>
                <w:sz w:val="24"/>
              </w:rPr>
            </w:pPr>
            <w:r>
              <w:rPr>
                <w:rFonts w:hint="eastAsia" w:ascii="宋体" w:hAnsi="宋体"/>
                <w:color w:val="FF0000"/>
                <w:sz w:val="24"/>
              </w:rPr>
              <w:t>②</w:t>
            </w:r>
            <w:r>
              <w:rPr>
                <w:rFonts w:hint="eastAsia"/>
                <w:color w:val="FF0000"/>
                <w:sz w:val="24"/>
              </w:rPr>
              <w:t>中期（</w:t>
            </w:r>
            <w:r>
              <w:rPr>
                <w:color w:val="FF0000"/>
                <w:sz w:val="24"/>
              </w:rPr>
              <w:t>20</w:t>
            </w:r>
            <w:r>
              <w:rPr>
                <w:rFonts w:hint="eastAsia"/>
                <w:color w:val="FF0000"/>
                <w:sz w:val="24"/>
                <w:lang w:val="en-US" w:eastAsia="zh-CN"/>
              </w:rPr>
              <w:t>30</w:t>
            </w:r>
            <w:r>
              <w:rPr>
                <w:rFonts w:hint="eastAsia"/>
                <w:color w:val="FF0000"/>
                <w:sz w:val="24"/>
              </w:rPr>
              <w:t>年）垂向噪声预测</w:t>
            </w:r>
          </w:p>
          <w:p>
            <w:pPr>
              <w:adjustRightInd w:val="0"/>
              <w:snapToGrid w:val="0"/>
              <w:spacing w:line="360" w:lineRule="auto"/>
              <w:ind w:firstLine="482"/>
              <w:rPr>
                <w:rFonts w:hint="eastAsia"/>
                <w:color w:val="FF0000"/>
                <w:sz w:val="24"/>
                <w:szCs w:val="24"/>
              </w:rPr>
            </w:pPr>
            <w:r>
              <w:rPr>
                <w:rFonts w:hint="eastAsia"/>
                <w:color w:val="FF0000"/>
                <w:sz w:val="24"/>
              </w:rPr>
              <w:t>中期（</w:t>
            </w:r>
            <w:r>
              <w:rPr>
                <w:color w:val="FF0000"/>
                <w:sz w:val="24"/>
              </w:rPr>
              <w:t>20</w:t>
            </w:r>
            <w:r>
              <w:rPr>
                <w:rFonts w:hint="eastAsia"/>
                <w:color w:val="FF0000"/>
                <w:sz w:val="24"/>
                <w:lang w:val="en-US" w:eastAsia="zh-CN"/>
              </w:rPr>
              <w:t>30</w:t>
            </w:r>
            <w:r>
              <w:rPr>
                <w:rFonts w:hint="eastAsia"/>
                <w:color w:val="FF0000"/>
                <w:sz w:val="24"/>
              </w:rPr>
              <w:t>年）垂向噪声预测情况见表</w:t>
            </w:r>
            <w:r>
              <w:rPr>
                <w:rFonts w:hint="eastAsia"/>
                <w:color w:val="FF0000"/>
                <w:sz w:val="24"/>
                <w:lang w:val="en-US" w:eastAsia="zh-CN"/>
              </w:rPr>
              <w:t>8-15</w:t>
            </w:r>
            <w:r>
              <w:rPr>
                <w:rFonts w:hint="eastAsia"/>
                <w:color w:val="FF0000"/>
                <w:sz w:val="24"/>
                <w:lang w:eastAsia="zh-CN"/>
              </w:rPr>
              <w:t>，</w:t>
            </w:r>
            <w:r>
              <w:rPr>
                <w:rFonts w:hint="eastAsia"/>
                <w:color w:val="FF0000"/>
                <w:sz w:val="24"/>
                <w:szCs w:val="24"/>
                <w:lang w:val="en-US" w:eastAsia="zh-CN"/>
              </w:rPr>
              <w:t>贡献值与</w:t>
            </w:r>
            <w:r>
              <w:rPr>
                <w:rFonts w:hint="eastAsia"/>
                <w:color w:val="FF0000"/>
                <w:sz w:val="24"/>
                <w:szCs w:val="24"/>
              </w:rPr>
              <w:t>第一排建筑</w:t>
            </w:r>
            <w:r>
              <w:rPr>
                <w:rFonts w:hint="eastAsia"/>
                <w:color w:val="FF0000"/>
                <w:sz w:val="24"/>
                <w:szCs w:val="24"/>
                <w:lang w:eastAsia="zh-CN"/>
              </w:rPr>
              <w:t>楼层高度关系</w:t>
            </w:r>
            <w:r>
              <w:rPr>
                <w:rFonts w:hint="eastAsia"/>
                <w:color w:val="FF0000"/>
                <w:sz w:val="24"/>
                <w:szCs w:val="24"/>
              </w:rPr>
              <w:t>预测见图</w:t>
            </w:r>
            <w:r>
              <w:rPr>
                <w:rFonts w:hint="eastAsia"/>
                <w:color w:val="FF0000"/>
                <w:sz w:val="24"/>
                <w:szCs w:val="24"/>
                <w:lang w:val="en-US" w:eastAsia="zh-CN"/>
              </w:rPr>
              <w:t>8-14</w:t>
            </w:r>
            <w:r>
              <w:rPr>
                <w:rFonts w:hint="eastAsia"/>
                <w:color w:val="FF0000"/>
                <w:sz w:val="24"/>
                <w:szCs w:val="24"/>
                <w:lang w:eastAsia="zh-CN"/>
              </w:rPr>
              <w:t>、</w:t>
            </w:r>
            <w:r>
              <w:rPr>
                <w:rFonts w:hint="eastAsia"/>
                <w:color w:val="FF0000"/>
                <w:sz w:val="24"/>
                <w:szCs w:val="24"/>
                <w:lang w:val="en-US" w:eastAsia="zh-CN"/>
              </w:rPr>
              <w:t>8-15</w:t>
            </w:r>
            <w:r>
              <w:rPr>
                <w:rFonts w:hint="eastAsia"/>
                <w:color w:val="FF0000"/>
                <w:sz w:val="24"/>
                <w:szCs w:val="24"/>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949" w:firstLineChars="450"/>
              <w:textAlignment w:val="auto"/>
              <w:rPr>
                <w:b/>
                <w:color w:val="FF0000"/>
                <w:sz w:val="24"/>
              </w:rPr>
            </w:pPr>
            <w:r>
              <w:rPr>
                <w:rFonts w:hint="eastAsia"/>
                <w:b/>
                <w:color w:val="FF0000"/>
                <w:sz w:val="21"/>
                <w:szCs w:val="21"/>
                <w:lang w:eastAsia="zh-CN"/>
              </w:rPr>
              <w:t>表</w:t>
            </w:r>
            <w:r>
              <w:rPr>
                <w:rFonts w:hint="eastAsia"/>
                <w:b/>
                <w:color w:val="FF0000"/>
                <w:sz w:val="21"/>
                <w:szCs w:val="21"/>
                <w:lang w:val="en-US" w:eastAsia="zh-CN"/>
              </w:rPr>
              <w:t>8-15</w:t>
            </w:r>
            <w:r>
              <w:rPr>
                <w:rFonts w:hint="eastAsia"/>
                <w:b/>
                <w:color w:val="FF0000"/>
                <w:sz w:val="21"/>
                <w:szCs w:val="21"/>
                <w:lang w:eastAsia="zh-CN"/>
              </w:rPr>
              <w:t xml:space="preserve">      </w:t>
            </w:r>
            <w:r>
              <w:rPr>
                <w:b/>
                <w:color w:val="FF0000"/>
                <w:sz w:val="24"/>
              </w:rPr>
              <w:t xml:space="preserve"> </w:t>
            </w:r>
            <w:r>
              <w:rPr>
                <w:rFonts w:hint="eastAsia"/>
                <w:b/>
                <w:color w:val="FF0000"/>
                <w:sz w:val="21"/>
                <w:szCs w:val="21"/>
                <w:lang w:eastAsia="zh-CN"/>
              </w:rPr>
              <w:t>中期（</w:t>
            </w:r>
            <w:r>
              <w:rPr>
                <w:b/>
                <w:color w:val="FF0000"/>
                <w:sz w:val="21"/>
                <w:szCs w:val="21"/>
              </w:rPr>
              <w:t>20</w:t>
            </w:r>
            <w:r>
              <w:rPr>
                <w:rFonts w:hint="eastAsia"/>
                <w:b/>
                <w:color w:val="FF0000"/>
                <w:sz w:val="21"/>
                <w:szCs w:val="21"/>
                <w:lang w:val="en-US" w:eastAsia="zh-CN"/>
              </w:rPr>
              <w:t>30</w:t>
            </w:r>
            <w:r>
              <w:rPr>
                <w:rFonts w:hint="eastAsia"/>
                <w:b/>
                <w:color w:val="FF0000"/>
                <w:sz w:val="21"/>
                <w:szCs w:val="21"/>
              </w:rPr>
              <w:t>年</w:t>
            </w:r>
            <w:r>
              <w:rPr>
                <w:rFonts w:hint="eastAsia"/>
                <w:b/>
                <w:color w:val="FF0000"/>
                <w:sz w:val="21"/>
                <w:szCs w:val="21"/>
                <w:lang w:eastAsia="zh-CN"/>
              </w:rPr>
              <w:t>）</w:t>
            </w:r>
            <w:r>
              <w:rPr>
                <w:rFonts w:hint="eastAsia"/>
                <w:b/>
                <w:color w:val="FF0000"/>
                <w:sz w:val="21"/>
                <w:szCs w:val="21"/>
              </w:rPr>
              <w:t>垂向噪声预测结果一览表</w:t>
            </w:r>
          </w:p>
          <w:tbl>
            <w:tblPr>
              <w:tblStyle w:val="26"/>
              <w:tblW w:w="827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09"/>
              <w:gridCol w:w="1434"/>
              <w:gridCol w:w="1581"/>
              <w:gridCol w:w="1047"/>
              <w:gridCol w:w="1047"/>
              <w:gridCol w:w="1081"/>
              <w:gridCol w:w="117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909" w:type="dxa"/>
                  <w:noWrap w:val="0"/>
                  <w:vAlign w:val="center"/>
                </w:tcPr>
                <w:p>
                  <w:pPr>
                    <w:adjustRightInd w:val="0"/>
                    <w:snapToGrid w:val="0"/>
                    <w:jc w:val="center"/>
                    <w:rPr>
                      <w:b/>
                      <w:color w:val="FF0000"/>
                      <w:szCs w:val="21"/>
                    </w:rPr>
                  </w:pPr>
                  <w:r>
                    <w:rPr>
                      <w:rFonts w:hint="eastAsia"/>
                      <w:b/>
                      <w:color w:val="FF0000"/>
                      <w:szCs w:val="21"/>
                    </w:rPr>
                    <w:t>名称</w:t>
                  </w:r>
                </w:p>
              </w:tc>
              <w:tc>
                <w:tcPr>
                  <w:tcW w:w="1434" w:type="dxa"/>
                  <w:noWrap w:val="0"/>
                  <w:vAlign w:val="center"/>
                </w:tcPr>
                <w:p>
                  <w:pPr>
                    <w:adjustRightInd w:val="0"/>
                    <w:snapToGrid w:val="0"/>
                    <w:jc w:val="center"/>
                    <w:rPr>
                      <w:b/>
                      <w:color w:val="FF0000"/>
                      <w:szCs w:val="21"/>
                    </w:rPr>
                  </w:pPr>
                  <w:r>
                    <w:rPr>
                      <w:rFonts w:hint="eastAsia"/>
                      <w:b/>
                      <w:color w:val="FF0000"/>
                      <w:szCs w:val="21"/>
                    </w:rPr>
                    <w:t>监测点位</w:t>
                  </w:r>
                </w:p>
              </w:tc>
              <w:tc>
                <w:tcPr>
                  <w:tcW w:w="1581" w:type="dxa"/>
                  <w:noWrap w:val="0"/>
                  <w:vAlign w:val="center"/>
                </w:tcPr>
                <w:p>
                  <w:pPr>
                    <w:adjustRightInd w:val="0"/>
                    <w:snapToGrid w:val="0"/>
                    <w:jc w:val="center"/>
                    <w:rPr>
                      <w:b/>
                      <w:color w:val="FF0000"/>
                      <w:szCs w:val="21"/>
                    </w:rPr>
                  </w:pPr>
                  <w:r>
                    <w:rPr>
                      <w:rFonts w:hint="eastAsia"/>
                      <w:b/>
                      <w:color w:val="FF0000"/>
                      <w:szCs w:val="21"/>
                    </w:rPr>
                    <w:t>监测时段</w:t>
                  </w:r>
                </w:p>
              </w:tc>
              <w:tc>
                <w:tcPr>
                  <w:tcW w:w="1047" w:type="dxa"/>
                  <w:noWrap w:val="0"/>
                  <w:vAlign w:val="center"/>
                </w:tcPr>
                <w:p>
                  <w:pPr>
                    <w:adjustRightInd w:val="0"/>
                    <w:snapToGrid w:val="0"/>
                    <w:jc w:val="center"/>
                    <w:rPr>
                      <w:b/>
                      <w:color w:val="FF0000"/>
                      <w:szCs w:val="21"/>
                    </w:rPr>
                  </w:pPr>
                  <w:r>
                    <w:rPr>
                      <w:rFonts w:hint="eastAsia"/>
                      <w:b/>
                      <w:color w:val="FF0000"/>
                      <w:szCs w:val="21"/>
                    </w:rPr>
                    <w:t>背景值</w:t>
                  </w:r>
                </w:p>
              </w:tc>
              <w:tc>
                <w:tcPr>
                  <w:tcW w:w="1047" w:type="dxa"/>
                  <w:noWrap w:val="0"/>
                  <w:vAlign w:val="center"/>
                </w:tcPr>
                <w:p>
                  <w:pPr>
                    <w:adjustRightInd w:val="0"/>
                    <w:snapToGrid w:val="0"/>
                    <w:jc w:val="center"/>
                    <w:rPr>
                      <w:b/>
                      <w:color w:val="FF0000"/>
                      <w:szCs w:val="21"/>
                    </w:rPr>
                  </w:pPr>
                  <w:r>
                    <w:rPr>
                      <w:rFonts w:hint="eastAsia"/>
                      <w:b/>
                      <w:color w:val="FF0000"/>
                      <w:szCs w:val="21"/>
                    </w:rPr>
                    <w:t>贡献值</w:t>
                  </w:r>
                </w:p>
              </w:tc>
              <w:tc>
                <w:tcPr>
                  <w:tcW w:w="1081" w:type="dxa"/>
                  <w:noWrap w:val="0"/>
                  <w:vAlign w:val="center"/>
                </w:tcPr>
                <w:p>
                  <w:pPr>
                    <w:adjustRightInd w:val="0"/>
                    <w:snapToGrid w:val="0"/>
                    <w:jc w:val="center"/>
                    <w:rPr>
                      <w:b/>
                      <w:color w:val="FF0000"/>
                      <w:szCs w:val="21"/>
                    </w:rPr>
                  </w:pPr>
                  <w:r>
                    <w:rPr>
                      <w:rFonts w:hint="eastAsia"/>
                      <w:b/>
                      <w:color w:val="FF0000"/>
                      <w:szCs w:val="21"/>
                    </w:rPr>
                    <w:t>预测值</w:t>
                  </w:r>
                </w:p>
              </w:tc>
              <w:tc>
                <w:tcPr>
                  <w:tcW w:w="1177" w:type="dxa"/>
                  <w:noWrap w:val="0"/>
                  <w:vAlign w:val="center"/>
                </w:tcPr>
                <w:p>
                  <w:pPr>
                    <w:adjustRightInd w:val="0"/>
                    <w:snapToGrid w:val="0"/>
                    <w:jc w:val="center"/>
                    <w:rPr>
                      <w:b/>
                      <w:color w:val="FF0000"/>
                      <w:szCs w:val="21"/>
                    </w:rPr>
                  </w:pPr>
                  <w:r>
                    <w:rPr>
                      <w:rFonts w:hint="eastAsia"/>
                      <w:b/>
                      <w:color w:val="FF0000"/>
                      <w:szCs w:val="21"/>
                    </w:rPr>
                    <w:t>达标情况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restart"/>
                  <w:noWrap w:val="0"/>
                  <w:vAlign w:val="center"/>
                </w:tcPr>
                <w:p>
                  <w:pPr>
                    <w:adjustRightInd w:val="0"/>
                    <w:snapToGrid w:val="0"/>
                    <w:jc w:val="center"/>
                    <w:rPr>
                      <w:color w:val="FF0000"/>
                      <w:szCs w:val="21"/>
                    </w:rPr>
                  </w:pPr>
                  <w:r>
                    <w:rPr>
                      <w:rFonts w:hint="eastAsia"/>
                      <w:bCs/>
                      <w:color w:val="FF0000"/>
                      <w:szCs w:val="21"/>
                      <w:lang w:eastAsia="zh-CN"/>
                    </w:rPr>
                    <w:t>凤凰上镜小区</w:t>
                  </w:r>
                </w:p>
              </w:tc>
              <w:tc>
                <w:tcPr>
                  <w:tcW w:w="1434" w:type="dxa"/>
                  <w:vMerge w:val="restart"/>
                  <w:noWrap w:val="0"/>
                  <w:vAlign w:val="center"/>
                </w:tcPr>
                <w:p>
                  <w:pPr>
                    <w:adjustRightInd w:val="0"/>
                    <w:snapToGrid w:val="0"/>
                    <w:jc w:val="center"/>
                    <w:rPr>
                      <w:color w:val="FF0000"/>
                      <w:szCs w:val="21"/>
                    </w:rPr>
                  </w:pPr>
                  <w:r>
                    <w:rPr>
                      <w:rFonts w:hint="eastAsia"/>
                      <w:color w:val="FF0000"/>
                      <w:szCs w:val="21"/>
                    </w:rPr>
                    <w:t>第一排1层</w:t>
                  </w:r>
                </w:p>
              </w:tc>
              <w:tc>
                <w:tcPr>
                  <w:tcW w:w="1581" w:type="dxa"/>
                  <w:noWrap w:val="0"/>
                  <w:vAlign w:val="center"/>
                </w:tcPr>
                <w:p>
                  <w:pPr>
                    <w:adjustRightInd w:val="0"/>
                    <w:snapToGrid w:val="0"/>
                    <w:jc w:val="center"/>
                    <w:rPr>
                      <w:color w:val="FF0000"/>
                      <w:szCs w:val="21"/>
                    </w:rPr>
                  </w:pPr>
                  <w:r>
                    <w:rPr>
                      <w:rFonts w:hint="eastAsia"/>
                      <w:color w:val="FF0000"/>
                      <w:szCs w:val="21"/>
                    </w:rPr>
                    <w:t>昼间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48.8</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47.67</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51.32</w:t>
                  </w:r>
                </w:p>
              </w:tc>
              <w:tc>
                <w:tcPr>
                  <w:tcW w:w="1177" w:type="dxa"/>
                  <w:noWrap w:val="0"/>
                  <w:vAlign w:val="center"/>
                </w:tcPr>
                <w:p>
                  <w:pPr>
                    <w:adjustRightInd w:val="0"/>
                    <w:snapToGrid w:val="0"/>
                    <w:jc w:val="center"/>
                    <w:rPr>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continue"/>
                  <w:noWrap w:val="0"/>
                  <w:vAlign w:val="center"/>
                </w:tcPr>
                <w:p>
                  <w:pPr>
                    <w:widowControl/>
                    <w:jc w:val="left"/>
                    <w:rPr>
                      <w:color w:val="FF0000"/>
                      <w:szCs w:val="21"/>
                    </w:rPr>
                  </w:pPr>
                </w:p>
              </w:tc>
              <w:tc>
                <w:tcPr>
                  <w:tcW w:w="1581" w:type="dxa"/>
                  <w:noWrap w:val="0"/>
                  <w:vAlign w:val="center"/>
                </w:tcPr>
                <w:p>
                  <w:pPr>
                    <w:adjustRightInd w:val="0"/>
                    <w:snapToGrid w:val="0"/>
                    <w:jc w:val="center"/>
                    <w:rPr>
                      <w:color w:val="FF0000"/>
                      <w:szCs w:val="21"/>
                    </w:rPr>
                  </w:pPr>
                  <w:r>
                    <w:rPr>
                      <w:rFonts w:hint="eastAsia"/>
                      <w:color w:val="FF0000"/>
                      <w:szCs w:val="21"/>
                    </w:rPr>
                    <w:t>夜间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36.6</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41.82</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43.02</w:t>
                  </w:r>
                </w:p>
              </w:tc>
              <w:tc>
                <w:tcPr>
                  <w:tcW w:w="1177" w:type="dxa"/>
                  <w:noWrap w:val="0"/>
                  <w:vAlign w:val="center"/>
                </w:tcPr>
                <w:p>
                  <w:pPr>
                    <w:adjustRightInd w:val="0"/>
                    <w:snapToGrid w:val="0"/>
                    <w:jc w:val="center"/>
                    <w:rPr>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42" w:hRule="atLeast"/>
                <w:jc w:val="center"/>
              </w:trPr>
              <w:tc>
                <w:tcPr>
                  <w:tcW w:w="909" w:type="dxa"/>
                  <w:vMerge w:val="continue"/>
                  <w:noWrap w:val="0"/>
                  <w:vAlign w:val="center"/>
                </w:tcPr>
                <w:p>
                  <w:pPr>
                    <w:widowControl/>
                    <w:jc w:val="left"/>
                    <w:rPr>
                      <w:color w:val="FF0000"/>
                      <w:szCs w:val="21"/>
                    </w:rPr>
                  </w:pPr>
                </w:p>
              </w:tc>
              <w:tc>
                <w:tcPr>
                  <w:tcW w:w="1434" w:type="dxa"/>
                  <w:vMerge w:val="restart"/>
                  <w:noWrap w:val="0"/>
                  <w:vAlign w:val="center"/>
                </w:tcPr>
                <w:p>
                  <w:pPr>
                    <w:adjustRightInd w:val="0"/>
                    <w:snapToGrid w:val="0"/>
                    <w:jc w:val="center"/>
                    <w:rPr>
                      <w:color w:val="FF0000"/>
                      <w:szCs w:val="21"/>
                    </w:rPr>
                  </w:pPr>
                  <w:r>
                    <w:rPr>
                      <w:rFonts w:hint="eastAsia"/>
                      <w:color w:val="FF0000"/>
                      <w:szCs w:val="21"/>
                    </w:rPr>
                    <w:t>第一排3层</w:t>
                  </w:r>
                </w:p>
              </w:tc>
              <w:tc>
                <w:tcPr>
                  <w:tcW w:w="1581" w:type="dxa"/>
                  <w:noWrap w:val="0"/>
                  <w:vAlign w:val="center"/>
                </w:tcPr>
                <w:p>
                  <w:pPr>
                    <w:adjustRightInd w:val="0"/>
                    <w:snapToGrid w:val="0"/>
                    <w:jc w:val="center"/>
                    <w:rPr>
                      <w:color w:val="FF0000"/>
                      <w:szCs w:val="21"/>
                    </w:rPr>
                  </w:pPr>
                  <w:r>
                    <w:rPr>
                      <w:rFonts w:hint="eastAsia"/>
                      <w:color w:val="FF0000"/>
                      <w:szCs w:val="21"/>
                    </w:rPr>
                    <w:t>昼间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48.2</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50.59</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52.64</w:t>
                  </w:r>
                </w:p>
              </w:tc>
              <w:tc>
                <w:tcPr>
                  <w:tcW w:w="1177" w:type="dxa"/>
                  <w:noWrap w:val="0"/>
                  <w:vAlign w:val="center"/>
                </w:tcPr>
                <w:p>
                  <w:pPr>
                    <w:adjustRightInd w:val="0"/>
                    <w:snapToGrid w:val="0"/>
                    <w:jc w:val="center"/>
                    <w:rPr>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continue"/>
                  <w:noWrap w:val="0"/>
                  <w:vAlign w:val="center"/>
                </w:tcPr>
                <w:p>
                  <w:pPr>
                    <w:widowControl/>
                    <w:jc w:val="left"/>
                    <w:rPr>
                      <w:color w:val="FF0000"/>
                      <w:szCs w:val="21"/>
                    </w:rPr>
                  </w:pPr>
                </w:p>
              </w:tc>
              <w:tc>
                <w:tcPr>
                  <w:tcW w:w="1581" w:type="dxa"/>
                  <w:noWrap w:val="0"/>
                  <w:vAlign w:val="center"/>
                </w:tcPr>
                <w:p>
                  <w:pPr>
                    <w:adjustRightInd w:val="0"/>
                    <w:snapToGrid w:val="0"/>
                    <w:jc w:val="center"/>
                    <w:rPr>
                      <w:color w:val="FF0000"/>
                      <w:szCs w:val="21"/>
                    </w:rPr>
                  </w:pPr>
                  <w:r>
                    <w:rPr>
                      <w:rFonts w:hint="eastAsia"/>
                      <w:color w:val="FF0000"/>
                      <w:szCs w:val="21"/>
                    </w:rPr>
                    <w:t>夜间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36.0</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44.74</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45.37</w:t>
                  </w:r>
                </w:p>
              </w:tc>
              <w:tc>
                <w:tcPr>
                  <w:tcW w:w="1177" w:type="dxa"/>
                  <w:noWrap w:val="0"/>
                  <w:vAlign w:val="center"/>
                </w:tcPr>
                <w:p>
                  <w:pPr>
                    <w:adjustRightInd w:val="0"/>
                    <w:snapToGrid w:val="0"/>
                    <w:jc w:val="center"/>
                    <w:rPr>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restart"/>
                  <w:noWrap w:val="0"/>
                  <w:vAlign w:val="center"/>
                </w:tcPr>
                <w:p>
                  <w:pPr>
                    <w:adjustRightInd w:val="0"/>
                    <w:snapToGrid w:val="0"/>
                    <w:jc w:val="center"/>
                    <w:rPr>
                      <w:color w:val="FF0000"/>
                      <w:szCs w:val="21"/>
                    </w:rPr>
                  </w:pPr>
                  <w:r>
                    <w:rPr>
                      <w:rFonts w:hint="eastAsia"/>
                      <w:color w:val="FF0000"/>
                      <w:szCs w:val="21"/>
                    </w:rPr>
                    <w:t>第一排5层</w:t>
                  </w:r>
                </w:p>
              </w:tc>
              <w:tc>
                <w:tcPr>
                  <w:tcW w:w="1581" w:type="dxa"/>
                  <w:noWrap w:val="0"/>
                  <w:vAlign w:val="center"/>
                </w:tcPr>
                <w:p>
                  <w:pPr>
                    <w:adjustRightInd w:val="0"/>
                    <w:snapToGrid w:val="0"/>
                    <w:jc w:val="center"/>
                    <w:rPr>
                      <w:color w:val="FF0000"/>
                      <w:szCs w:val="21"/>
                    </w:rPr>
                  </w:pPr>
                  <w:r>
                    <w:rPr>
                      <w:rFonts w:hint="eastAsia"/>
                      <w:color w:val="FF0000"/>
                      <w:szCs w:val="21"/>
                    </w:rPr>
                    <w:t>昼间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47.5</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51.90</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53.26</w:t>
                  </w:r>
                </w:p>
              </w:tc>
              <w:tc>
                <w:tcPr>
                  <w:tcW w:w="1177" w:type="dxa"/>
                  <w:noWrap w:val="0"/>
                  <w:vAlign w:val="center"/>
                </w:tcPr>
                <w:p>
                  <w:pPr>
                    <w:adjustRightInd w:val="0"/>
                    <w:snapToGrid w:val="0"/>
                    <w:jc w:val="center"/>
                    <w:rPr>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continue"/>
                  <w:noWrap w:val="0"/>
                  <w:vAlign w:val="center"/>
                </w:tcPr>
                <w:p>
                  <w:pPr>
                    <w:widowControl/>
                    <w:jc w:val="left"/>
                    <w:rPr>
                      <w:color w:val="FF0000"/>
                      <w:szCs w:val="21"/>
                    </w:rPr>
                  </w:pPr>
                </w:p>
              </w:tc>
              <w:tc>
                <w:tcPr>
                  <w:tcW w:w="1581" w:type="dxa"/>
                  <w:noWrap w:val="0"/>
                  <w:vAlign w:val="center"/>
                </w:tcPr>
                <w:p>
                  <w:pPr>
                    <w:adjustRightInd w:val="0"/>
                    <w:snapToGrid w:val="0"/>
                    <w:jc w:val="center"/>
                    <w:rPr>
                      <w:color w:val="FF0000"/>
                      <w:szCs w:val="21"/>
                    </w:rPr>
                  </w:pPr>
                  <w:r>
                    <w:rPr>
                      <w:rFonts w:hint="eastAsia"/>
                      <w:color w:val="FF0000"/>
                      <w:szCs w:val="21"/>
                    </w:rPr>
                    <w:t>夜间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36.5</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46.04</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46.52</w:t>
                  </w:r>
                </w:p>
              </w:tc>
              <w:tc>
                <w:tcPr>
                  <w:tcW w:w="1177" w:type="dxa"/>
                  <w:noWrap w:val="0"/>
                  <w:vAlign w:val="center"/>
                </w:tcPr>
                <w:p>
                  <w:pPr>
                    <w:adjustRightInd w:val="0"/>
                    <w:snapToGrid w:val="0"/>
                    <w:jc w:val="center"/>
                    <w:rPr>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restart"/>
                  <w:noWrap w:val="0"/>
                  <w:vAlign w:val="center"/>
                </w:tcPr>
                <w:p>
                  <w:pPr>
                    <w:adjustRightInd w:val="0"/>
                    <w:snapToGrid w:val="0"/>
                    <w:jc w:val="center"/>
                    <w:rPr>
                      <w:color w:val="FF0000"/>
                      <w:szCs w:val="21"/>
                    </w:rPr>
                  </w:pPr>
                  <w:r>
                    <w:rPr>
                      <w:rFonts w:hint="eastAsia"/>
                      <w:color w:val="FF0000"/>
                      <w:szCs w:val="21"/>
                    </w:rPr>
                    <w:t>第一排7层</w:t>
                  </w:r>
                </w:p>
              </w:tc>
              <w:tc>
                <w:tcPr>
                  <w:tcW w:w="1581" w:type="dxa"/>
                  <w:noWrap w:val="0"/>
                  <w:vAlign w:val="center"/>
                </w:tcPr>
                <w:p>
                  <w:pPr>
                    <w:adjustRightInd w:val="0"/>
                    <w:snapToGrid w:val="0"/>
                    <w:jc w:val="center"/>
                    <w:rPr>
                      <w:color w:val="FF0000"/>
                      <w:szCs w:val="21"/>
                    </w:rPr>
                  </w:pPr>
                  <w:r>
                    <w:rPr>
                      <w:rFonts w:hint="eastAsia"/>
                      <w:color w:val="FF0000"/>
                      <w:szCs w:val="21"/>
                    </w:rPr>
                    <w:t>昼间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47.8</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51.71</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53.22</w:t>
                  </w:r>
                </w:p>
              </w:tc>
              <w:tc>
                <w:tcPr>
                  <w:tcW w:w="1177" w:type="dxa"/>
                  <w:noWrap w:val="0"/>
                  <w:vAlign w:val="center"/>
                </w:tcPr>
                <w:p>
                  <w:pPr>
                    <w:adjustRightInd w:val="0"/>
                    <w:snapToGrid w:val="0"/>
                    <w:jc w:val="center"/>
                    <w:rPr>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continue"/>
                  <w:noWrap w:val="0"/>
                  <w:vAlign w:val="center"/>
                </w:tcPr>
                <w:p>
                  <w:pPr>
                    <w:widowControl/>
                    <w:jc w:val="left"/>
                    <w:rPr>
                      <w:color w:val="FF0000"/>
                      <w:szCs w:val="21"/>
                    </w:rPr>
                  </w:pPr>
                </w:p>
              </w:tc>
              <w:tc>
                <w:tcPr>
                  <w:tcW w:w="1581" w:type="dxa"/>
                  <w:noWrap w:val="0"/>
                  <w:vAlign w:val="center"/>
                </w:tcPr>
                <w:p>
                  <w:pPr>
                    <w:adjustRightInd w:val="0"/>
                    <w:snapToGrid w:val="0"/>
                    <w:jc w:val="center"/>
                    <w:rPr>
                      <w:color w:val="FF0000"/>
                      <w:szCs w:val="21"/>
                    </w:rPr>
                  </w:pPr>
                  <w:r>
                    <w:rPr>
                      <w:rFonts w:hint="eastAsia"/>
                      <w:color w:val="FF0000"/>
                      <w:szCs w:val="21"/>
                    </w:rPr>
                    <w:t>夜间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36.3</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45.85</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46.35</w:t>
                  </w:r>
                </w:p>
              </w:tc>
              <w:tc>
                <w:tcPr>
                  <w:tcW w:w="1177" w:type="dxa"/>
                  <w:noWrap w:val="0"/>
                  <w:vAlign w:val="center"/>
                </w:tcPr>
                <w:p>
                  <w:pPr>
                    <w:adjustRightInd w:val="0"/>
                    <w:snapToGrid w:val="0"/>
                    <w:jc w:val="center"/>
                    <w:rPr>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restart"/>
                  <w:noWrap w:val="0"/>
                  <w:vAlign w:val="center"/>
                </w:tcPr>
                <w:p>
                  <w:pPr>
                    <w:adjustRightInd w:val="0"/>
                    <w:snapToGrid w:val="0"/>
                    <w:jc w:val="center"/>
                    <w:rPr>
                      <w:color w:val="FF0000"/>
                      <w:szCs w:val="21"/>
                    </w:rPr>
                  </w:pPr>
                  <w:r>
                    <w:rPr>
                      <w:rFonts w:hint="eastAsia"/>
                      <w:color w:val="FF0000"/>
                      <w:szCs w:val="21"/>
                    </w:rPr>
                    <w:t>第一排9层</w:t>
                  </w:r>
                </w:p>
              </w:tc>
              <w:tc>
                <w:tcPr>
                  <w:tcW w:w="1581" w:type="dxa"/>
                  <w:noWrap w:val="0"/>
                  <w:vAlign w:val="center"/>
                </w:tcPr>
                <w:p>
                  <w:pPr>
                    <w:adjustRightInd w:val="0"/>
                    <w:snapToGrid w:val="0"/>
                    <w:jc w:val="center"/>
                    <w:rPr>
                      <w:color w:val="FF0000"/>
                      <w:szCs w:val="21"/>
                    </w:rPr>
                  </w:pPr>
                  <w:r>
                    <w:rPr>
                      <w:rFonts w:hint="eastAsia"/>
                      <w:color w:val="FF0000"/>
                      <w:szCs w:val="21"/>
                    </w:rPr>
                    <w:t>昼间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48.1</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51.45</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53.16</w:t>
                  </w:r>
                </w:p>
              </w:tc>
              <w:tc>
                <w:tcPr>
                  <w:tcW w:w="1177" w:type="dxa"/>
                  <w:noWrap w:val="0"/>
                  <w:vAlign w:val="center"/>
                </w:tcPr>
                <w:p>
                  <w:pPr>
                    <w:adjustRightInd w:val="0"/>
                    <w:snapToGrid w:val="0"/>
                    <w:jc w:val="center"/>
                    <w:rPr>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continue"/>
                  <w:noWrap w:val="0"/>
                  <w:vAlign w:val="center"/>
                </w:tcPr>
                <w:p>
                  <w:pPr>
                    <w:widowControl/>
                    <w:jc w:val="left"/>
                    <w:rPr>
                      <w:color w:val="FF0000"/>
                      <w:szCs w:val="21"/>
                    </w:rPr>
                  </w:pPr>
                </w:p>
              </w:tc>
              <w:tc>
                <w:tcPr>
                  <w:tcW w:w="1581" w:type="dxa"/>
                  <w:noWrap w:val="0"/>
                  <w:vAlign w:val="center"/>
                </w:tcPr>
                <w:p>
                  <w:pPr>
                    <w:adjustRightInd w:val="0"/>
                    <w:snapToGrid w:val="0"/>
                    <w:jc w:val="center"/>
                    <w:rPr>
                      <w:color w:val="FF0000"/>
                      <w:szCs w:val="21"/>
                    </w:rPr>
                  </w:pPr>
                  <w:r>
                    <w:rPr>
                      <w:rFonts w:hint="eastAsia"/>
                      <w:color w:val="FF0000"/>
                      <w:szCs w:val="21"/>
                    </w:rPr>
                    <w:t>夜间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36.7</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45.59</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46.15</w:t>
                  </w:r>
                </w:p>
              </w:tc>
              <w:tc>
                <w:tcPr>
                  <w:tcW w:w="1177" w:type="dxa"/>
                  <w:noWrap w:val="0"/>
                  <w:vAlign w:val="center"/>
                </w:tcPr>
                <w:p>
                  <w:pPr>
                    <w:adjustRightInd w:val="0"/>
                    <w:snapToGrid w:val="0"/>
                    <w:jc w:val="center"/>
                    <w:rPr>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restart"/>
                  <w:noWrap w:val="0"/>
                  <w:vAlign w:val="center"/>
                </w:tcPr>
                <w:p>
                  <w:pPr>
                    <w:widowControl/>
                    <w:jc w:val="left"/>
                    <w:rPr>
                      <w:color w:val="FF0000"/>
                      <w:szCs w:val="21"/>
                    </w:rPr>
                  </w:pPr>
                  <w:r>
                    <w:rPr>
                      <w:rFonts w:hint="eastAsia"/>
                      <w:color w:val="FF0000"/>
                      <w:szCs w:val="21"/>
                    </w:rPr>
                    <w:t>第一排</w:t>
                  </w:r>
                  <w:r>
                    <w:rPr>
                      <w:rFonts w:hint="eastAsia"/>
                      <w:color w:val="FF0000"/>
                      <w:szCs w:val="21"/>
                      <w:lang w:val="en-US" w:eastAsia="zh-CN"/>
                    </w:rPr>
                    <w:t>11</w:t>
                  </w:r>
                  <w:r>
                    <w:rPr>
                      <w:rFonts w:hint="eastAsia"/>
                      <w:color w:val="FF0000"/>
                      <w:szCs w:val="21"/>
                    </w:rPr>
                    <w:t>层</w:t>
                  </w:r>
                </w:p>
              </w:tc>
              <w:tc>
                <w:tcPr>
                  <w:tcW w:w="1581" w:type="dxa"/>
                  <w:noWrap w:val="0"/>
                  <w:vAlign w:val="center"/>
                </w:tcPr>
                <w:p>
                  <w:pPr>
                    <w:adjustRightInd w:val="0"/>
                    <w:snapToGrid w:val="0"/>
                    <w:jc w:val="center"/>
                    <w:rPr>
                      <w:rFonts w:hint="eastAsia"/>
                      <w:color w:val="FF0000"/>
                      <w:szCs w:val="21"/>
                    </w:rPr>
                  </w:pPr>
                  <w:r>
                    <w:rPr>
                      <w:rFonts w:hint="eastAsia"/>
                      <w:color w:val="FF0000"/>
                      <w:szCs w:val="21"/>
                    </w:rPr>
                    <w:t>昼间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46.8</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51.15</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52.55</w:t>
                  </w:r>
                </w:p>
              </w:tc>
              <w:tc>
                <w:tcPr>
                  <w:tcW w:w="1177" w:type="dxa"/>
                  <w:noWrap w:val="0"/>
                  <w:vAlign w:val="center"/>
                </w:tcPr>
                <w:p>
                  <w:pPr>
                    <w:adjustRightInd w:val="0"/>
                    <w:snapToGrid w:val="0"/>
                    <w:jc w:val="center"/>
                    <w:rPr>
                      <w:rFonts w:hint="eastAsia"/>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continue"/>
                  <w:noWrap w:val="0"/>
                  <w:vAlign w:val="center"/>
                </w:tcPr>
                <w:p>
                  <w:pPr>
                    <w:widowControl/>
                    <w:jc w:val="left"/>
                    <w:rPr>
                      <w:color w:val="FF0000"/>
                      <w:szCs w:val="21"/>
                    </w:rPr>
                  </w:pPr>
                </w:p>
              </w:tc>
              <w:tc>
                <w:tcPr>
                  <w:tcW w:w="1581" w:type="dxa"/>
                  <w:noWrap w:val="0"/>
                  <w:vAlign w:val="center"/>
                </w:tcPr>
                <w:p>
                  <w:pPr>
                    <w:adjustRightInd w:val="0"/>
                    <w:snapToGrid w:val="0"/>
                    <w:jc w:val="center"/>
                    <w:rPr>
                      <w:rFonts w:hint="eastAsia"/>
                      <w:color w:val="FF0000"/>
                      <w:szCs w:val="21"/>
                    </w:rPr>
                  </w:pPr>
                  <w:r>
                    <w:rPr>
                      <w:rFonts w:hint="eastAsia"/>
                      <w:color w:val="FF0000"/>
                      <w:szCs w:val="21"/>
                    </w:rPr>
                    <w:t>夜间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36.9</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45.30</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45.96</w:t>
                  </w:r>
                </w:p>
              </w:tc>
              <w:tc>
                <w:tcPr>
                  <w:tcW w:w="1177" w:type="dxa"/>
                  <w:noWrap w:val="0"/>
                  <w:vAlign w:val="center"/>
                </w:tcPr>
                <w:p>
                  <w:pPr>
                    <w:adjustRightInd w:val="0"/>
                    <w:snapToGrid w:val="0"/>
                    <w:jc w:val="center"/>
                    <w:rPr>
                      <w:rFonts w:hint="eastAsia"/>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restart"/>
                  <w:noWrap w:val="0"/>
                  <w:vAlign w:val="center"/>
                </w:tcPr>
                <w:p>
                  <w:pPr>
                    <w:widowControl/>
                    <w:jc w:val="left"/>
                    <w:rPr>
                      <w:color w:val="FF0000"/>
                      <w:szCs w:val="21"/>
                    </w:rPr>
                  </w:pPr>
                  <w:r>
                    <w:rPr>
                      <w:rFonts w:hint="eastAsia"/>
                      <w:color w:val="FF0000"/>
                      <w:szCs w:val="21"/>
                    </w:rPr>
                    <w:t>第一排</w:t>
                  </w:r>
                  <w:r>
                    <w:rPr>
                      <w:rFonts w:hint="eastAsia"/>
                      <w:color w:val="FF0000"/>
                      <w:szCs w:val="21"/>
                      <w:lang w:val="en-US" w:eastAsia="zh-CN"/>
                    </w:rPr>
                    <w:t>13</w:t>
                  </w:r>
                  <w:r>
                    <w:rPr>
                      <w:rFonts w:hint="eastAsia"/>
                      <w:color w:val="FF0000"/>
                      <w:szCs w:val="21"/>
                    </w:rPr>
                    <w:t>层</w:t>
                  </w:r>
                </w:p>
              </w:tc>
              <w:tc>
                <w:tcPr>
                  <w:tcW w:w="1581" w:type="dxa"/>
                  <w:noWrap w:val="0"/>
                  <w:vAlign w:val="center"/>
                </w:tcPr>
                <w:p>
                  <w:pPr>
                    <w:adjustRightInd w:val="0"/>
                    <w:snapToGrid w:val="0"/>
                    <w:jc w:val="center"/>
                    <w:rPr>
                      <w:rFonts w:hint="eastAsia"/>
                      <w:color w:val="FF0000"/>
                      <w:szCs w:val="21"/>
                    </w:rPr>
                  </w:pPr>
                  <w:r>
                    <w:rPr>
                      <w:rFonts w:hint="eastAsia"/>
                      <w:color w:val="FF0000"/>
                      <w:szCs w:val="21"/>
                    </w:rPr>
                    <w:t>昼间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46.7</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50.83</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52.23</w:t>
                  </w:r>
                </w:p>
              </w:tc>
              <w:tc>
                <w:tcPr>
                  <w:tcW w:w="1177" w:type="dxa"/>
                  <w:noWrap w:val="0"/>
                  <w:vAlign w:val="center"/>
                </w:tcPr>
                <w:p>
                  <w:pPr>
                    <w:adjustRightInd w:val="0"/>
                    <w:snapToGrid w:val="0"/>
                    <w:jc w:val="center"/>
                    <w:rPr>
                      <w:rFonts w:hint="eastAsia"/>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continue"/>
                  <w:noWrap w:val="0"/>
                  <w:vAlign w:val="center"/>
                </w:tcPr>
                <w:p>
                  <w:pPr>
                    <w:widowControl/>
                    <w:jc w:val="left"/>
                    <w:rPr>
                      <w:color w:val="FF0000"/>
                      <w:szCs w:val="21"/>
                    </w:rPr>
                  </w:pPr>
                </w:p>
              </w:tc>
              <w:tc>
                <w:tcPr>
                  <w:tcW w:w="1581" w:type="dxa"/>
                  <w:noWrap w:val="0"/>
                  <w:vAlign w:val="center"/>
                </w:tcPr>
                <w:p>
                  <w:pPr>
                    <w:adjustRightInd w:val="0"/>
                    <w:snapToGrid w:val="0"/>
                    <w:jc w:val="center"/>
                    <w:rPr>
                      <w:rFonts w:hint="eastAsia"/>
                      <w:color w:val="FF0000"/>
                      <w:szCs w:val="21"/>
                    </w:rPr>
                  </w:pPr>
                  <w:r>
                    <w:rPr>
                      <w:rFonts w:hint="eastAsia"/>
                      <w:color w:val="FF0000"/>
                      <w:szCs w:val="21"/>
                    </w:rPr>
                    <w:t>夜间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36.4</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44.98</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45.52</w:t>
                  </w:r>
                </w:p>
              </w:tc>
              <w:tc>
                <w:tcPr>
                  <w:tcW w:w="1177" w:type="dxa"/>
                  <w:noWrap w:val="0"/>
                  <w:vAlign w:val="center"/>
                </w:tcPr>
                <w:p>
                  <w:pPr>
                    <w:adjustRightInd w:val="0"/>
                    <w:snapToGrid w:val="0"/>
                    <w:jc w:val="center"/>
                    <w:rPr>
                      <w:rFonts w:hint="eastAsia"/>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restart"/>
                  <w:noWrap w:val="0"/>
                  <w:vAlign w:val="center"/>
                </w:tcPr>
                <w:p>
                  <w:pPr>
                    <w:widowControl/>
                    <w:jc w:val="left"/>
                    <w:rPr>
                      <w:color w:val="FF0000"/>
                      <w:szCs w:val="21"/>
                    </w:rPr>
                  </w:pPr>
                  <w:r>
                    <w:rPr>
                      <w:rFonts w:hint="eastAsia"/>
                      <w:color w:val="FF0000"/>
                      <w:szCs w:val="21"/>
                    </w:rPr>
                    <w:t>第一排</w:t>
                  </w:r>
                  <w:r>
                    <w:rPr>
                      <w:rFonts w:hint="eastAsia"/>
                      <w:color w:val="FF0000"/>
                      <w:szCs w:val="21"/>
                      <w:lang w:val="en-US" w:eastAsia="zh-CN"/>
                    </w:rPr>
                    <w:t>15</w:t>
                  </w:r>
                  <w:r>
                    <w:rPr>
                      <w:rFonts w:hint="eastAsia"/>
                      <w:color w:val="FF0000"/>
                      <w:szCs w:val="21"/>
                    </w:rPr>
                    <w:t>层</w:t>
                  </w:r>
                </w:p>
              </w:tc>
              <w:tc>
                <w:tcPr>
                  <w:tcW w:w="1581" w:type="dxa"/>
                  <w:noWrap w:val="0"/>
                  <w:vAlign w:val="center"/>
                </w:tcPr>
                <w:p>
                  <w:pPr>
                    <w:adjustRightInd w:val="0"/>
                    <w:snapToGrid w:val="0"/>
                    <w:jc w:val="center"/>
                    <w:rPr>
                      <w:rFonts w:hint="eastAsia"/>
                      <w:color w:val="FF0000"/>
                      <w:szCs w:val="21"/>
                    </w:rPr>
                  </w:pPr>
                  <w:r>
                    <w:rPr>
                      <w:rFonts w:hint="eastAsia"/>
                      <w:color w:val="FF0000"/>
                      <w:szCs w:val="21"/>
                    </w:rPr>
                    <w:t>昼间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48.1</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50.49</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52.56</w:t>
                  </w:r>
                </w:p>
              </w:tc>
              <w:tc>
                <w:tcPr>
                  <w:tcW w:w="1177" w:type="dxa"/>
                  <w:noWrap w:val="0"/>
                  <w:vAlign w:val="center"/>
                </w:tcPr>
                <w:p>
                  <w:pPr>
                    <w:adjustRightInd w:val="0"/>
                    <w:snapToGrid w:val="0"/>
                    <w:jc w:val="center"/>
                    <w:rPr>
                      <w:rFonts w:hint="eastAsia"/>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continue"/>
                  <w:noWrap w:val="0"/>
                  <w:vAlign w:val="center"/>
                </w:tcPr>
                <w:p>
                  <w:pPr>
                    <w:widowControl/>
                    <w:jc w:val="left"/>
                    <w:rPr>
                      <w:color w:val="FF0000"/>
                      <w:szCs w:val="21"/>
                    </w:rPr>
                  </w:pPr>
                </w:p>
              </w:tc>
              <w:tc>
                <w:tcPr>
                  <w:tcW w:w="1581" w:type="dxa"/>
                  <w:noWrap w:val="0"/>
                  <w:vAlign w:val="center"/>
                </w:tcPr>
                <w:p>
                  <w:pPr>
                    <w:adjustRightInd w:val="0"/>
                    <w:snapToGrid w:val="0"/>
                    <w:jc w:val="center"/>
                    <w:rPr>
                      <w:rFonts w:hint="eastAsia"/>
                      <w:color w:val="FF0000"/>
                      <w:szCs w:val="21"/>
                    </w:rPr>
                  </w:pPr>
                  <w:r>
                    <w:rPr>
                      <w:rFonts w:hint="eastAsia"/>
                      <w:color w:val="FF0000"/>
                      <w:szCs w:val="21"/>
                    </w:rPr>
                    <w:t>夜间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38.9</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44.64</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45.71</w:t>
                  </w:r>
                </w:p>
              </w:tc>
              <w:tc>
                <w:tcPr>
                  <w:tcW w:w="1177" w:type="dxa"/>
                  <w:noWrap w:val="0"/>
                  <w:vAlign w:val="center"/>
                </w:tcPr>
                <w:p>
                  <w:pPr>
                    <w:adjustRightInd w:val="0"/>
                    <w:snapToGrid w:val="0"/>
                    <w:jc w:val="center"/>
                    <w:rPr>
                      <w:rFonts w:hint="eastAsia"/>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restart"/>
                  <w:noWrap w:val="0"/>
                  <w:vAlign w:val="center"/>
                </w:tcPr>
                <w:p>
                  <w:pPr>
                    <w:widowControl/>
                    <w:jc w:val="left"/>
                    <w:rPr>
                      <w:color w:val="FF0000"/>
                      <w:szCs w:val="21"/>
                    </w:rPr>
                  </w:pPr>
                  <w:r>
                    <w:rPr>
                      <w:rFonts w:hint="eastAsia"/>
                      <w:color w:val="FF0000"/>
                      <w:szCs w:val="21"/>
                    </w:rPr>
                    <w:t>第一排</w:t>
                  </w:r>
                  <w:r>
                    <w:rPr>
                      <w:rFonts w:hint="eastAsia"/>
                      <w:color w:val="FF0000"/>
                      <w:szCs w:val="21"/>
                      <w:lang w:val="en-US" w:eastAsia="zh-CN"/>
                    </w:rPr>
                    <w:t>17</w:t>
                  </w:r>
                  <w:r>
                    <w:rPr>
                      <w:rFonts w:hint="eastAsia"/>
                      <w:color w:val="FF0000"/>
                      <w:szCs w:val="21"/>
                    </w:rPr>
                    <w:t>层</w:t>
                  </w:r>
                </w:p>
              </w:tc>
              <w:tc>
                <w:tcPr>
                  <w:tcW w:w="1581" w:type="dxa"/>
                  <w:noWrap w:val="0"/>
                  <w:vAlign w:val="center"/>
                </w:tcPr>
                <w:p>
                  <w:pPr>
                    <w:adjustRightInd w:val="0"/>
                    <w:snapToGrid w:val="0"/>
                    <w:jc w:val="center"/>
                    <w:rPr>
                      <w:rFonts w:hint="eastAsia"/>
                      <w:color w:val="FF0000"/>
                      <w:szCs w:val="21"/>
                    </w:rPr>
                  </w:pPr>
                  <w:r>
                    <w:rPr>
                      <w:rFonts w:hint="eastAsia"/>
                      <w:color w:val="FF0000"/>
                      <w:szCs w:val="21"/>
                    </w:rPr>
                    <w:t>昼间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47.9</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50.15</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52.29</w:t>
                  </w:r>
                </w:p>
              </w:tc>
              <w:tc>
                <w:tcPr>
                  <w:tcW w:w="1177" w:type="dxa"/>
                  <w:noWrap w:val="0"/>
                  <w:vAlign w:val="center"/>
                </w:tcPr>
                <w:p>
                  <w:pPr>
                    <w:adjustRightInd w:val="0"/>
                    <w:snapToGrid w:val="0"/>
                    <w:jc w:val="center"/>
                    <w:rPr>
                      <w:rFonts w:hint="eastAsia"/>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continue"/>
                  <w:noWrap w:val="0"/>
                  <w:vAlign w:val="center"/>
                </w:tcPr>
                <w:p>
                  <w:pPr>
                    <w:widowControl/>
                    <w:jc w:val="left"/>
                    <w:rPr>
                      <w:color w:val="FF0000"/>
                      <w:szCs w:val="21"/>
                    </w:rPr>
                  </w:pPr>
                </w:p>
              </w:tc>
              <w:tc>
                <w:tcPr>
                  <w:tcW w:w="1581" w:type="dxa"/>
                  <w:noWrap w:val="0"/>
                  <w:vAlign w:val="center"/>
                </w:tcPr>
                <w:p>
                  <w:pPr>
                    <w:adjustRightInd w:val="0"/>
                    <w:snapToGrid w:val="0"/>
                    <w:jc w:val="center"/>
                    <w:rPr>
                      <w:rFonts w:hint="eastAsia"/>
                      <w:color w:val="FF0000"/>
                      <w:szCs w:val="21"/>
                    </w:rPr>
                  </w:pPr>
                  <w:r>
                    <w:rPr>
                      <w:rFonts w:hint="eastAsia"/>
                      <w:color w:val="FF0000"/>
                      <w:szCs w:val="21"/>
                    </w:rPr>
                    <w:t>夜间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37.6</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44.30</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45.12</w:t>
                  </w:r>
                </w:p>
              </w:tc>
              <w:tc>
                <w:tcPr>
                  <w:tcW w:w="1177" w:type="dxa"/>
                  <w:noWrap w:val="0"/>
                  <w:vAlign w:val="center"/>
                </w:tcPr>
                <w:p>
                  <w:pPr>
                    <w:adjustRightInd w:val="0"/>
                    <w:snapToGrid w:val="0"/>
                    <w:jc w:val="center"/>
                    <w:rPr>
                      <w:rFonts w:hint="eastAsia"/>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restart"/>
                  <w:noWrap w:val="0"/>
                  <w:vAlign w:val="center"/>
                </w:tcPr>
                <w:p>
                  <w:pPr>
                    <w:widowControl/>
                    <w:jc w:val="left"/>
                    <w:rPr>
                      <w:color w:val="FF0000"/>
                      <w:szCs w:val="21"/>
                    </w:rPr>
                  </w:pPr>
                  <w:r>
                    <w:rPr>
                      <w:rFonts w:hint="eastAsia"/>
                      <w:color w:val="FF0000"/>
                      <w:szCs w:val="21"/>
                    </w:rPr>
                    <w:t>第一排</w:t>
                  </w:r>
                  <w:r>
                    <w:rPr>
                      <w:rFonts w:hint="eastAsia"/>
                      <w:color w:val="FF0000"/>
                      <w:szCs w:val="21"/>
                      <w:lang w:val="en-US" w:eastAsia="zh-CN"/>
                    </w:rPr>
                    <w:t>1</w:t>
                  </w:r>
                  <w:r>
                    <w:rPr>
                      <w:rFonts w:hint="eastAsia"/>
                      <w:color w:val="FF0000"/>
                      <w:szCs w:val="21"/>
                    </w:rPr>
                    <w:t>9层</w:t>
                  </w:r>
                </w:p>
              </w:tc>
              <w:tc>
                <w:tcPr>
                  <w:tcW w:w="1581" w:type="dxa"/>
                  <w:noWrap w:val="0"/>
                  <w:vAlign w:val="center"/>
                </w:tcPr>
                <w:p>
                  <w:pPr>
                    <w:adjustRightInd w:val="0"/>
                    <w:snapToGrid w:val="0"/>
                    <w:jc w:val="center"/>
                    <w:rPr>
                      <w:rFonts w:hint="eastAsia"/>
                      <w:color w:val="FF0000"/>
                      <w:szCs w:val="21"/>
                    </w:rPr>
                  </w:pPr>
                  <w:r>
                    <w:rPr>
                      <w:rFonts w:hint="eastAsia"/>
                      <w:color w:val="FF0000"/>
                      <w:szCs w:val="21"/>
                    </w:rPr>
                    <w:t>昼间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48.1</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49.81</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52.03</w:t>
                  </w:r>
                </w:p>
              </w:tc>
              <w:tc>
                <w:tcPr>
                  <w:tcW w:w="1177" w:type="dxa"/>
                  <w:noWrap w:val="0"/>
                  <w:vAlign w:val="center"/>
                </w:tcPr>
                <w:p>
                  <w:pPr>
                    <w:adjustRightInd w:val="0"/>
                    <w:snapToGrid w:val="0"/>
                    <w:jc w:val="center"/>
                    <w:rPr>
                      <w:rFonts w:hint="eastAsia"/>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continue"/>
                  <w:noWrap w:val="0"/>
                  <w:vAlign w:val="center"/>
                </w:tcPr>
                <w:p>
                  <w:pPr>
                    <w:widowControl/>
                    <w:jc w:val="left"/>
                    <w:rPr>
                      <w:color w:val="FF0000"/>
                      <w:szCs w:val="21"/>
                    </w:rPr>
                  </w:pPr>
                </w:p>
              </w:tc>
              <w:tc>
                <w:tcPr>
                  <w:tcW w:w="1581" w:type="dxa"/>
                  <w:noWrap w:val="0"/>
                  <w:vAlign w:val="center"/>
                </w:tcPr>
                <w:p>
                  <w:pPr>
                    <w:adjustRightInd w:val="0"/>
                    <w:snapToGrid w:val="0"/>
                    <w:jc w:val="center"/>
                    <w:rPr>
                      <w:rFonts w:hint="eastAsia"/>
                      <w:color w:val="FF0000"/>
                      <w:szCs w:val="21"/>
                    </w:rPr>
                  </w:pPr>
                  <w:r>
                    <w:rPr>
                      <w:rFonts w:hint="eastAsia"/>
                      <w:color w:val="FF0000"/>
                      <w:szCs w:val="21"/>
                    </w:rPr>
                    <w:t>夜间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37.0</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43.96</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44.82</w:t>
                  </w:r>
                </w:p>
              </w:tc>
              <w:tc>
                <w:tcPr>
                  <w:tcW w:w="1177" w:type="dxa"/>
                  <w:noWrap w:val="0"/>
                  <w:vAlign w:val="center"/>
                </w:tcPr>
                <w:p>
                  <w:pPr>
                    <w:adjustRightInd w:val="0"/>
                    <w:snapToGrid w:val="0"/>
                    <w:jc w:val="center"/>
                    <w:rPr>
                      <w:rFonts w:hint="eastAsia"/>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52" w:hRule="atLeast"/>
                <w:jc w:val="center"/>
              </w:trPr>
              <w:tc>
                <w:tcPr>
                  <w:tcW w:w="8276" w:type="dxa"/>
                  <w:gridSpan w:val="7"/>
                  <w:noWrap w:val="0"/>
                  <w:vAlign w:val="center"/>
                </w:tcPr>
                <w:p>
                  <w:pPr>
                    <w:adjustRightInd w:val="0"/>
                    <w:snapToGrid w:val="0"/>
                    <w:jc w:val="left"/>
                    <w:rPr>
                      <w:color w:val="FF0000"/>
                      <w:szCs w:val="21"/>
                    </w:rPr>
                  </w:pPr>
                  <w:r>
                    <w:rPr>
                      <w:rFonts w:hint="eastAsia"/>
                      <w:color w:val="FF0000"/>
                      <w:szCs w:val="21"/>
                    </w:rPr>
                    <w:t>注：第一排建筑位于</w:t>
                  </w:r>
                  <w:r>
                    <w:rPr>
                      <w:rFonts w:hint="eastAsia"/>
                      <w:color w:val="FF0000"/>
                      <w:szCs w:val="21"/>
                      <w:lang w:val="en-US" w:eastAsia="zh-CN"/>
                    </w:rPr>
                    <w:t>2</w:t>
                  </w:r>
                  <w:r>
                    <w:rPr>
                      <w:rFonts w:hint="eastAsia"/>
                      <w:color w:val="FF0000"/>
                      <w:szCs w:val="21"/>
                    </w:rPr>
                    <w:t>类区域，执行《声环境质量标准》（</w:t>
                  </w:r>
                  <w:r>
                    <w:rPr>
                      <w:color w:val="FF0000"/>
                      <w:szCs w:val="21"/>
                    </w:rPr>
                    <w:t>GB3096-2008</w:t>
                  </w:r>
                  <w:r>
                    <w:rPr>
                      <w:rFonts w:hint="eastAsia"/>
                      <w:color w:val="FF0000"/>
                      <w:szCs w:val="21"/>
                    </w:rPr>
                    <w:t>）</w:t>
                  </w:r>
                  <w:r>
                    <w:rPr>
                      <w:rFonts w:hint="eastAsia"/>
                      <w:color w:val="FF0000"/>
                      <w:szCs w:val="21"/>
                      <w:lang w:val="en-US" w:eastAsia="zh-CN"/>
                    </w:rPr>
                    <w:t>2类</w:t>
                  </w:r>
                  <w:r>
                    <w:rPr>
                      <w:rFonts w:hint="eastAsia"/>
                      <w:color w:val="FF0000"/>
                      <w:szCs w:val="21"/>
                    </w:rPr>
                    <w:t>标准限值，昼间</w:t>
                  </w:r>
                  <w:r>
                    <w:rPr>
                      <w:rFonts w:hint="eastAsia"/>
                      <w:color w:val="FF0000"/>
                      <w:szCs w:val="21"/>
                      <w:lang w:val="en-US" w:eastAsia="zh-CN"/>
                    </w:rPr>
                    <w:t>60</w:t>
                  </w:r>
                  <w:r>
                    <w:rPr>
                      <w:color w:val="FF0000"/>
                      <w:szCs w:val="21"/>
                    </w:rPr>
                    <w:t xml:space="preserve"> dB</w:t>
                  </w:r>
                  <w:r>
                    <w:rPr>
                      <w:rFonts w:hint="eastAsia"/>
                      <w:color w:val="FF0000"/>
                      <w:szCs w:val="21"/>
                    </w:rPr>
                    <w:t>（</w:t>
                  </w:r>
                  <w:r>
                    <w:rPr>
                      <w:color w:val="FF0000"/>
                      <w:szCs w:val="21"/>
                    </w:rPr>
                    <w:t>A</w:t>
                  </w:r>
                  <w:r>
                    <w:rPr>
                      <w:rFonts w:hint="eastAsia"/>
                      <w:color w:val="FF0000"/>
                      <w:szCs w:val="21"/>
                    </w:rPr>
                    <w:t>），夜间</w:t>
                  </w:r>
                  <w:r>
                    <w:rPr>
                      <w:color w:val="FF0000"/>
                      <w:szCs w:val="21"/>
                    </w:rPr>
                    <w:t>5</w:t>
                  </w:r>
                  <w:r>
                    <w:rPr>
                      <w:rFonts w:hint="eastAsia"/>
                      <w:color w:val="FF0000"/>
                      <w:szCs w:val="21"/>
                      <w:lang w:val="en-US" w:eastAsia="zh-CN"/>
                    </w:rPr>
                    <w:t>0</w:t>
                  </w:r>
                  <w:r>
                    <w:rPr>
                      <w:color w:val="FF0000"/>
                      <w:szCs w:val="21"/>
                    </w:rPr>
                    <w:t>dB</w:t>
                  </w:r>
                  <w:r>
                    <w:rPr>
                      <w:rFonts w:hint="eastAsia"/>
                      <w:color w:val="FF0000"/>
                      <w:szCs w:val="21"/>
                    </w:rPr>
                    <w:t>（</w:t>
                  </w:r>
                  <w:r>
                    <w:rPr>
                      <w:color w:val="FF0000"/>
                      <w:szCs w:val="21"/>
                    </w:rPr>
                    <w:t>A</w:t>
                  </w:r>
                  <w:r>
                    <w:rPr>
                      <w:rFonts w:hint="eastAsia"/>
                      <w:color w:val="FF0000"/>
                      <w:szCs w:val="21"/>
                    </w:rPr>
                    <w:t>）。</w:t>
                  </w:r>
                </w:p>
              </w:tc>
            </w:tr>
          </w:tbl>
          <w:p>
            <w:pPr>
              <w:adjustRightInd w:val="0"/>
              <w:snapToGrid w:val="0"/>
              <w:spacing w:before="120" w:beforeLines="50" w:line="360" w:lineRule="auto"/>
              <w:ind w:firstLine="470" w:firstLineChars="196"/>
              <w:rPr>
                <w:rFonts w:hint="eastAsia" w:eastAsia="宋体"/>
                <w:color w:val="FF0000"/>
                <w:sz w:val="24"/>
                <w:lang w:eastAsia="zh-CN"/>
              </w:rPr>
            </w:pPr>
            <w:r>
              <w:rPr>
                <w:rFonts w:hint="eastAsia"/>
                <w:color w:val="FF0000"/>
                <w:sz w:val="24"/>
              </w:rPr>
              <w:t>根据预测结果，</w:t>
            </w:r>
            <w:r>
              <w:rPr>
                <w:rFonts w:hint="eastAsia"/>
                <w:color w:val="FF0000"/>
                <w:sz w:val="24"/>
                <w:lang w:eastAsia="zh-CN"/>
              </w:rPr>
              <w:t>中期（20</w:t>
            </w:r>
            <w:r>
              <w:rPr>
                <w:rFonts w:hint="eastAsia"/>
                <w:color w:val="FF0000"/>
                <w:sz w:val="24"/>
                <w:lang w:val="en-US" w:eastAsia="zh-CN"/>
              </w:rPr>
              <w:t>30</w:t>
            </w:r>
            <w:r>
              <w:rPr>
                <w:rFonts w:hint="eastAsia"/>
                <w:color w:val="FF0000"/>
                <w:sz w:val="24"/>
                <w:lang w:eastAsia="zh-CN"/>
              </w:rPr>
              <w:t>年）垂向噪声对</w:t>
            </w:r>
            <w:r>
              <w:rPr>
                <w:rFonts w:hint="eastAsia"/>
                <w:bCs/>
                <w:color w:val="FF0000"/>
                <w:szCs w:val="21"/>
                <w:lang w:eastAsia="zh-CN"/>
              </w:rPr>
              <w:t>凤凰上镜小区</w:t>
            </w:r>
            <w:r>
              <w:rPr>
                <w:rFonts w:hint="eastAsia"/>
                <w:color w:val="FF0000"/>
                <w:sz w:val="24"/>
                <w:lang w:eastAsia="zh-CN"/>
              </w:rPr>
              <w:t>第一</w:t>
            </w:r>
            <w:r>
              <w:rPr>
                <w:rFonts w:hint="eastAsia"/>
                <w:color w:val="FF0000"/>
                <w:sz w:val="24"/>
              </w:rPr>
              <w:t>排建筑物噪声贡献值从一层开始随着楼高的增高而加大，到第</w:t>
            </w:r>
            <w:r>
              <w:rPr>
                <w:rFonts w:hint="eastAsia"/>
                <w:color w:val="FF0000"/>
                <w:sz w:val="24"/>
                <w:lang w:eastAsia="zh-CN"/>
              </w:rPr>
              <w:t>五</w:t>
            </w:r>
            <w:r>
              <w:rPr>
                <w:rFonts w:hint="eastAsia"/>
                <w:color w:val="FF0000"/>
                <w:sz w:val="24"/>
              </w:rPr>
              <w:t>层道路噪声贡献值达到最大值，并随着楼层增高而缓慢减弱，昼间噪声最大贡献值为</w:t>
            </w:r>
            <w:r>
              <w:rPr>
                <w:rFonts w:hint="eastAsia"/>
                <w:color w:val="FF0000"/>
                <w:sz w:val="24"/>
                <w:lang w:val="en-US" w:eastAsia="zh-CN"/>
              </w:rPr>
              <w:t>51.90</w:t>
            </w:r>
            <w:r>
              <w:rPr>
                <w:color w:val="FF0000"/>
                <w:sz w:val="24"/>
              </w:rPr>
              <w:t>dB(A)</w:t>
            </w:r>
            <w:r>
              <w:rPr>
                <w:rFonts w:hint="eastAsia"/>
                <w:color w:val="FF0000"/>
                <w:sz w:val="24"/>
              </w:rPr>
              <w:t>，夜间噪声最大贡献值为4</w:t>
            </w:r>
            <w:r>
              <w:rPr>
                <w:rFonts w:hint="eastAsia"/>
                <w:color w:val="FF0000"/>
                <w:sz w:val="24"/>
                <w:lang w:val="en-US" w:eastAsia="zh-CN"/>
              </w:rPr>
              <w:t>6.04</w:t>
            </w:r>
            <w:r>
              <w:rPr>
                <w:color w:val="FF0000"/>
                <w:sz w:val="24"/>
              </w:rPr>
              <w:t>dB(A)</w:t>
            </w:r>
            <w:r>
              <w:rPr>
                <w:rFonts w:hint="eastAsia"/>
                <w:color w:val="FF0000"/>
                <w:sz w:val="24"/>
                <w:lang w:eastAsia="zh-CN"/>
              </w:rPr>
              <w:t>，</w:t>
            </w:r>
            <w:r>
              <w:rPr>
                <w:rFonts w:hAnsi="宋体" w:eastAsia="宋体"/>
                <w:color w:val="FF0000"/>
                <w:sz w:val="24"/>
                <w:szCs w:val="24"/>
              </w:rPr>
              <w:t>满足《声环境质量标准》（</w:t>
            </w:r>
            <w:r>
              <w:rPr>
                <w:color w:val="FF0000"/>
                <w:sz w:val="24"/>
                <w:szCs w:val="24"/>
              </w:rPr>
              <w:t>GB3096-2008</w:t>
            </w:r>
            <w:r>
              <w:rPr>
                <w:rFonts w:hAnsi="宋体" w:eastAsia="宋体"/>
                <w:color w:val="FF0000"/>
                <w:sz w:val="24"/>
                <w:szCs w:val="24"/>
              </w:rPr>
              <w:t>）</w:t>
            </w:r>
            <w:r>
              <w:rPr>
                <w:color w:val="FF0000"/>
                <w:sz w:val="24"/>
                <w:szCs w:val="24"/>
              </w:rPr>
              <w:t>2</w:t>
            </w:r>
            <w:r>
              <w:rPr>
                <w:rFonts w:hAnsi="宋体" w:eastAsia="宋体"/>
                <w:color w:val="FF0000"/>
                <w:sz w:val="24"/>
                <w:szCs w:val="24"/>
              </w:rPr>
              <w:t>类区标准</w:t>
            </w:r>
            <w:r>
              <w:rPr>
                <w:rFonts w:hint="eastAsia" w:hAnsi="宋体" w:eastAsia="宋体"/>
                <w:color w:val="FF0000"/>
                <w:sz w:val="24"/>
                <w:szCs w:val="24"/>
              </w:rPr>
              <w:t>（</w:t>
            </w:r>
            <w:r>
              <w:rPr>
                <w:rFonts w:hAnsi="宋体" w:eastAsia="宋体"/>
                <w:color w:val="FF0000"/>
                <w:sz w:val="24"/>
                <w:szCs w:val="24"/>
              </w:rPr>
              <w:t>昼间</w:t>
            </w:r>
            <w:r>
              <w:rPr>
                <w:color w:val="FF0000"/>
                <w:sz w:val="24"/>
                <w:szCs w:val="24"/>
              </w:rPr>
              <w:t>60dB</w:t>
            </w:r>
            <w:r>
              <w:rPr>
                <w:rFonts w:hAnsi="宋体" w:eastAsia="宋体"/>
                <w:color w:val="FF0000"/>
                <w:sz w:val="24"/>
                <w:szCs w:val="24"/>
              </w:rPr>
              <w:t>（</w:t>
            </w:r>
            <w:r>
              <w:rPr>
                <w:color w:val="FF0000"/>
                <w:sz w:val="24"/>
                <w:szCs w:val="24"/>
              </w:rPr>
              <w:t>A</w:t>
            </w:r>
            <w:r>
              <w:rPr>
                <w:rFonts w:hAnsi="宋体" w:eastAsia="宋体"/>
                <w:color w:val="FF0000"/>
                <w:sz w:val="24"/>
                <w:szCs w:val="24"/>
              </w:rPr>
              <w:t>），夜间</w:t>
            </w:r>
            <w:r>
              <w:rPr>
                <w:color w:val="FF0000"/>
                <w:sz w:val="24"/>
                <w:szCs w:val="24"/>
              </w:rPr>
              <w:t>50dB</w:t>
            </w:r>
            <w:r>
              <w:rPr>
                <w:rFonts w:hAnsi="宋体" w:eastAsia="宋体"/>
                <w:color w:val="FF0000"/>
                <w:sz w:val="24"/>
                <w:szCs w:val="24"/>
              </w:rPr>
              <w:t>（</w:t>
            </w:r>
            <w:r>
              <w:rPr>
                <w:color w:val="FF0000"/>
                <w:sz w:val="24"/>
                <w:szCs w:val="24"/>
              </w:rPr>
              <w:t>A</w:t>
            </w:r>
            <w:r>
              <w:rPr>
                <w:rFonts w:hAnsi="宋体" w:eastAsia="宋体"/>
                <w:color w:val="FF0000"/>
                <w:sz w:val="24"/>
                <w:szCs w:val="24"/>
              </w:rPr>
              <w:t>）</w:t>
            </w:r>
            <w:r>
              <w:rPr>
                <w:rFonts w:hint="eastAsia" w:hAnsi="宋体" w:eastAsia="宋体"/>
                <w:color w:val="FF0000"/>
                <w:sz w:val="24"/>
                <w:szCs w:val="24"/>
              </w:rPr>
              <w:t>）</w:t>
            </w:r>
            <w:r>
              <w:rPr>
                <w:rFonts w:hint="eastAsia" w:hAnsi="宋体"/>
                <w:color w:val="FF0000"/>
                <w:sz w:val="24"/>
                <w:szCs w:val="24"/>
                <w:lang w:eastAsia="zh-CN"/>
              </w:rPr>
              <w:t>。</w:t>
            </w:r>
          </w:p>
          <w:p>
            <w:pPr>
              <w:adjustRightInd w:val="0"/>
              <w:snapToGrid w:val="0"/>
              <w:spacing w:line="360" w:lineRule="auto"/>
              <w:jc w:val="center"/>
              <w:rPr>
                <w:rFonts w:hint="eastAsia"/>
                <w:color w:val="FF0000"/>
                <w:sz w:val="24"/>
              </w:rPr>
            </w:pPr>
            <w:r>
              <w:drawing>
                <wp:inline distT="0" distB="0" distL="114300" distR="114300">
                  <wp:extent cx="5257165" cy="2668270"/>
                  <wp:effectExtent l="0" t="0" r="635" b="17780"/>
                  <wp:docPr id="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
                          <pic:cNvPicPr>
                            <a:picLocks noChangeAspect="1"/>
                          </pic:cNvPicPr>
                        </pic:nvPicPr>
                        <pic:blipFill>
                          <a:blip r:embed="rId36"/>
                          <a:stretch>
                            <a:fillRect/>
                          </a:stretch>
                        </pic:blipFill>
                        <pic:spPr>
                          <a:xfrm>
                            <a:off x="0" y="0"/>
                            <a:ext cx="5257165" cy="2668270"/>
                          </a:xfrm>
                          <a:prstGeom prst="rect">
                            <a:avLst/>
                          </a:prstGeom>
                          <a:noFill/>
                          <a:ln>
                            <a:noFill/>
                          </a:ln>
                        </pic:spPr>
                      </pic:pic>
                    </a:graphicData>
                  </a:graphic>
                </wp:inline>
              </w:drawing>
            </w:r>
          </w:p>
          <w:p>
            <w:pPr>
              <w:adjustRightInd w:val="0"/>
              <w:snapToGrid w:val="0"/>
              <w:spacing w:line="360" w:lineRule="auto"/>
              <w:jc w:val="center"/>
              <w:rPr>
                <w:rFonts w:hint="eastAsia"/>
                <w:b/>
                <w:color w:val="FF0000"/>
                <w:sz w:val="21"/>
                <w:szCs w:val="21"/>
              </w:rPr>
            </w:pPr>
            <w:r>
              <w:rPr>
                <w:rFonts w:hint="eastAsia"/>
                <w:b/>
                <w:color w:val="FF0000"/>
                <w:sz w:val="21"/>
                <w:szCs w:val="21"/>
              </w:rPr>
              <w:t>图</w:t>
            </w:r>
            <w:r>
              <w:rPr>
                <w:rFonts w:hint="eastAsia"/>
                <w:b/>
                <w:color w:val="FF0000"/>
                <w:sz w:val="21"/>
                <w:szCs w:val="21"/>
                <w:lang w:val="en-US" w:eastAsia="zh-CN"/>
              </w:rPr>
              <w:t>8-14</w:t>
            </w:r>
            <w:r>
              <w:rPr>
                <w:rFonts w:hint="eastAsia"/>
                <w:b/>
                <w:color w:val="FF0000"/>
                <w:sz w:val="21"/>
                <w:szCs w:val="21"/>
              </w:rPr>
              <w:t xml:space="preserve">  </w:t>
            </w:r>
            <w:r>
              <w:rPr>
                <w:rFonts w:hint="eastAsia"/>
                <w:b/>
                <w:color w:val="FF0000"/>
                <w:sz w:val="21"/>
                <w:szCs w:val="21"/>
                <w:lang w:eastAsia="zh-CN"/>
              </w:rPr>
              <w:t>中期（</w:t>
            </w:r>
            <w:r>
              <w:rPr>
                <w:rFonts w:hint="eastAsia"/>
                <w:b/>
                <w:color w:val="FF0000"/>
                <w:sz w:val="21"/>
                <w:szCs w:val="21"/>
              </w:rPr>
              <w:t>20</w:t>
            </w:r>
            <w:r>
              <w:rPr>
                <w:rFonts w:hint="eastAsia"/>
                <w:b/>
                <w:color w:val="FF0000"/>
                <w:sz w:val="21"/>
                <w:szCs w:val="21"/>
                <w:lang w:val="en-US" w:eastAsia="zh-CN"/>
              </w:rPr>
              <w:t>30</w:t>
            </w:r>
            <w:r>
              <w:rPr>
                <w:rFonts w:hint="eastAsia"/>
                <w:b/>
                <w:color w:val="FF0000"/>
                <w:sz w:val="21"/>
                <w:szCs w:val="21"/>
              </w:rPr>
              <w:t>年</w:t>
            </w:r>
            <w:r>
              <w:rPr>
                <w:rFonts w:hint="eastAsia"/>
                <w:b/>
                <w:color w:val="FF0000"/>
                <w:sz w:val="21"/>
                <w:szCs w:val="21"/>
                <w:lang w:eastAsia="zh-CN"/>
              </w:rPr>
              <w:t>）</w:t>
            </w:r>
            <w:r>
              <w:rPr>
                <w:rFonts w:hint="eastAsia"/>
                <w:b/>
                <w:color w:val="FF0000"/>
                <w:sz w:val="21"/>
                <w:szCs w:val="21"/>
              </w:rPr>
              <w:t>垂向噪声昼间贡献值与楼层高度关系图</w:t>
            </w:r>
          </w:p>
          <w:p>
            <w:pPr>
              <w:adjustRightInd w:val="0"/>
              <w:snapToGrid w:val="0"/>
              <w:spacing w:line="360" w:lineRule="auto"/>
              <w:jc w:val="center"/>
              <w:rPr>
                <w:rFonts w:hint="eastAsia"/>
                <w:color w:val="FF0000"/>
                <w:sz w:val="24"/>
              </w:rPr>
            </w:pPr>
            <w:r>
              <w:drawing>
                <wp:inline distT="0" distB="0" distL="114300" distR="114300">
                  <wp:extent cx="5257165" cy="2668270"/>
                  <wp:effectExtent l="0" t="0" r="635" b="17780"/>
                  <wp:docPr id="4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9"/>
                          <pic:cNvPicPr>
                            <a:picLocks noChangeAspect="1"/>
                          </pic:cNvPicPr>
                        </pic:nvPicPr>
                        <pic:blipFill>
                          <a:blip r:embed="rId37"/>
                          <a:stretch>
                            <a:fillRect/>
                          </a:stretch>
                        </pic:blipFill>
                        <pic:spPr>
                          <a:xfrm>
                            <a:off x="0" y="0"/>
                            <a:ext cx="5257165" cy="2668270"/>
                          </a:xfrm>
                          <a:prstGeom prst="rect">
                            <a:avLst/>
                          </a:prstGeom>
                          <a:noFill/>
                          <a:ln>
                            <a:noFill/>
                          </a:ln>
                        </pic:spPr>
                      </pic:pic>
                    </a:graphicData>
                  </a:graphic>
                </wp:inline>
              </w:drawing>
            </w:r>
          </w:p>
          <w:p>
            <w:pPr>
              <w:adjustRightInd w:val="0"/>
              <w:snapToGrid w:val="0"/>
              <w:spacing w:line="360" w:lineRule="auto"/>
              <w:jc w:val="center"/>
              <w:rPr>
                <w:rFonts w:hint="eastAsia"/>
                <w:b/>
                <w:color w:val="FF0000"/>
                <w:sz w:val="21"/>
                <w:szCs w:val="21"/>
              </w:rPr>
            </w:pPr>
            <w:r>
              <w:rPr>
                <w:rFonts w:hint="eastAsia"/>
                <w:b/>
                <w:color w:val="FF0000"/>
                <w:sz w:val="21"/>
                <w:szCs w:val="21"/>
              </w:rPr>
              <w:t>图</w:t>
            </w:r>
            <w:r>
              <w:rPr>
                <w:rFonts w:hint="eastAsia"/>
                <w:b/>
                <w:color w:val="FF0000"/>
                <w:sz w:val="21"/>
                <w:szCs w:val="21"/>
                <w:lang w:val="en-US" w:eastAsia="zh-CN"/>
              </w:rPr>
              <w:t>8-15</w:t>
            </w:r>
            <w:r>
              <w:rPr>
                <w:rFonts w:hint="eastAsia"/>
                <w:b/>
                <w:color w:val="FF0000"/>
                <w:sz w:val="21"/>
                <w:szCs w:val="21"/>
              </w:rPr>
              <w:t xml:space="preserve">  </w:t>
            </w:r>
            <w:r>
              <w:rPr>
                <w:rFonts w:hint="eastAsia"/>
                <w:b/>
                <w:color w:val="FF0000"/>
                <w:sz w:val="21"/>
                <w:szCs w:val="21"/>
                <w:lang w:eastAsia="zh-CN"/>
              </w:rPr>
              <w:t>中期（</w:t>
            </w:r>
            <w:r>
              <w:rPr>
                <w:rFonts w:hint="eastAsia"/>
                <w:b/>
                <w:color w:val="FF0000"/>
                <w:sz w:val="21"/>
                <w:szCs w:val="21"/>
              </w:rPr>
              <w:t>20</w:t>
            </w:r>
            <w:r>
              <w:rPr>
                <w:rFonts w:hint="eastAsia"/>
                <w:b/>
                <w:color w:val="FF0000"/>
                <w:sz w:val="21"/>
                <w:szCs w:val="21"/>
                <w:lang w:val="en-US" w:eastAsia="zh-CN"/>
              </w:rPr>
              <w:t>30</w:t>
            </w:r>
            <w:r>
              <w:rPr>
                <w:rFonts w:hint="eastAsia"/>
                <w:b/>
                <w:color w:val="FF0000"/>
                <w:sz w:val="21"/>
                <w:szCs w:val="21"/>
              </w:rPr>
              <w:t>年</w:t>
            </w:r>
            <w:r>
              <w:rPr>
                <w:rFonts w:hint="eastAsia"/>
                <w:b/>
                <w:color w:val="FF0000"/>
                <w:sz w:val="21"/>
                <w:szCs w:val="21"/>
                <w:lang w:eastAsia="zh-CN"/>
              </w:rPr>
              <w:t>）</w:t>
            </w:r>
            <w:r>
              <w:rPr>
                <w:rFonts w:hint="eastAsia"/>
                <w:b/>
                <w:color w:val="FF0000"/>
                <w:sz w:val="21"/>
                <w:szCs w:val="21"/>
              </w:rPr>
              <w:t>垂向噪声</w:t>
            </w:r>
            <w:r>
              <w:rPr>
                <w:rFonts w:hint="eastAsia"/>
                <w:b/>
                <w:color w:val="FF0000"/>
                <w:sz w:val="21"/>
                <w:szCs w:val="21"/>
                <w:lang w:eastAsia="zh-CN"/>
              </w:rPr>
              <w:t>夜</w:t>
            </w:r>
            <w:r>
              <w:rPr>
                <w:rFonts w:hint="eastAsia"/>
                <w:b/>
                <w:color w:val="FF0000"/>
                <w:sz w:val="21"/>
                <w:szCs w:val="21"/>
              </w:rPr>
              <w:t>间贡献值与楼层高度关系图</w:t>
            </w:r>
          </w:p>
          <w:p>
            <w:pPr>
              <w:adjustRightInd w:val="0"/>
              <w:snapToGrid w:val="0"/>
              <w:spacing w:line="360" w:lineRule="auto"/>
              <w:ind w:firstLine="482"/>
              <w:rPr>
                <w:color w:val="FF0000"/>
                <w:sz w:val="24"/>
              </w:rPr>
            </w:pPr>
            <w:r>
              <w:rPr>
                <w:rFonts w:hint="eastAsia" w:ascii="宋体" w:hAnsi="宋体"/>
                <w:color w:val="FF0000"/>
                <w:sz w:val="24"/>
              </w:rPr>
              <w:t>③</w:t>
            </w:r>
            <w:r>
              <w:rPr>
                <w:rFonts w:hint="eastAsia"/>
                <w:color w:val="FF0000"/>
                <w:sz w:val="24"/>
              </w:rPr>
              <w:t>远期（</w:t>
            </w:r>
            <w:r>
              <w:rPr>
                <w:color w:val="FF0000"/>
                <w:sz w:val="24"/>
              </w:rPr>
              <w:t>20</w:t>
            </w:r>
            <w:r>
              <w:rPr>
                <w:rFonts w:hint="eastAsia"/>
                <w:color w:val="FF0000"/>
                <w:sz w:val="24"/>
              </w:rPr>
              <w:t>3</w:t>
            </w:r>
            <w:r>
              <w:rPr>
                <w:rFonts w:hint="eastAsia"/>
                <w:color w:val="FF0000"/>
                <w:sz w:val="24"/>
                <w:lang w:val="en-US" w:eastAsia="zh-CN"/>
              </w:rPr>
              <w:t>8</w:t>
            </w:r>
            <w:r>
              <w:rPr>
                <w:rFonts w:hint="eastAsia"/>
                <w:color w:val="FF0000"/>
                <w:sz w:val="24"/>
              </w:rPr>
              <w:t>年）垂向噪声预测</w:t>
            </w:r>
          </w:p>
          <w:p>
            <w:pPr>
              <w:adjustRightInd w:val="0"/>
              <w:snapToGrid w:val="0"/>
              <w:spacing w:line="360" w:lineRule="auto"/>
              <w:ind w:firstLine="482"/>
              <w:rPr>
                <w:rFonts w:hint="eastAsia"/>
                <w:color w:val="FF0000"/>
                <w:sz w:val="24"/>
                <w:szCs w:val="24"/>
              </w:rPr>
            </w:pPr>
            <w:r>
              <w:rPr>
                <w:rFonts w:hint="eastAsia"/>
                <w:color w:val="FF0000"/>
                <w:sz w:val="24"/>
              </w:rPr>
              <w:t>远期（</w:t>
            </w:r>
            <w:r>
              <w:rPr>
                <w:color w:val="FF0000"/>
                <w:sz w:val="24"/>
              </w:rPr>
              <w:t>20</w:t>
            </w:r>
            <w:r>
              <w:rPr>
                <w:rFonts w:hint="eastAsia"/>
                <w:color w:val="FF0000"/>
                <w:sz w:val="24"/>
              </w:rPr>
              <w:t>3</w:t>
            </w:r>
            <w:r>
              <w:rPr>
                <w:rFonts w:hint="eastAsia"/>
                <w:color w:val="FF0000"/>
                <w:sz w:val="24"/>
                <w:lang w:val="en-US" w:eastAsia="zh-CN"/>
              </w:rPr>
              <w:t>8</w:t>
            </w:r>
            <w:r>
              <w:rPr>
                <w:rFonts w:hint="eastAsia"/>
                <w:color w:val="FF0000"/>
                <w:sz w:val="24"/>
              </w:rPr>
              <w:t>年）垂向噪声预测情况见表</w:t>
            </w:r>
            <w:r>
              <w:rPr>
                <w:rFonts w:hint="eastAsia"/>
                <w:color w:val="FF0000"/>
                <w:sz w:val="24"/>
                <w:lang w:val="en-US" w:eastAsia="zh-CN"/>
              </w:rPr>
              <w:t>8-16</w:t>
            </w:r>
            <w:r>
              <w:rPr>
                <w:rFonts w:hint="eastAsia"/>
                <w:color w:val="FF0000"/>
                <w:sz w:val="24"/>
              </w:rPr>
              <w:t>。</w:t>
            </w:r>
            <w:r>
              <w:rPr>
                <w:rFonts w:hint="eastAsia"/>
                <w:color w:val="FF0000"/>
                <w:sz w:val="24"/>
                <w:szCs w:val="24"/>
                <w:lang w:val="en-US" w:eastAsia="zh-CN"/>
              </w:rPr>
              <w:t>贡献值与</w:t>
            </w:r>
            <w:r>
              <w:rPr>
                <w:rFonts w:hint="eastAsia"/>
                <w:color w:val="FF0000"/>
                <w:sz w:val="24"/>
                <w:szCs w:val="24"/>
              </w:rPr>
              <w:t>第一排建筑</w:t>
            </w:r>
            <w:r>
              <w:rPr>
                <w:rFonts w:hint="eastAsia"/>
                <w:color w:val="FF0000"/>
                <w:sz w:val="24"/>
                <w:szCs w:val="24"/>
                <w:lang w:eastAsia="zh-CN"/>
              </w:rPr>
              <w:t>楼层高度关系</w:t>
            </w:r>
            <w:r>
              <w:rPr>
                <w:rFonts w:hint="eastAsia"/>
                <w:color w:val="FF0000"/>
                <w:sz w:val="24"/>
                <w:szCs w:val="24"/>
              </w:rPr>
              <w:t>预测见图</w:t>
            </w:r>
            <w:r>
              <w:rPr>
                <w:rFonts w:hint="eastAsia"/>
                <w:color w:val="FF0000"/>
                <w:sz w:val="24"/>
                <w:szCs w:val="24"/>
                <w:lang w:val="en-US" w:eastAsia="zh-CN"/>
              </w:rPr>
              <w:t>8-16</w:t>
            </w:r>
            <w:r>
              <w:rPr>
                <w:rFonts w:hint="eastAsia"/>
                <w:color w:val="FF0000"/>
                <w:sz w:val="24"/>
                <w:szCs w:val="24"/>
                <w:lang w:eastAsia="zh-CN"/>
              </w:rPr>
              <w:t>、</w:t>
            </w:r>
            <w:r>
              <w:rPr>
                <w:rFonts w:hint="eastAsia"/>
                <w:color w:val="FF0000"/>
                <w:sz w:val="24"/>
                <w:szCs w:val="24"/>
                <w:lang w:val="en-US" w:eastAsia="zh-CN"/>
              </w:rPr>
              <w:t>8-17</w:t>
            </w:r>
            <w:r>
              <w:rPr>
                <w:rFonts w:hint="eastAsia"/>
                <w:color w:val="FF0000"/>
                <w:sz w:val="24"/>
                <w:szCs w:val="24"/>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949" w:firstLineChars="450"/>
              <w:jc w:val="center"/>
              <w:textAlignment w:val="auto"/>
              <w:rPr>
                <w:rFonts w:hint="eastAsia"/>
                <w:b/>
                <w:color w:val="FF0000"/>
                <w:sz w:val="21"/>
                <w:szCs w:val="21"/>
                <w:lang w:eastAsia="zh-CN"/>
              </w:rPr>
            </w:pPr>
            <w:r>
              <w:rPr>
                <w:rFonts w:hint="eastAsia"/>
                <w:b/>
                <w:color w:val="FF0000"/>
                <w:sz w:val="21"/>
                <w:szCs w:val="21"/>
                <w:lang w:eastAsia="zh-CN"/>
              </w:rPr>
              <w:t>表</w:t>
            </w:r>
            <w:r>
              <w:rPr>
                <w:rFonts w:hint="eastAsia"/>
                <w:b/>
                <w:color w:val="FF0000"/>
                <w:sz w:val="21"/>
                <w:szCs w:val="21"/>
                <w:lang w:val="en-US" w:eastAsia="zh-CN"/>
              </w:rPr>
              <w:t>8-16</w:t>
            </w:r>
            <w:r>
              <w:rPr>
                <w:rFonts w:hint="eastAsia"/>
                <w:b/>
                <w:color w:val="FF0000"/>
                <w:sz w:val="21"/>
                <w:szCs w:val="21"/>
                <w:lang w:eastAsia="zh-CN"/>
              </w:rPr>
              <w:t xml:space="preserve">      远期（20</w:t>
            </w:r>
            <w:r>
              <w:rPr>
                <w:rFonts w:hint="eastAsia"/>
                <w:b/>
                <w:color w:val="FF0000"/>
                <w:sz w:val="21"/>
                <w:szCs w:val="21"/>
                <w:lang w:val="en-US" w:eastAsia="zh-CN"/>
              </w:rPr>
              <w:t>38</w:t>
            </w:r>
            <w:r>
              <w:rPr>
                <w:rFonts w:hint="eastAsia"/>
                <w:b/>
                <w:color w:val="FF0000"/>
                <w:sz w:val="21"/>
                <w:szCs w:val="21"/>
                <w:lang w:eastAsia="zh-CN"/>
              </w:rPr>
              <w:t>年）垂向噪声预测结果一览表</w:t>
            </w:r>
          </w:p>
          <w:tbl>
            <w:tblPr>
              <w:tblStyle w:val="26"/>
              <w:tblW w:w="827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09"/>
              <w:gridCol w:w="1434"/>
              <w:gridCol w:w="1581"/>
              <w:gridCol w:w="1047"/>
              <w:gridCol w:w="1047"/>
              <w:gridCol w:w="1081"/>
              <w:gridCol w:w="117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909" w:type="dxa"/>
                  <w:noWrap w:val="0"/>
                  <w:vAlign w:val="center"/>
                </w:tcPr>
                <w:p>
                  <w:pPr>
                    <w:adjustRightInd w:val="0"/>
                    <w:snapToGrid w:val="0"/>
                    <w:jc w:val="center"/>
                    <w:rPr>
                      <w:b/>
                      <w:color w:val="FF0000"/>
                      <w:szCs w:val="21"/>
                    </w:rPr>
                  </w:pPr>
                  <w:r>
                    <w:rPr>
                      <w:rFonts w:hint="eastAsia"/>
                      <w:b/>
                      <w:color w:val="FF0000"/>
                      <w:szCs w:val="21"/>
                    </w:rPr>
                    <w:t>名称</w:t>
                  </w:r>
                </w:p>
              </w:tc>
              <w:tc>
                <w:tcPr>
                  <w:tcW w:w="1434" w:type="dxa"/>
                  <w:noWrap w:val="0"/>
                  <w:vAlign w:val="center"/>
                </w:tcPr>
                <w:p>
                  <w:pPr>
                    <w:adjustRightInd w:val="0"/>
                    <w:snapToGrid w:val="0"/>
                    <w:jc w:val="center"/>
                    <w:rPr>
                      <w:b/>
                      <w:color w:val="FF0000"/>
                      <w:szCs w:val="21"/>
                    </w:rPr>
                  </w:pPr>
                  <w:r>
                    <w:rPr>
                      <w:rFonts w:hint="eastAsia"/>
                      <w:b/>
                      <w:color w:val="FF0000"/>
                      <w:szCs w:val="21"/>
                    </w:rPr>
                    <w:t>监测点位</w:t>
                  </w:r>
                </w:p>
              </w:tc>
              <w:tc>
                <w:tcPr>
                  <w:tcW w:w="1581" w:type="dxa"/>
                  <w:noWrap w:val="0"/>
                  <w:vAlign w:val="center"/>
                </w:tcPr>
                <w:p>
                  <w:pPr>
                    <w:adjustRightInd w:val="0"/>
                    <w:snapToGrid w:val="0"/>
                    <w:jc w:val="center"/>
                    <w:rPr>
                      <w:b/>
                      <w:color w:val="FF0000"/>
                      <w:szCs w:val="21"/>
                    </w:rPr>
                  </w:pPr>
                  <w:r>
                    <w:rPr>
                      <w:rFonts w:hint="eastAsia"/>
                      <w:b/>
                      <w:color w:val="FF0000"/>
                      <w:szCs w:val="21"/>
                    </w:rPr>
                    <w:t>监测时段</w:t>
                  </w:r>
                </w:p>
              </w:tc>
              <w:tc>
                <w:tcPr>
                  <w:tcW w:w="1047" w:type="dxa"/>
                  <w:noWrap w:val="0"/>
                  <w:vAlign w:val="center"/>
                </w:tcPr>
                <w:p>
                  <w:pPr>
                    <w:adjustRightInd w:val="0"/>
                    <w:snapToGrid w:val="0"/>
                    <w:jc w:val="center"/>
                    <w:rPr>
                      <w:b/>
                      <w:color w:val="FF0000"/>
                      <w:szCs w:val="21"/>
                    </w:rPr>
                  </w:pPr>
                  <w:r>
                    <w:rPr>
                      <w:rFonts w:hint="eastAsia"/>
                      <w:b/>
                      <w:color w:val="FF0000"/>
                      <w:szCs w:val="21"/>
                    </w:rPr>
                    <w:t>背景值</w:t>
                  </w:r>
                </w:p>
              </w:tc>
              <w:tc>
                <w:tcPr>
                  <w:tcW w:w="1047" w:type="dxa"/>
                  <w:noWrap w:val="0"/>
                  <w:vAlign w:val="center"/>
                </w:tcPr>
                <w:p>
                  <w:pPr>
                    <w:adjustRightInd w:val="0"/>
                    <w:snapToGrid w:val="0"/>
                    <w:jc w:val="center"/>
                    <w:rPr>
                      <w:b/>
                      <w:color w:val="FF0000"/>
                      <w:szCs w:val="21"/>
                    </w:rPr>
                  </w:pPr>
                  <w:r>
                    <w:rPr>
                      <w:rFonts w:hint="eastAsia"/>
                      <w:b/>
                      <w:color w:val="FF0000"/>
                      <w:szCs w:val="21"/>
                    </w:rPr>
                    <w:t>贡献值</w:t>
                  </w:r>
                </w:p>
              </w:tc>
              <w:tc>
                <w:tcPr>
                  <w:tcW w:w="1081" w:type="dxa"/>
                  <w:noWrap w:val="0"/>
                  <w:vAlign w:val="center"/>
                </w:tcPr>
                <w:p>
                  <w:pPr>
                    <w:adjustRightInd w:val="0"/>
                    <w:snapToGrid w:val="0"/>
                    <w:jc w:val="center"/>
                    <w:rPr>
                      <w:b/>
                      <w:color w:val="FF0000"/>
                      <w:szCs w:val="21"/>
                    </w:rPr>
                  </w:pPr>
                  <w:r>
                    <w:rPr>
                      <w:rFonts w:hint="eastAsia"/>
                      <w:b/>
                      <w:color w:val="FF0000"/>
                      <w:szCs w:val="21"/>
                    </w:rPr>
                    <w:t>预测值</w:t>
                  </w:r>
                </w:p>
              </w:tc>
              <w:tc>
                <w:tcPr>
                  <w:tcW w:w="1177" w:type="dxa"/>
                  <w:noWrap w:val="0"/>
                  <w:vAlign w:val="center"/>
                </w:tcPr>
                <w:p>
                  <w:pPr>
                    <w:adjustRightInd w:val="0"/>
                    <w:snapToGrid w:val="0"/>
                    <w:jc w:val="center"/>
                    <w:rPr>
                      <w:b/>
                      <w:color w:val="FF0000"/>
                      <w:szCs w:val="21"/>
                    </w:rPr>
                  </w:pPr>
                  <w:r>
                    <w:rPr>
                      <w:rFonts w:hint="eastAsia"/>
                      <w:b/>
                      <w:color w:val="FF0000"/>
                      <w:szCs w:val="21"/>
                    </w:rPr>
                    <w:t>达标情况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42" w:hRule="atLeast"/>
                <w:jc w:val="center"/>
              </w:trPr>
              <w:tc>
                <w:tcPr>
                  <w:tcW w:w="909" w:type="dxa"/>
                  <w:vMerge w:val="restart"/>
                  <w:noWrap w:val="0"/>
                  <w:vAlign w:val="center"/>
                </w:tcPr>
                <w:p>
                  <w:pPr>
                    <w:adjustRightInd w:val="0"/>
                    <w:snapToGrid w:val="0"/>
                    <w:jc w:val="center"/>
                    <w:rPr>
                      <w:color w:val="FF0000"/>
                      <w:szCs w:val="21"/>
                    </w:rPr>
                  </w:pPr>
                  <w:r>
                    <w:rPr>
                      <w:rFonts w:hint="eastAsia"/>
                      <w:bCs/>
                      <w:color w:val="FF0000"/>
                      <w:szCs w:val="21"/>
                      <w:lang w:eastAsia="zh-CN"/>
                    </w:rPr>
                    <w:t>凤凰上镜小区</w:t>
                  </w:r>
                </w:p>
              </w:tc>
              <w:tc>
                <w:tcPr>
                  <w:tcW w:w="1434" w:type="dxa"/>
                  <w:vMerge w:val="restart"/>
                  <w:noWrap w:val="0"/>
                  <w:vAlign w:val="center"/>
                </w:tcPr>
                <w:p>
                  <w:pPr>
                    <w:adjustRightInd w:val="0"/>
                    <w:snapToGrid w:val="0"/>
                    <w:jc w:val="center"/>
                    <w:rPr>
                      <w:color w:val="FF0000"/>
                      <w:szCs w:val="21"/>
                    </w:rPr>
                  </w:pPr>
                  <w:r>
                    <w:rPr>
                      <w:rFonts w:hint="eastAsia"/>
                      <w:color w:val="FF0000"/>
                      <w:szCs w:val="21"/>
                    </w:rPr>
                    <w:t>第一排1层</w:t>
                  </w:r>
                </w:p>
              </w:tc>
              <w:tc>
                <w:tcPr>
                  <w:tcW w:w="1581" w:type="dxa"/>
                  <w:noWrap w:val="0"/>
                  <w:vAlign w:val="center"/>
                </w:tcPr>
                <w:p>
                  <w:pPr>
                    <w:adjustRightInd w:val="0"/>
                    <w:snapToGrid w:val="0"/>
                    <w:jc w:val="center"/>
                    <w:rPr>
                      <w:color w:val="FF0000"/>
                      <w:szCs w:val="21"/>
                    </w:rPr>
                  </w:pPr>
                  <w:r>
                    <w:rPr>
                      <w:rFonts w:hint="eastAsia"/>
                      <w:color w:val="FF0000"/>
                      <w:szCs w:val="21"/>
                    </w:rPr>
                    <w:t>昼间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48.8</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49.38</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52.13</w:t>
                  </w:r>
                </w:p>
              </w:tc>
              <w:tc>
                <w:tcPr>
                  <w:tcW w:w="1177" w:type="dxa"/>
                  <w:noWrap w:val="0"/>
                  <w:vAlign w:val="center"/>
                </w:tcPr>
                <w:p>
                  <w:pPr>
                    <w:adjustRightInd w:val="0"/>
                    <w:snapToGrid w:val="0"/>
                    <w:jc w:val="center"/>
                    <w:rPr>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continue"/>
                  <w:noWrap w:val="0"/>
                  <w:vAlign w:val="center"/>
                </w:tcPr>
                <w:p>
                  <w:pPr>
                    <w:widowControl/>
                    <w:jc w:val="left"/>
                    <w:rPr>
                      <w:color w:val="FF0000"/>
                      <w:szCs w:val="21"/>
                    </w:rPr>
                  </w:pPr>
                </w:p>
              </w:tc>
              <w:tc>
                <w:tcPr>
                  <w:tcW w:w="1581" w:type="dxa"/>
                  <w:noWrap w:val="0"/>
                  <w:vAlign w:val="center"/>
                </w:tcPr>
                <w:p>
                  <w:pPr>
                    <w:adjustRightInd w:val="0"/>
                    <w:snapToGrid w:val="0"/>
                    <w:jc w:val="center"/>
                    <w:rPr>
                      <w:color w:val="FF0000"/>
                      <w:szCs w:val="21"/>
                    </w:rPr>
                  </w:pPr>
                  <w:r>
                    <w:rPr>
                      <w:rFonts w:hint="eastAsia"/>
                      <w:color w:val="FF0000"/>
                      <w:szCs w:val="21"/>
                    </w:rPr>
                    <w:t>夜间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36.6</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43.32</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44.22</w:t>
                  </w:r>
                </w:p>
              </w:tc>
              <w:tc>
                <w:tcPr>
                  <w:tcW w:w="1177" w:type="dxa"/>
                  <w:noWrap w:val="0"/>
                  <w:vAlign w:val="center"/>
                </w:tcPr>
                <w:p>
                  <w:pPr>
                    <w:adjustRightInd w:val="0"/>
                    <w:snapToGrid w:val="0"/>
                    <w:jc w:val="center"/>
                    <w:rPr>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42" w:hRule="atLeast"/>
                <w:jc w:val="center"/>
              </w:trPr>
              <w:tc>
                <w:tcPr>
                  <w:tcW w:w="909" w:type="dxa"/>
                  <w:vMerge w:val="continue"/>
                  <w:noWrap w:val="0"/>
                  <w:vAlign w:val="center"/>
                </w:tcPr>
                <w:p>
                  <w:pPr>
                    <w:widowControl/>
                    <w:jc w:val="left"/>
                    <w:rPr>
                      <w:color w:val="FF0000"/>
                      <w:szCs w:val="21"/>
                    </w:rPr>
                  </w:pPr>
                </w:p>
              </w:tc>
              <w:tc>
                <w:tcPr>
                  <w:tcW w:w="1434" w:type="dxa"/>
                  <w:vMerge w:val="restart"/>
                  <w:noWrap w:val="0"/>
                  <w:vAlign w:val="center"/>
                </w:tcPr>
                <w:p>
                  <w:pPr>
                    <w:adjustRightInd w:val="0"/>
                    <w:snapToGrid w:val="0"/>
                    <w:jc w:val="center"/>
                    <w:rPr>
                      <w:color w:val="FF0000"/>
                      <w:szCs w:val="21"/>
                    </w:rPr>
                  </w:pPr>
                  <w:r>
                    <w:rPr>
                      <w:rFonts w:hint="eastAsia"/>
                      <w:color w:val="FF0000"/>
                      <w:szCs w:val="21"/>
                    </w:rPr>
                    <w:t>第一排3层</w:t>
                  </w:r>
                </w:p>
              </w:tc>
              <w:tc>
                <w:tcPr>
                  <w:tcW w:w="1581" w:type="dxa"/>
                  <w:noWrap w:val="0"/>
                  <w:vAlign w:val="center"/>
                </w:tcPr>
                <w:p>
                  <w:pPr>
                    <w:adjustRightInd w:val="0"/>
                    <w:snapToGrid w:val="0"/>
                    <w:jc w:val="center"/>
                    <w:rPr>
                      <w:color w:val="FF0000"/>
                      <w:szCs w:val="21"/>
                    </w:rPr>
                  </w:pPr>
                  <w:r>
                    <w:rPr>
                      <w:rFonts w:hint="eastAsia"/>
                      <w:color w:val="FF0000"/>
                      <w:szCs w:val="21"/>
                    </w:rPr>
                    <w:t>昼间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48.2</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52.30</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53.71</w:t>
                  </w:r>
                </w:p>
              </w:tc>
              <w:tc>
                <w:tcPr>
                  <w:tcW w:w="1177" w:type="dxa"/>
                  <w:noWrap w:val="0"/>
                  <w:vAlign w:val="center"/>
                </w:tcPr>
                <w:p>
                  <w:pPr>
                    <w:adjustRightInd w:val="0"/>
                    <w:snapToGrid w:val="0"/>
                    <w:jc w:val="center"/>
                    <w:rPr>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continue"/>
                  <w:noWrap w:val="0"/>
                  <w:vAlign w:val="center"/>
                </w:tcPr>
                <w:p>
                  <w:pPr>
                    <w:widowControl/>
                    <w:jc w:val="left"/>
                    <w:rPr>
                      <w:color w:val="FF0000"/>
                      <w:szCs w:val="21"/>
                    </w:rPr>
                  </w:pPr>
                </w:p>
              </w:tc>
              <w:tc>
                <w:tcPr>
                  <w:tcW w:w="1581" w:type="dxa"/>
                  <w:noWrap w:val="0"/>
                  <w:vAlign w:val="center"/>
                </w:tcPr>
                <w:p>
                  <w:pPr>
                    <w:adjustRightInd w:val="0"/>
                    <w:snapToGrid w:val="0"/>
                    <w:jc w:val="center"/>
                    <w:rPr>
                      <w:color w:val="FF0000"/>
                      <w:szCs w:val="21"/>
                    </w:rPr>
                  </w:pPr>
                  <w:r>
                    <w:rPr>
                      <w:rFonts w:hint="eastAsia"/>
                      <w:color w:val="FF0000"/>
                      <w:szCs w:val="21"/>
                    </w:rPr>
                    <w:t>夜间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36.0</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46.24</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46.65</w:t>
                  </w:r>
                </w:p>
              </w:tc>
              <w:tc>
                <w:tcPr>
                  <w:tcW w:w="1177" w:type="dxa"/>
                  <w:noWrap w:val="0"/>
                  <w:vAlign w:val="center"/>
                </w:tcPr>
                <w:p>
                  <w:pPr>
                    <w:adjustRightInd w:val="0"/>
                    <w:snapToGrid w:val="0"/>
                    <w:jc w:val="center"/>
                    <w:rPr>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restart"/>
                  <w:noWrap w:val="0"/>
                  <w:vAlign w:val="center"/>
                </w:tcPr>
                <w:p>
                  <w:pPr>
                    <w:adjustRightInd w:val="0"/>
                    <w:snapToGrid w:val="0"/>
                    <w:jc w:val="center"/>
                    <w:rPr>
                      <w:color w:val="FF0000"/>
                      <w:szCs w:val="21"/>
                    </w:rPr>
                  </w:pPr>
                  <w:r>
                    <w:rPr>
                      <w:rFonts w:hint="eastAsia"/>
                      <w:color w:val="FF0000"/>
                      <w:szCs w:val="21"/>
                    </w:rPr>
                    <w:t>第一排5层</w:t>
                  </w:r>
                </w:p>
              </w:tc>
              <w:tc>
                <w:tcPr>
                  <w:tcW w:w="1581" w:type="dxa"/>
                  <w:noWrap w:val="0"/>
                  <w:vAlign w:val="center"/>
                </w:tcPr>
                <w:p>
                  <w:pPr>
                    <w:adjustRightInd w:val="0"/>
                    <w:snapToGrid w:val="0"/>
                    <w:jc w:val="center"/>
                    <w:rPr>
                      <w:color w:val="FF0000"/>
                      <w:szCs w:val="21"/>
                    </w:rPr>
                  </w:pPr>
                  <w:r>
                    <w:rPr>
                      <w:rFonts w:hint="eastAsia"/>
                      <w:color w:val="FF0000"/>
                      <w:szCs w:val="21"/>
                    </w:rPr>
                    <w:t>昼间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47.5</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53.61</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54.62</w:t>
                  </w:r>
                </w:p>
              </w:tc>
              <w:tc>
                <w:tcPr>
                  <w:tcW w:w="1177" w:type="dxa"/>
                  <w:noWrap w:val="0"/>
                  <w:vAlign w:val="center"/>
                </w:tcPr>
                <w:p>
                  <w:pPr>
                    <w:adjustRightInd w:val="0"/>
                    <w:snapToGrid w:val="0"/>
                    <w:jc w:val="center"/>
                    <w:rPr>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continue"/>
                  <w:noWrap w:val="0"/>
                  <w:vAlign w:val="center"/>
                </w:tcPr>
                <w:p>
                  <w:pPr>
                    <w:widowControl/>
                    <w:jc w:val="left"/>
                    <w:rPr>
                      <w:color w:val="FF0000"/>
                      <w:szCs w:val="21"/>
                    </w:rPr>
                  </w:pPr>
                </w:p>
              </w:tc>
              <w:tc>
                <w:tcPr>
                  <w:tcW w:w="1581" w:type="dxa"/>
                  <w:noWrap w:val="0"/>
                  <w:vAlign w:val="center"/>
                </w:tcPr>
                <w:p>
                  <w:pPr>
                    <w:adjustRightInd w:val="0"/>
                    <w:snapToGrid w:val="0"/>
                    <w:jc w:val="center"/>
                    <w:rPr>
                      <w:color w:val="FF0000"/>
                      <w:szCs w:val="21"/>
                    </w:rPr>
                  </w:pPr>
                  <w:r>
                    <w:rPr>
                      <w:rFonts w:hint="eastAsia"/>
                      <w:color w:val="FF0000"/>
                      <w:szCs w:val="21"/>
                    </w:rPr>
                    <w:t>夜间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36.5</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47.55</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47.92</w:t>
                  </w:r>
                </w:p>
              </w:tc>
              <w:tc>
                <w:tcPr>
                  <w:tcW w:w="1177" w:type="dxa"/>
                  <w:noWrap w:val="0"/>
                  <w:vAlign w:val="center"/>
                </w:tcPr>
                <w:p>
                  <w:pPr>
                    <w:adjustRightInd w:val="0"/>
                    <w:snapToGrid w:val="0"/>
                    <w:jc w:val="center"/>
                    <w:rPr>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restart"/>
                  <w:noWrap w:val="0"/>
                  <w:vAlign w:val="center"/>
                </w:tcPr>
                <w:p>
                  <w:pPr>
                    <w:adjustRightInd w:val="0"/>
                    <w:snapToGrid w:val="0"/>
                    <w:jc w:val="center"/>
                    <w:rPr>
                      <w:color w:val="FF0000"/>
                      <w:szCs w:val="21"/>
                    </w:rPr>
                  </w:pPr>
                  <w:r>
                    <w:rPr>
                      <w:rFonts w:hint="eastAsia"/>
                      <w:color w:val="FF0000"/>
                      <w:szCs w:val="21"/>
                    </w:rPr>
                    <w:t>第一排7层</w:t>
                  </w:r>
                </w:p>
              </w:tc>
              <w:tc>
                <w:tcPr>
                  <w:tcW w:w="1581" w:type="dxa"/>
                  <w:noWrap w:val="0"/>
                  <w:vAlign w:val="center"/>
                </w:tcPr>
                <w:p>
                  <w:pPr>
                    <w:adjustRightInd w:val="0"/>
                    <w:snapToGrid w:val="0"/>
                    <w:jc w:val="center"/>
                    <w:rPr>
                      <w:color w:val="FF0000"/>
                      <w:szCs w:val="21"/>
                    </w:rPr>
                  </w:pPr>
                  <w:r>
                    <w:rPr>
                      <w:rFonts w:hint="eastAsia"/>
                      <w:color w:val="FF0000"/>
                      <w:szCs w:val="21"/>
                    </w:rPr>
                    <w:t>昼间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47.8</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53.42</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54.57</w:t>
                  </w:r>
                </w:p>
              </w:tc>
              <w:tc>
                <w:tcPr>
                  <w:tcW w:w="1177" w:type="dxa"/>
                  <w:noWrap w:val="0"/>
                  <w:vAlign w:val="center"/>
                </w:tcPr>
                <w:p>
                  <w:pPr>
                    <w:adjustRightInd w:val="0"/>
                    <w:snapToGrid w:val="0"/>
                    <w:jc w:val="center"/>
                    <w:rPr>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continue"/>
                  <w:noWrap w:val="0"/>
                  <w:vAlign w:val="center"/>
                </w:tcPr>
                <w:p>
                  <w:pPr>
                    <w:widowControl/>
                    <w:jc w:val="left"/>
                    <w:rPr>
                      <w:color w:val="FF0000"/>
                      <w:szCs w:val="21"/>
                    </w:rPr>
                  </w:pPr>
                </w:p>
              </w:tc>
              <w:tc>
                <w:tcPr>
                  <w:tcW w:w="1581" w:type="dxa"/>
                  <w:noWrap w:val="0"/>
                  <w:vAlign w:val="center"/>
                </w:tcPr>
                <w:p>
                  <w:pPr>
                    <w:adjustRightInd w:val="0"/>
                    <w:snapToGrid w:val="0"/>
                    <w:jc w:val="center"/>
                    <w:rPr>
                      <w:color w:val="FF0000"/>
                      <w:szCs w:val="21"/>
                    </w:rPr>
                  </w:pPr>
                  <w:r>
                    <w:rPr>
                      <w:rFonts w:hint="eastAsia"/>
                      <w:color w:val="FF0000"/>
                      <w:szCs w:val="21"/>
                    </w:rPr>
                    <w:t>夜间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36.3</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47.35</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47.71</w:t>
                  </w:r>
                </w:p>
              </w:tc>
              <w:tc>
                <w:tcPr>
                  <w:tcW w:w="1177" w:type="dxa"/>
                  <w:noWrap w:val="0"/>
                  <w:vAlign w:val="center"/>
                </w:tcPr>
                <w:p>
                  <w:pPr>
                    <w:adjustRightInd w:val="0"/>
                    <w:snapToGrid w:val="0"/>
                    <w:jc w:val="center"/>
                    <w:rPr>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restart"/>
                  <w:noWrap w:val="0"/>
                  <w:vAlign w:val="center"/>
                </w:tcPr>
                <w:p>
                  <w:pPr>
                    <w:adjustRightInd w:val="0"/>
                    <w:snapToGrid w:val="0"/>
                    <w:jc w:val="center"/>
                    <w:rPr>
                      <w:color w:val="FF0000"/>
                      <w:szCs w:val="21"/>
                    </w:rPr>
                  </w:pPr>
                  <w:r>
                    <w:rPr>
                      <w:rFonts w:hint="eastAsia"/>
                      <w:color w:val="FF0000"/>
                      <w:szCs w:val="21"/>
                    </w:rPr>
                    <w:t>第一排9层</w:t>
                  </w:r>
                </w:p>
              </w:tc>
              <w:tc>
                <w:tcPr>
                  <w:tcW w:w="1581" w:type="dxa"/>
                  <w:noWrap w:val="0"/>
                  <w:vAlign w:val="center"/>
                </w:tcPr>
                <w:p>
                  <w:pPr>
                    <w:adjustRightInd w:val="0"/>
                    <w:snapToGrid w:val="0"/>
                    <w:jc w:val="center"/>
                    <w:rPr>
                      <w:color w:val="FF0000"/>
                      <w:szCs w:val="21"/>
                    </w:rPr>
                  </w:pPr>
                  <w:r>
                    <w:rPr>
                      <w:rFonts w:hint="eastAsia"/>
                      <w:color w:val="FF0000"/>
                      <w:szCs w:val="21"/>
                    </w:rPr>
                    <w:t>昼间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48.1</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53.16</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54.32</w:t>
                  </w:r>
                </w:p>
              </w:tc>
              <w:tc>
                <w:tcPr>
                  <w:tcW w:w="1177" w:type="dxa"/>
                  <w:noWrap w:val="0"/>
                  <w:vAlign w:val="center"/>
                </w:tcPr>
                <w:p>
                  <w:pPr>
                    <w:adjustRightInd w:val="0"/>
                    <w:snapToGrid w:val="0"/>
                    <w:jc w:val="center"/>
                    <w:rPr>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continue"/>
                  <w:noWrap w:val="0"/>
                  <w:vAlign w:val="center"/>
                </w:tcPr>
                <w:p>
                  <w:pPr>
                    <w:widowControl/>
                    <w:jc w:val="left"/>
                    <w:rPr>
                      <w:color w:val="FF0000"/>
                      <w:szCs w:val="21"/>
                    </w:rPr>
                  </w:pPr>
                </w:p>
              </w:tc>
              <w:tc>
                <w:tcPr>
                  <w:tcW w:w="1581" w:type="dxa"/>
                  <w:noWrap w:val="0"/>
                  <w:vAlign w:val="center"/>
                </w:tcPr>
                <w:p>
                  <w:pPr>
                    <w:adjustRightInd w:val="0"/>
                    <w:snapToGrid w:val="0"/>
                    <w:jc w:val="center"/>
                    <w:rPr>
                      <w:color w:val="FF0000"/>
                      <w:szCs w:val="21"/>
                    </w:rPr>
                  </w:pPr>
                  <w:r>
                    <w:rPr>
                      <w:rFonts w:hint="eastAsia"/>
                      <w:color w:val="FF0000"/>
                      <w:szCs w:val="21"/>
                    </w:rPr>
                    <w:t>夜间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36.7</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47.09</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47.53</w:t>
                  </w:r>
                </w:p>
              </w:tc>
              <w:tc>
                <w:tcPr>
                  <w:tcW w:w="1177" w:type="dxa"/>
                  <w:noWrap w:val="0"/>
                  <w:vAlign w:val="center"/>
                </w:tcPr>
                <w:p>
                  <w:pPr>
                    <w:adjustRightInd w:val="0"/>
                    <w:snapToGrid w:val="0"/>
                    <w:jc w:val="center"/>
                    <w:rPr>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restart"/>
                  <w:noWrap w:val="0"/>
                  <w:vAlign w:val="center"/>
                </w:tcPr>
                <w:p>
                  <w:pPr>
                    <w:widowControl/>
                    <w:jc w:val="left"/>
                    <w:rPr>
                      <w:color w:val="FF0000"/>
                      <w:szCs w:val="21"/>
                    </w:rPr>
                  </w:pPr>
                  <w:r>
                    <w:rPr>
                      <w:rFonts w:hint="eastAsia"/>
                      <w:color w:val="FF0000"/>
                      <w:szCs w:val="21"/>
                    </w:rPr>
                    <w:t>第一排</w:t>
                  </w:r>
                  <w:r>
                    <w:rPr>
                      <w:rFonts w:hint="eastAsia"/>
                      <w:color w:val="FF0000"/>
                      <w:szCs w:val="21"/>
                      <w:lang w:val="en-US" w:eastAsia="zh-CN"/>
                    </w:rPr>
                    <w:t>11</w:t>
                  </w:r>
                  <w:r>
                    <w:rPr>
                      <w:rFonts w:hint="eastAsia"/>
                      <w:color w:val="FF0000"/>
                      <w:szCs w:val="21"/>
                    </w:rPr>
                    <w:t>层</w:t>
                  </w:r>
                </w:p>
              </w:tc>
              <w:tc>
                <w:tcPr>
                  <w:tcW w:w="1581" w:type="dxa"/>
                  <w:noWrap w:val="0"/>
                  <w:vAlign w:val="center"/>
                </w:tcPr>
                <w:p>
                  <w:pPr>
                    <w:adjustRightInd w:val="0"/>
                    <w:snapToGrid w:val="0"/>
                    <w:jc w:val="center"/>
                    <w:rPr>
                      <w:rFonts w:hint="eastAsia"/>
                      <w:color w:val="FF0000"/>
                      <w:szCs w:val="21"/>
                    </w:rPr>
                  </w:pPr>
                  <w:r>
                    <w:rPr>
                      <w:rFonts w:hint="eastAsia"/>
                      <w:color w:val="FF0000"/>
                      <w:szCs w:val="21"/>
                    </w:rPr>
                    <w:t>昼间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46.8</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52.86</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53.88</w:t>
                  </w:r>
                </w:p>
              </w:tc>
              <w:tc>
                <w:tcPr>
                  <w:tcW w:w="1177" w:type="dxa"/>
                  <w:noWrap w:val="0"/>
                  <w:vAlign w:val="center"/>
                </w:tcPr>
                <w:p>
                  <w:pPr>
                    <w:adjustRightInd w:val="0"/>
                    <w:snapToGrid w:val="0"/>
                    <w:jc w:val="center"/>
                    <w:rPr>
                      <w:rFonts w:hint="eastAsia"/>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continue"/>
                  <w:noWrap w:val="0"/>
                  <w:vAlign w:val="center"/>
                </w:tcPr>
                <w:p>
                  <w:pPr>
                    <w:widowControl/>
                    <w:jc w:val="left"/>
                    <w:rPr>
                      <w:color w:val="FF0000"/>
                      <w:szCs w:val="21"/>
                    </w:rPr>
                  </w:pPr>
                </w:p>
              </w:tc>
              <w:tc>
                <w:tcPr>
                  <w:tcW w:w="1581" w:type="dxa"/>
                  <w:noWrap w:val="0"/>
                  <w:vAlign w:val="center"/>
                </w:tcPr>
                <w:p>
                  <w:pPr>
                    <w:adjustRightInd w:val="0"/>
                    <w:snapToGrid w:val="0"/>
                    <w:jc w:val="center"/>
                    <w:rPr>
                      <w:rFonts w:hint="eastAsia"/>
                      <w:color w:val="FF0000"/>
                      <w:szCs w:val="21"/>
                    </w:rPr>
                  </w:pPr>
                  <w:r>
                    <w:rPr>
                      <w:rFonts w:hint="eastAsia"/>
                      <w:color w:val="FF0000"/>
                      <w:szCs w:val="21"/>
                    </w:rPr>
                    <w:t>夜间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36.9</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46.80</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47.26</w:t>
                  </w:r>
                </w:p>
              </w:tc>
              <w:tc>
                <w:tcPr>
                  <w:tcW w:w="1177" w:type="dxa"/>
                  <w:noWrap w:val="0"/>
                  <w:vAlign w:val="center"/>
                </w:tcPr>
                <w:p>
                  <w:pPr>
                    <w:adjustRightInd w:val="0"/>
                    <w:snapToGrid w:val="0"/>
                    <w:jc w:val="center"/>
                    <w:rPr>
                      <w:rFonts w:hint="eastAsia"/>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restart"/>
                  <w:noWrap w:val="0"/>
                  <w:vAlign w:val="center"/>
                </w:tcPr>
                <w:p>
                  <w:pPr>
                    <w:widowControl/>
                    <w:jc w:val="left"/>
                    <w:rPr>
                      <w:color w:val="FF0000"/>
                      <w:szCs w:val="21"/>
                    </w:rPr>
                  </w:pPr>
                  <w:r>
                    <w:rPr>
                      <w:rFonts w:hint="eastAsia"/>
                      <w:color w:val="FF0000"/>
                      <w:szCs w:val="21"/>
                    </w:rPr>
                    <w:t>第一排</w:t>
                  </w:r>
                  <w:r>
                    <w:rPr>
                      <w:rFonts w:hint="eastAsia"/>
                      <w:color w:val="FF0000"/>
                      <w:szCs w:val="21"/>
                      <w:lang w:val="en-US" w:eastAsia="zh-CN"/>
                    </w:rPr>
                    <w:t>13</w:t>
                  </w:r>
                  <w:r>
                    <w:rPr>
                      <w:rFonts w:hint="eastAsia"/>
                      <w:color w:val="FF0000"/>
                      <w:szCs w:val="21"/>
                    </w:rPr>
                    <w:t>层</w:t>
                  </w:r>
                </w:p>
              </w:tc>
              <w:tc>
                <w:tcPr>
                  <w:tcW w:w="1581" w:type="dxa"/>
                  <w:noWrap w:val="0"/>
                  <w:vAlign w:val="center"/>
                </w:tcPr>
                <w:p>
                  <w:pPr>
                    <w:adjustRightInd w:val="0"/>
                    <w:snapToGrid w:val="0"/>
                    <w:jc w:val="center"/>
                    <w:rPr>
                      <w:rFonts w:hint="eastAsia"/>
                      <w:color w:val="FF0000"/>
                      <w:szCs w:val="21"/>
                    </w:rPr>
                  </w:pPr>
                  <w:r>
                    <w:rPr>
                      <w:rFonts w:hint="eastAsia"/>
                      <w:color w:val="FF0000"/>
                      <w:szCs w:val="21"/>
                    </w:rPr>
                    <w:t>昼间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46.7</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52.54</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53.55</w:t>
                  </w:r>
                </w:p>
              </w:tc>
              <w:tc>
                <w:tcPr>
                  <w:tcW w:w="1177" w:type="dxa"/>
                  <w:noWrap w:val="0"/>
                  <w:vAlign w:val="center"/>
                </w:tcPr>
                <w:p>
                  <w:pPr>
                    <w:adjustRightInd w:val="0"/>
                    <w:snapToGrid w:val="0"/>
                    <w:jc w:val="center"/>
                    <w:rPr>
                      <w:rFonts w:hint="eastAsia"/>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continue"/>
                  <w:noWrap w:val="0"/>
                  <w:vAlign w:val="center"/>
                </w:tcPr>
                <w:p>
                  <w:pPr>
                    <w:widowControl/>
                    <w:jc w:val="left"/>
                    <w:rPr>
                      <w:color w:val="FF0000"/>
                      <w:szCs w:val="21"/>
                    </w:rPr>
                  </w:pPr>
                </w:p>
              </w:tc>
              <w:tc>
                <w:tcPr>
                  <w:tcW w:w="1581" w:type="dxa"/>
                  <w:noWrap w:val="0"/>
                  <w:vAlign w:val="center"/>
                </w:tcPr>
                <w:p>
                  <w:pPr>
                    <w:adjustRightInd w:val="0"/>
                    <w:snapToGrid w:val="0"/>
                    <w:jc w:val="center"/>
                    <w:rPr>
                      <w:rFonts w:hint="eastAsia"/>
                      <w:color w:val="FF0000"/>
                      <w:szCs w:val="21"/>
                    </w:rPr>
                  </w:pPr>
                  <w:r>
                    <w:rPr>
                      <w:rFonts w:hint="eastAsia"/>
                      <w:color w:val="FF0000"/>
                      <w:szCs w:val="21"/>
                    </w:rPr>
                    <w:t>夜间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36.4</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46.48</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46.92</w:t>
                  </w:r>
                </w:p>
              </w:tc>
              <w:tc>
                <w:tcPr>
                  <w:tcW w:w="1177" w:type="dxa"/>
                  <w:noWrap w:val="0"/>
                  <w:vAlign w:val="center"/>
                </w:tcPr>
                <w:p>
                  <w:pPr>
                    <w:adjustRightInd w:val="0"/>
                    <w:snapToGrid w:val="0"/>
                    <w:jc w:val="center"/>
                    <w:rPr>
                      <w:rFonts w:hint="eastAsia"/>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restart"/>
                  <w:noWrap w:val="0"/>
                  <w:vAlign w:val="center"/>
                </w:tcPr>
                <w:p>
                  <w:pPr>
                    <w:widowControl/>
                    <w:jc w:val="left"/>
                    <w:rPr>
                      <w:color w:val="FF0000"/>
                      <w:szCs w:val="21"/>
                    </w:rPr>
                  </w:pPr>
                  <w:r>
                    <w:rPr>
                      <w:rFonts w:hint="eastAsia"/>
                      <w:color w:val="FF0000"/>
                      <w:szCs w:val="21"/>
                    </w:rPr>
                    <w:t>第一排</w:t>
                  </w:r>
                  <w:r>
                    <w:rPr>
                      <w:rFonts w:hint="eastAsia"/>
                      <w:color w:val="FF0000"/>
                      <w:szCs w:val="21"/>
                      <w:lang w:val="en-US" w:eastAsia="zh-CN"/>
                    </w:rPr>
                    <w:t>15</w:t>
                  </w:r>
                  <w:r>
                    <w:rPr>
                      <w:rFonts w:hint="eastAsia"/>
                      <w:color w:val="FF0000"/>
                      <w:szCs w:val="21"/>
                    </w:rPr>
                    <w:t>层</w:t>
                  </w:r>
                </w:p>
              </w:tc>
              <w:tc>
                <w:tcPr>
                  <w:tcW w:w="1581" w:type="dxa"/>
                  <w:noWrap w:val="0"/>
                  <w:vAlign w:val="center"/>
                </w:tcPr>
                <w:p>
                  <w:pPr>
                    <w:adjustRightInd w:val="0"/>
                    <w:snapToGrid w:val="0"/>
                    <w:jc w:val="center"/>
                    <w:rPr>
                      <w:rFonts w:hint="eastAsia"/>
                      <w:color w:val="FF0000"/>
                      <w:szCs w:val="21"/>
                    </w:rPr>
                  </w:pPr>
                  <w:r>
                    <w:rPr>
                      <w:rFonts w:hint="eastAsia"/>
                      <w:color w:val="FF0000"/>
                      <w:szCs w:val="21"/>
                    </w:rPr>
                    <w:t>昼间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48.1</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52.20</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53.66</w:t>
                  </w:r>
                </w:p>
              </w:tc>
              <w:tc>
                <w:tcPr>
                  <w:tcW w:w="1177" w:type="dxa"/>
                  <w:noWrap w:val="0"/>
                  <w:vAlign w:val="center"/>
                </w:tcPr>
                <w:p>
                  <w:pPr>
                    <w:adjustRightInd w:val="0"/>
                    <w:snapToGrid w:val="0"/>
                    <w:jc w:val="center"/>
                    <w:rPr>
                      <w:rFonts w:hint="eastAsia"/>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continue"/>
                  <w:noWrap w:val="0"/>
                  <w:vAlign w:val="center"/>
                </w:tcPr>
                <w:p>
                  <w:pPr>
                    <w:widowControl/>
                    <w:jc w:val="left"/>
                    <w:rPr>
                      <w:color w:val="FF0000"/>
                      <w:szCs w:val="21"/>
                    </w:rPr>
                  </w:pPr>
                </w:p>
              </w:tc>
              <w:tc>
                <w:tcPr>
                  <w:tcW w:w="1581" w:type="dxa"/>
                  <w:noWrap w:val="0"/>
                  <w:vAlign w:val="center"/>
                </w:tcPr>
                <w:p>
                  <w:pPr>
                    <w:adjustRightInd w:val="0"/>
                    <w:snapToGrid w:val="0"/>
                    <w:jc w:val="center"/>
                    <w:rPr>
                      <w:rFonts w:hint="eastAsia"/>
                      <w:color w:val="FF0000"/>
                      <w:szCs w:val="21"/>
                    </w:rPr>
                  </w:pPr>
                  <w:r>
                    <w:rPr>
                      <w:rFonts w:hint="eastAsia"/>
                      <w:color w:val="FF0000"/>
                      <w:szCs w:val="21"/>
                    </w:rPr>
                    <w:t>夜间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38.9</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46.14</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46.91</w:t>
                  </w:r>
                </w:p>
              </w:tc>
              <w:tc>
                <w:tcPr>
                  <w:tcW w:w="1177" w:type="dxa"/>
                  <w:noWrap w:val="0"/>
                  <w:vAlign w:val="center"/>
                </w:tcPr>
                <w:p>
                  <w:pPr>
                    <w:adjustRightInd w:val="0"/>
                    <w:snapToGrid w:val="0"/>
                    <w:jc w:val="center"/>
                    <w:rPr>
                      <w:rFonts w:hint="eastAsia"/>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restart"/>
                  <w:noWrap w:val="0"/>
                  <w:vAlign w:val="center"/>
                </w:tcPr>
                <w:p>
                  <w:pPr>
                    <w:widowControl/>
                    <w:jc w:val="left"/>
                    <w:rPr>
                      <w:color w:val="FF0000"/>
                      <w:szCs w:val="21"/>
                    </w:rPr>
                  </w:pPr>
                  <w:r>
                    <w:rPr>
                      <w:rFonts w:hint="eastAsia"/>
                      <w:color w:val="FF0000"/>
                      <w:szCs w:val="21"/>
                    </w:rPr>
                    <w:t>第一排</w:t>
                  </w:r>
                  <w:r>
                    <w:rPr>
                      <w:rFonts w:hint="eastAsia"/>
                      <w:color w:val="FF0000"/>
                      <w:szCs w:val="21"/>
                      <w:lang w:val="en-US" w:eastAsia="zh-CN"/>
                    </w:rPr>
                    <w:t>17</w:t>
                  </w:r>
                  <w:r>
                    <w:rPr>
                      <w:rFonts w:hint="eastAsia"/>
                      <w:color w:val="FF0000"/>
                      <w:szCs w:val="21"/>
                    </w:rPr>
                    <w:t>层</w:t>
                  </w:r>
                </w:p>
              </w:tc>
              <w:tc>
                <w:tcPr>
                  <w:tcW w:w="1581" w:type="dxa"/>
                  <w:noWrap w:val="0"/>
                  <w:vAlign w:val="center"/>
                </w:tcPr>
                <w:p>
                  <w:pPr>
                    <w:adjustRightInd w:val="0"/>
                    <w:snapToGrid w:val="0"/>
                    <w:jc w:val="center"/>
                    <w:rPr>
                      <w:rFonts w:hint="eastAsia"/>
                      <w:color w:val="FF0000"/>
                      <w:szCs w:val="21"/>
                    </w:rPr>
                  </w:pPr>
                  <w:r>
                    <w:rPr>
                      <w:rFonts w:hint="eastAsia"/>
                      <w:color w:val="FF0000"/>
                      <w:szCs w:val="21"/>
                    </w:rPr>
                    <w:t>昼间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47.9</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51.86</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53.33</w:t>
                  </w:r>
                </w:p>
              </w:tc>
              <w:tc>
                <w:tcPr>
                  <w:tcW w:w="1177" w:type="dxa"/>
                  <w:noWrap w:val="0"/>
                  <w:vAlign w:val="center"/>
                </w:tcPr>
                <w:p>
                  <w:pPr>
                    <w:adjustRightInd w:val="0"/>
                    <w:snapToGrid w:val="0"/>
                    <w:jc w:val="center"/>
                    <w:rPr>
                      <w:rFonts w:hint="eastAsia"/>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continue"/>
                  <w:noWrap w:val="0"/>
                  <w:vAlign w:val="center"/>
                </w:tcPr>
                <w:p>
                  <w:pPr>
                    <w:widowControl/>
                    <w:jc w:val="left"/>
                    <w:rPr>
                      <w:color w:val="FF0000"/>
                      <w:szCs w:val="21"/>
                    </w:rPr>
                  </w:pPr>
                </w:p>
              </w:tc>
              <w:tc>
                <w:tcPr>
                  <w:tcW w:w="1581" w:type="dxa"/>
                  <w:noWrap w:val="0"/>
                  <w:vAlign w:val="center"/>
                </w:tcPr>
                <w:p>
                  <w:pPr>
                    <w:adjustRightInd w:val="0"/>
                    <w:snapToGrid w:val="0"/>
                    <w:jc w:val="center"/>
                    <w:rPr>
                      <w:rFonts w:hint="eastAsia"/>
                      <w:color w:val="FF0000"/>
                      <w:szCs w:val="21"/>
                    </w:rPr>
                  </w:pPr>
                  <w:r>
                    <w:rPr>
                      <w:rFonts w:hint="eastAsia"/>
                      <w:color w:val="FF0000"/>
                      <w:szCs w:val="21"/>
                    </w:rPr>
                    <w:t>夜间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37.6</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45.80</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46.45</w:t>
                  </w:r>
                </w:p>
              </w:tc>
              <w:tc>
                <w:tcPr>
                  <w:tcW w:w="1177" w:type="dxa"/>
                  <w:noWrap w:val="0"/>
                  <w:vAlign w:val="center"/>
                </w:tcPr>
                <w:p>
                  <w:pPr>
                    <w:adjustRightInd w:val="0"/>
                    <w:snapToGrid w:val="0"/>
                    <w:jc w:val="center"/>
                    <w:rPr>
                      <w:rFonts w:hint="eastAsia"/>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restart"/>
                  <w:noWrap w:val="0"/>
                  <w:vAlign w:val="center"/>
                </w:tcPr>
                <w:p>
                  <w:pPr>
                    <w:widowControl/>
                    <w:jc w:val="left"/>
                    <w:rPr>
                      <w:color w:val="FF0000"/>
                      <w:szCs w:val="21"/>
                    </w:rPr>
                  </w:pPr>
                  <w:r>
                    <w:rPr>
                      <w:rFonts w:hint="eastAsia"/>
                      <w:color w:val="FF0000"/>
                      <w:szCs w:val="21"/>
                    </w:rPr>
                    <w:t>第一排</w:t>
                  </w:r>
                  <w:r>
                    <w:rPr>
                      <w:rFonts w:hint="eastAsia"/>
                      <w:color w:val="FF0000"/>
                      <w:szCs w:val="21"/>
                      <w:lang w:val="en-US" w:eastAsia="zh-CN"/>
                    </w:rPr>
                    <w:t>1</w:t>
                  </w:r>
                  <w:r>
                    <w:rPr>
                      <w:rFonts w:hint="eastAsia"/>
                      <w:color w:val="FF0000"/>
                      <w:szCs w:val="21"/>
                    </w:rPr>
                    <w:t>9层</w:t>
                  </w:r>
                </w:p>
              </w:tc>
              <w:tc>
                <w:tcPr>
                  <w:tcW w:w="1581" w:type="dxa"/>
                  <w:noWrap w:val="0"/>
                  <w:vAlign w:val="center"/>
                </w:tcPr>
                <w:p>
                  <w:pPr>
                    <w:adjustRightInd w:val="0"/>
                    <w:snapToGrid w:val="0"/>
                    <w:jc w:val="center"/>
                    <w:rPr>
                      <w:rFonts w:hint="eastAsia"/>
                      <w:color w:val="FF0000"/>
                      <w:szCs w:val="21"/>
                    </w:rPr>
                  </w:pPr>
                  <w:r>
                    <w:rPr>
                      <w:rFonts w:hint="eastAsia"/>
                      <w:color w:val="FF0000"/>
                      <w:szCs w:val="21"/>
                    </w:rPr>
                    <w:t>昼间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48.1</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51.52</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53.18</w:t>
                  </w:r>
                </w:p>
              </w:tc>
              <w:tc>
                <w:tcPr>
                  <w:tcW w:w="1177" w:type="dxa"/>
                  <w:noWrap w:val="0"/>
                  <w:vAlign w:val="center"/>
                </w:tcPr>
                <w:p>
                  <w:pPr>
                    <w:adjustRightInd w:val="0"/>
                    <w:snapToGrid w:val="0"/>
                    <w:jc w:val="center"/>
                    <w:rPr>
                      <w:rFonts w:hint="eastAsia"/>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909" w:type="dxa"/>
                  <w:vMerge w:val="continue"/>
                  <w:noWrap w:val="0"/>
                  <w:vAlign w:val="center"/>
                </w:tcPr>
                <w:p>
                  <w:pPr>
                    <w:widowControl/>
                    <w:jc w:val="left"/>
                    <w:rPr>
                      <w:color w:val="FF0000"/>
                      <w:szCs w:val="21"/>
                    </w:rPr>
                  </w:pPr>
                </w:p>
              </w:tc>
              <w:tc>
                <w:tcPr>
                  <w:tcW w:w="1434" w:type="dxa"/>
                  <w:vMerge w:val="continue"/>
                  <w:noWrap w:val="0"/>
                  <w:vAlign w:val="center"/>
                </w:tcPr>
                <w:p>
                  <w:pPr>
                    <w:widowControl/>
                    <w:jc w:val="left"/>
                    <w:rPr>
                      <w:color w:val="FF0000"/>
                      <w:szCs w:val="21"/>
                    </w:rPr>
                  </w:pPr>
                </w:p>
              </w:tc>
              <w:tc>
                <w:tcPr>
                  <w:tcW w:w="1581" w:type="dxa"/>
                  <w:noWrap w:val="0"/>
                  <w:vAlign w:val="center"/>
                </w:tcPr>
                <w:p>
                  <w:pPr>
                    <w:adjustRightInd w:val="0"/>
                    <w:snapToGrid w:val="0"/>
                    <w:jc w:val="center"/>
                    <w:rPr>
                      <w:rFonts w:hint="eastAsia"/>
                      <w:color w:val="FF0000"/>
                      <w:szCs w:val="21"/>
                    </w:rPr>
                  </w:pPr>
                  <w:r>
                    <w:rPr>
                      <w:rFonts w:hint="eastAsia"/>
                      <w:color w:val="FF0000"/>
                      <w:szCs w:val="21"/>
                    </w:rPr>
                    <w:t>夜间</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37.0</w:t>
                  </w:r>
                </w:p>
              </w:tc>
              <w:tc>
                <w:tcPr>
                  <w:tcW w:w="1047"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45.46</w:t>
                  </w:r>
                </w:p>
              </w:tc>
              <w:tc>
                <w:tcPr>
                  <w:tcW w:w="1081" w:type="dxa"/>
                  <w:noWrap w:val="0"/>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46.09</w:t>
                  </w:r>
                </w:p>
              </w:tc>
              <w:tc>
                <w:tcPr>
                  <w:tcW w:w="1177" w:type="dxa"/>
                  <w:noWrap w:val="0"/>
                  <w:vAlign w:val="center"/>
                </w:tcPr>
                <w:p>
                  <w:pPr>
                    <w:adjustRightInd w:val="0"/>
                    <w:snapToGrid w:val="0"/>
                    <w:jc w:val="center"/>
                    <w:rPr>
                      <w:rFonts w:hint="eastAsia"/>
                      <w:color w:val="FF0000"/>
                      <w:szCs w:val="21"/>
                    </w:rPr>
                  </w:pPr>
                  <w:r>
                    <w:rPr>
                      <w:rFonts w:hint="eastAsia"/>
                      <w:color w:val="FF000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52" w:hRule="atLeast"/>
                <w:jc w:val="center"/>
              </w:trPr>
              <w:tc>
                <w:tcPr>
                  <w:tcW w:w="8276" w:type="dxa"/>
                  <w:gridSpan w:val="7"/>
                  <w:noWrap w:val="0"/>
                  <w:vAlign w:val="center"/>
                </w:tcPr>
                <w:p>
                  <w:pPr>
                    <w:adjustRightInd w:val="0"/>
                    <w:snapToGrid w:val="0"/>
                    <w:jc w:val="left"/>
                    <w:rPr>
                      <w:color w:val="FF0000"/>
                      <w:szCs w:val="21"/>
                    </w:rPr>
                  </w:pPr>
                  <w:r>
                    <w:rPr>
                      <w:rFonts w:hint="eastAsia"/>
                      <w:color w:val="FF0000"/>
                      <w:szCs w:val="21"/>
                    </w:rPr>
                    <w:t>注：第一排建筑位于</w:t>
                  </w:r>
                  <w:r>
                    <w:rPr>
                      <w:rFonts w:hint="eastAsia"/>
                      <w:color w:val="FF0000"/>
                      <w:szCs w:val="21"/>
                      <w:lang w:val="en-US" w:eastAsia="zh-CN"/>
                    </w:rPr>
                    <w:t>2</w:t>
                  </w:r>
                  <w:r>
                    <w:rPr>
                      <w:rFonts w:hint="eastAsia"/>
                      <w:color w:val="FF0000"/>
                      <w:szCs w:val="21"/>
                    </w:rPr>
                    <w:t>类区域，执行《声环境质量标准》（</w:t>
                  </w:r>
                  <w:r>
                    <w:rPr>
                      <w:color w:val="FF0000"/>
                      <w:szCs w:val="21"/>
                    </w:rPr>
                    <w:t>GB3096-2008</w:t>
                  </w:r>
                  <w:r>
                    <w:rPr>
                      <w:rFonts w:hint="eastAsia"/>
                      <w:color w:val="FF0000"/>
                      <w:szCs w:val="21"/>
                    </w:rPr>
                    <w:t>）</w:t>
                  </w:r>
                  <w:r>
                    <w:rPr>
                      <w:rFonts w:hint="eastAsia"/>
                      <w:color w:val="FF0000"/>
                      <w:szCs w:val="21"/>
                      <w:lang w:val="en-US" w:eastAsia="zh-CN"/>
                    </w:rPr>
                    <w:t>2类</w:t>
                  </w:r>
                  <w:r>
                    <w:rPr>
                      <w:rFonts w:hint="eastAsia"/>
                      <w:color w:val="FF0000"/>
                      <w:szCs w:val="21"/>
                    </w:rPr>
                    <w:t>标准限值，昼间</w:t>
                  </w:r>
                  <w:r>
                    <w:rPr>
                      <w:rFonts w:hint="eastAsia"/>
                      <w:color w:val="FF0000"/>
                      <w:szCs w:val="21"/>
                      <w:lang w:val="en-US" w:eastAsia="zh-CN"/>
                    </w:rPr>
                    <w:t>60</w:t>
                  </w:r>
                  <w:r>
                    <w:rPr>
                      <w:color w:val="FF0000"/>
                      <w:szCs w:val="21"/>
                    </w:rPr>
                    <w:t xml:space="preserve"> dB</w:t>
                  </w:r>
                  <w:r>
                    <w:rPr>
                      <w:rFonts w:hint="eastAsia"/>
                      <w:color w:val="FF0000"/>
                      <w:szCs w:val="21"/>
                    </w:rPr>
                    <w:t>（</w:t>
                  </w:r>
                  <w:r>
                    <w:rPr>
                      <w:color w:val="FF0000"/>
                      <w:szCs w:val="21"/>
                    </w:rPr>
                    <w:t>A</w:t>
                  </w:r>
                  <w:r>
                    <w:rPr>
                      <w:rFonts w:hint="eastAsia"/>
                      <w:color w:val="FF0000"/>
                      <w:szCs w:val="21"/>
                    </w:rPr>
                    <w:t>），夜间</w:t>
                  </w:r>
                  <w:r>
                    <w:rPr>
                      <w:color w:val="FF0000"/>
                      <w:szCs w:val="21"/>
                    </w:rPr>
                    <w:t>5</w:t>
                  </w:r>
                  <w:r>
                    <w:rPr>
                      <w:rFonts w:hint="eastAsia"/>
                      <w:color w:val="FF0000"/>
                      <w:szCs w:val="21"/>
                      <w:lang w:val="en-US" w:eastAsia="zh-CN"/>
                    </w:rPr>
                    <w:t>0</w:t>
                  </w:r>
                  <w:r>
                    <w:rPr>
                      <w:color w:val="FF0000"/>
                      <w:szCs w:val="21"/>
                    </w:rPr>
                    <w:t>dB</w:t>
                  </w:r>
                  <w:r>
                    <w:rPr>
                      <w:rFonts w:hint="eastAsia"/>
                      <w:color w:val="FF0000"/>
                      <w:szCs w:val="21"/>
                    </w:rPr>
                    <w:t>（</w:t>
                  </w:r>
                  <w:r>
                    <w:rPr>
                      <w:color w:val="FF0000"/>
                      <w:szCs w:val="21"/>
                    </w:rPr>
                    <w:t>A</w:t>
                  </w:r>
                  <w:r>
                    <w:rPr>
                      <w:rFonts w:hint="eastAsia"/>
                      <w:color w:val="FF0000"/>
                      <w:szCs w:val="21"/>
                    </w:rPr>
                    <w:t>）。</w:t>
                  </w:r>
                </w:p>
              </w:tc>
            </w:tr>
          </w:tbl>
          <w:p>
            <w:pPr>
              <w:adjustRightInd w:val="0"/>
              <w:snapToGrid w:val="0"/>
              <w:spacing w:line="360" w:lineRule="auto"/>
              <w:jc w:val="center"/>
              <w:rPr>
                <w:rFonts w:hint="eastAsia"/>
                <w:color w:val="FF0000"/>
                <w:sz w:val="24"/>
              </w:rPr>
            </w:pPr>
            <w:r>
              <w:drawing>
                <wp:inline distT="0" distB="0" distL="114300" distR="114300">
                  <wp:extent cx="5257165" cy="2707005"/>
                  <wp:effectExtent l="0" t="0" r="635" b="17145"/>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38"/>
                          <a:stretch>
                            <a:fillRect/>
                          </a:stretch>
                        </pic:blipFill>
                        <pic:spPr>
                          <a:xfrm>
                            <a:off x="0" y="0"/>
                            <a:ext cx="5257165" cy="2707005"/>
                          </a:xfrm>
                          <a:prstGeom prst="rect">
                            <a:avLst/>
                          </a:prstGeom>
                          <a:noFill/>
                          <a:ln>
                            <a:noFill/>
                          </a:ln>
                        </pic:spPr>
                      </pic:pic>
                    </a:graphicData>
                  </a:graphic>
                </wp:inline>
              </w:drawing>
            </w:r>
          </w:p>
          <w:p>
            <w:pPr>
              <w:adjustRightInd w:val="0"/>
              <w:snapToGrid w:val="0"/>
              <w:spacing w:line="360" w:lineRule="auto"/>
              <w:jc w:val="center"/>
              <w:rPr>
                <w:rFonts w:hint="eastAsia"/>
                <w:b/>
                <w:color w:val="FF0000"/>
                <w:sz w:val="21"/>
                <w:szCs w:val="21"/>
              </w:rPr>
            </w:pPr>
            <w:r>
              <w:rPr>
                <w:rFonts w:hint="eastAsia"/>
                <w:b/>
                <w:color w:val="FF0000"/>
                <w:sz w:val="21"/>
                <w:szCs w:val="21"/>
              </w:rPr>
              <w:t>图</w:t>
            </w:r>
            <w:r>
              <w:rPr>
                <w:rFonts w:hint="eastAsia"/>
                <w:b/>
                <w:color w:val="FF0000"/>
                <w:sz w:val="21"/>
                <w:szCs w:val="21"/>
                <w:lang w:val="en-US" w:eastAsia="zh-CN"/>
              </w:rPr>
              <w:t>8-16</w:t>
            </w:r>
            <w:r>
              <w:rPr>
                <w:rFonts w:hint="eastAsia"/>
                <w:b/>
                <w:color w:val="FF0000"/>
                <w:sz w:val="21"/>
                <w:szCs w:val="21"/>
              </w:rPr>
              <w:t xml:space="preserve">  </w:t>
            </w:r>
            <w:r>
              <w:rPr>
                <w:rFonts w:hint="eastAsia"/>
                <w:b/>
                <w:color w:val="FF0000"/>
                <w:sz w:val="21"/>
                <w:szCs w:val="21"/>
                <w:lang w:eastAsia="zh-CN"/>
              </w:rPr>
              <w:t>远期（</w:t>
            </w:r>
            <w:r>
              <w:rPr>
                <w:rFonts w:hint="eastAsia"/>
                <w:b/>
                <w:color w:val="FF0000"/>
                <w:sz w:val="21"/>
                <w:szCs w:val="21"/>
              </w:rPr>
              <w:t>20</w:t>
            </w:r>
            <w:r>
              <w:rPr>
                <w:rFonts w:hint="eastAsia"/>
                <w:b/>
                <w:color w:val="FF0000"/>
                <w:sz w:val="21"/>
                <w:szCs w:val="21"/>
                <w:lang w:val="en-US" w:eastAsia="zh-CN"/>
              </w:rPr>
              <w:t>38</w:t>
            </w:r>
            <w:r>
              <w:rPr>
                <w:rFonts w:hint="eastAsia"/>
                <w:b/>
                <w:color w:val="FF0000"/>
                <w:sz w:val="21"/>
                <w:szCs w:val="21"/>
              </w:rPr>
              <w:t>年</w:t>
            </w:r>
            <w:r>
              <w:rPr>
                <w:rFonts w:hint="eastAsia"/>
                <w:b/>
                <w:color w:val="FF0000"/>
                <w:sz w:val="21"/>
                <w:szCs w:val="21"/>
                <w:lang w:eastAsia="zh-CN"/>
              </w:rPr>
              <w:t>）</w:t>
            </w:r>
            <w:r>
              <w:rPr>
                <w:rFonts w:hint="eastAsia"/>
                <w:b/>
                <w:color w:val="FF0000"/>
                <w:sz w:val="21"/>
                <w:szCs w:val="21"/>
              </w:rPr>
              <w:t>垂向噪声</w:t>
            </w:r>
            <w:r>
              <w:rPr>
                <w:rFonts w:hint="eastAsia"/>
                <w:b/>
                <w:color w:val="FF0000"/>
                <w:sz w:val="21"/>
                <w:szCs w:val="21"/>
                <w:lang w:eastAsia="zh-CN"/>
              </w:rPr>
              <w:t>夜</w:t>
            </w:r>
            <w:r>
              <w:rPr>
                <w:rFonts w:hint="eastAsia"/>
                <w:b/>
                <w:color w:val="FF0000"/>
                <w:sz w:val="21"/>
                <w:szCs w:val="21"/>
              </w:rPr>
              <w:t>间贡献值与楼层高度关系图</w:t>
            </w:r>
          </w:p>
          <w:p>
            <w:pPr>
              <w:adjustRightInd w:val="0"/>
              <w:snapToGrid w:val="0"/>
              <w:spacing w:line="360" w:lineRule="auto"/>
              <w:jc w:val="center"/>
              <w:rPr>
                <w:rFonts w:hint="eastAsia"/>
                <w:b/>
                <w:color w:val="FF0000"/>
                <w:sz w:val="21"/>
                <w:szCs w:val="21"/>
              </w:rPr>
            </w:pPr>
            <w:r>
              <w:drawing>
                <wp:inline distT="0" distB="0" distL="114300" distR="114300">
                  <wp:extent cx="5257165" cy="2687955"/>
                  <wp:effectExtent l="0" t="0" r="635" b="17145"/>
                  <wp:docPr id="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pic:cNvPicPr>
                            <a:picLocks noChangeAspect="1"/>
                          </pic:cNvPicPr>
                        </pic:nvPicPr>
                        <pic:blipFill>
                          <a:blip r:embed="rId39"/>
                          <a:stretch>
                            <a:fillRect/>
                          </a:stretch>
                        </pic:blipFill>
                        <pic:spPr>
                          <a:xfrm>
                            <a:off x="0" y="0"/>
                            <a:ext cx="5257165" cy="2687955"/>
                          </a:xfrm>
                          <a:prstGeom prst="rect">
                            <a:avLst/>
                          </a:prstGeom>
                          <a:noFill/>
                          <a:ln>
                            <a:noFill/>
                          </a:ln>
                        </pic:spPr>
                      </pic:pic>
                    </a:graphicData>
                  </a:graphic>
                </wp:inline>
              </w:drawing>
            </w:r>
            <w:r>
              <w:rPr>
                <w:rFonts w:hint="eastAsia"/>
                <w:b/>
                <w:color w:val="FF0000"/>
                <w:sz w:val="21"/>
                <w:szCs w:val="21"/>
              </w:rPr>
              <w:t>图</w:t>
            </w:r>
            <w:r>
              <w:rPr>
                <w:rFonts w:hint="eastAsia"/>
                <w:b/>
                <w:color w:val="FF0000"/>
                <w:sz w:val="21"/>
                <w:szCs w:val="21"/>
                <w:lang w:val="en-US" w:eastAsia="zh-CN"/>
              </w:rPr>
              <w:t>8-17</w:t>
            </w:r>
            <w:r>
              <w:rPr>
                <w:rFonts w:hint="eastAsia"/>
                <w:b/>
                <w:color w:val="FF0000"/>
                <w:sz w:val="21"/>
                <w:szCs w:val="21"/>
              </w:rPr>
              <w:t xml:space="preserve">  </w:t>
            </w:r>
            <w:r>
              <w:rPr>
                <w:rFonts w:hint="eastAsia"/>
                <w:b/>
                <w:color w:val="FF0000"/>
                <w:sz w:val="21"/>
                <w:szCs w:val="21"/>
                <w:lang w:eastAsia="zh-CN"/>
              </w:rPr>
              <w:t>远期（</w:t>
            </w:r>
            <w:r>
              <w:rPr>
                <w:rFonts w:hint="eastAsia"/>
                <w:b/>
                <w:color w:val="FF0000"/>
                <w:sz w:val="21"/>
                <w:szCs w:val="21"/>
              </w:rPr>
              <w:t>20</w:t>
            </w:r>
            <w:r>
              <w:rPr>
                <w:rFonts w:hint="eastAsia"/>
                <w:b/>
                <w:color w:val="FF0000"/>
                <w:sz w:val="21"/>
                <w:szCs w:val="21"/>
                <w:lang w:val="en-US" w:eastAsia="zh-CN"/>
              </w:rPr>
              <w:t>38</w:t>
            </w:r>
            <w:r>
              <w:rPr>
                <w:rFonts w:hint="eastAsia"/>
                <w:b/>
                <w:color w:val="FF0000"/>
                <w:sz w:val="21"/>
                <w:szCs w:val="21"/>
              </w:rPr>
              <w:t>年</w:t>
            </w:r>
            <w:r>
              <w:rPr>
                <w:rFonts w:hint="eastAsia"/>
                <w:b/>
                <w:color w:val="FF0000"/>
                <w:sz w:val="21"/>
                <w:szCs w:val="21"/>
                <w:lang w:eastAsia="zh-CN"/>
              </w:rPr>
              <w:t>）</w:t>
            </w:r>
            <w:r>
              <w:rPr>
                <w:rFonts w:hint="eastAsia"/>
                <w:b/>
                <w:color w:val="FF0000"/>
                <w:sz w:val="21"/>
                <w:szCs w:val="21"/>
              </w:rPr>
              <w:t>垂向噪声</w:t>
            </w:r>
            <w:r>
              <w:rPr>
                <w:rFonts w:hint="eastAsia"/>
                <w:b/>
                <w:color w:val="FF0000"/>
                <w:sz w:val="21"/>
                <w:szCs w:val="21"/>
                <w:lang w:eastAsia="zh-CN"/>
              </w:rPr>
              <w:t>夜</w:t>
            </w:r>
            <w:r>
              <w:rPr>
                <w:rFonts w:hint="eastAsia"/>
                <w:b/>
                <w:color w:val="FF0000"/>
                <w:sz w:val="21"/>
                <w:szCs w:val="21"/>
              </w:rPr>
              <w:t>间贡献值与楼层高度关系图</w:t>
            </w:r>
          </w:p>
          <w:p>
            <w:pPr>
              <w:adjustRightInd w:val="0"/>
              <w:snapToGrid w:val="0"/>
              <w:spacing w:before="120" w:beforeLines="50" w:line="360" w:lineRule="auto"/>
              <w:ind w:firstLine="470" w:firstLineChars="196"/>
              <w:rPr>
                <w:rFonts w:hint="eastAsia" w:eastAsia="宋体"/>
                <w:color w:val="FF0000"/>
                <w:sz w:val="24"/>
                <w:lang w:eastAsia="zh-CN"/>
              </w:rPr>
            </w:pPr>
            <w:r>
              <w:rPr>
                <w:rFonts w:hint="eastAsia"/>
                <w:color w:val="FF0000"/>
                <w:sz w:val="24"/>
              </w:rPr>
              <w:t>根据预测结果</w:t>
            </w:r>
            <w:r>
              <w:rPr>
                <w:rFonts w:hint="eastAsia"/>
                <w:color w:val="FF0000"/>
                <w:sz w:val="24"/>
                <w:lang w:val="en-US" w:eastAsia="zh-CN"/>
              </w:rPr>
              <w:t>，远期（20</w:t>
            </w:r>
            <w:r>
              <w:rPr>
                <w:rFonts w:hint="eastAsia"/>
                <w:color w:val="FF0000"/>
                <w:sz w:val="24"/>
                <w:lang w:val="en-US" w:eastAsia="zh-CN"/>
              </w:rPr>
              <w:t>38年）垂向噪声对凤凰上镜小区第一</w:t>
            </w:r>
            <w:r>
              <w:rPr>
                <w:rFonts w:hint="eastAsia"/>
                <w:color w:val="FF0000"/>
                <w:sz w:val="24"/>
              </w:rPr>
              <w:t>排建筑物噪声贡献值从一层开始随着楼高的增高而加大，到第</w:t>
            </w:r>
            <w:r>
              <w:rPr>
                <w:rFonts w:hint="eastAsia"/>
                <w:color w:val="FF0000"/>
                <w:sz w:val="24"/>
                <w:lang w:eastAsia="zh-CN"/>
              </w:rPr>
              <w:t>五</w:t>
            </w:r>
            <w:r>
              <w:rPr>
                <w:rFonts w:hint="eastAsia"/>
                <w:color w:val="FF0000"/>
                <w:sz w:val="24"/>
              </w:rPr>
              <w:t>层道路噪声贡献值达到最大值，并随着楼层增高而缓慢减弱，昼间噪声最大贡献值为</w:t>
            </w:r>
            <w:r>
              <w:rPr>
                <w:rFonts w:hint="eastAsia"/>
                <w:color w:val="FF0000"/>
                <w:sz w:val="24"/>
                <w:lang w:val="en-US" w:eastAsia="zh-CN"/>
              </w:rPr>
              <w:t>53.61</w:t>
            </w:r>
            <w:r>
              <w:rPr>
                <w:color w:val="FF0000"/>
                <w:sz w:val="24"/>
              </w:rPr>
              <w:t>dB(A)</w:t>
            </w:r>
            <w:r>
              <w:rPr>
                <w:rFonts w:hint="eastAsia"/>
                <w:color w:val="FF0000"/>
                <w:sz w:val="24"/>
              </w:rPr>
              <w:t>，夜间噪声最大贡献值为4</w:t>
            </w:r>
            <w:r>
              <w:rPr>
                <w:rFonts w:hint="eastAsia"/>
                <w:color w:val="FF0000"/>
                <w:sz w:val="24"/>
                <w:lang w:val="en-US" w:eastAsia="zh-CN"/>
              </w:rPr>
              <w:t>7.55</w:t>
            </w:r>
            <w:r>
              <w:rPr>
                <w:color w:val="FF0000"/>
                <w:sz w:val="24"/>
              </w:rPr>
              <w:t>dB(A)</w:t>
            </w:r>
            <w:r>
              <w:rPr>
                <w:rFonts w:hint="eastAsia"/>
                <w:color w:val="FF0000"/>
                <w:sz w:val="24"/>
                <w:lang w:eastAsia="zh-CN"/>
              </w:rPr>
              <w:t>，</w:t>
            </w:r>
            <w:r>
              <w:rPr>
                <w:rFonts w:hAnsi="宋体" w:eastAsia="宋体"/>
                <w:color w:val="FF0000"/>
                <w:sz w:val="24"/>
                <w:szCs w:val="24"/>
              </w:rPr>
              <w:t>满足《声环境质量标准》（</w:t>
            </w:r>
            <w:r>
              <w:rPr>
                <w:color w:val="FF0000"/>
                <w:sz w:val="24"/>
                <w:szCs w:val="24"/>
              </w:rPr>
              <w:t>GB3096-2008</w:t>
            </w:r>
            <w:r>
              <w:rPr>
                <w:rFonts w:hAnsi="宋体" w:eastAsia="宋体"/>
                <w:color w:val="FF0000"/>
                <w:sz w:val="24"/>
                <w:szCs w:val="24"/>
              </w:rPr>
              <w:t>）</w:t>
            </w:r>
            <w:r>
              <w:rPr>
                <w:color w:val="FF0000"/>
                <w:sz w:val="24"/>
                <w:szCs w:val="24"/>
              </w:rPr>
              <w:t>2</w:t>
            </w:r>
            <w:r>
              <w:rPr>
                <w:rFonts w:hAnsi="宋体" w:eastAsia="宋体"/>
                <w:color w:val="FF0000"/>
                <w:sz w:val="24"/>
                <w:szCs w:val="24"/>
              </w:rPr>
              <w:t>类区标准</w:t>
            </w:r>
            <w:r>
              <w:rPr>
                <w:rFonts w:hint="eastAsia" w:hAnsi="宋体" w:eastAsia="宋体"/>
                <w:color w:val="FF0000"/>
                <w:sz w:val="24"/>
                <w:szCs w:val="24"/>
              </w:rPr>
              <w:t>（</w:t>
            </w:r>
            <w:r>
              <w:rPr>
                <w:rFonts w:hAnsi="宋体" w:eastAsia="宋体"/>
                <w:color w:val="FF0000"/>
                <w:sz w:val="24"/>
                <w:szCs w:val="24"/>
              </w:rPr>
              <w:t>昼间</w:t>
            </w:r>
            <w:r>
              <w:rPr>
                <w:color w:val="FF0000"/>
                <w:sz w:val="24"/>
                <w:szCs w:val="24"/>
              </w:rPr>
              <w:t>60dB</w:t>
            </w:r>
            <w:r>
              <w:rPr>
                <w:rFonts w:hAnsi="宋体" w:eastAsia="宋体"/>
                <w:color w:val="FF0000"/>
                <w:sz w:val="24"/>
                <w:szCs w:val="24"/>
              </w:rPr>
              <w:t>（</w:t>
            </w:r>
            <w:r>
              <w:rPr>
                <w:color w:val="FF0000"/>
                <w:sz w:val="24"/>
                <w:szCs w:val="24"/>
              </w:rPr>
              <w:t>A</w:t>
            </w:r>
            <w:r>
              <w:rPr>
                <w:rFonts w:hAnsi="宋体" w:eastAsia="宋体"/>
                <w:color w:val="FF0000"/>
                <w:sz w:val="24"/>
                <w:szCs w:val="24"/>
              </w:rPr>
              <w:t>），夜间</w:t>
            </w:r>
            <w:r>
              <w:rPr>
                <w:color w:val="FF0000"/>
                <w:sz w:val="24"/>
                <w:szCs w:val="24"/>
              </w:rPr>
              <w:t>50dB</w:t>
            </w:r>
            <w:r>
              <w:rPr>
                <w:rFonts w:hAnsi="宋体" w:eastAsia="宋体"/>
                <w:color w:val="FF0000"/>
                <w:sz w:val="24"/>
                <w:szCs w:val="24"/>
              </w:rPr>
              <w:t>（</w:t>
            </w:r>
            <w:r>
              <w:rPr>
                <w:color w:val="FF0000"/>
                <w:sz w:val="24"/>
                <w:szCs w:val="24"/>
              </w:rPr>
              <w:t>A</w:t>
            </w:r>
            <w:r>
              <w:rPr>
                <w:rFonts w:hAnsi="宋体" w:eastAsia="宋体"/>
                <w:color w:val="FF0000"/>
                <w:sz w:val="24"/>
                <w:szCs w:val="24"/>
              </w:rPr>
              <w:t>）</w:t>
            </w:r>
            <w:r>
              <w:rPr>
                <w:rFonts w:hint="eastAsia" w:hAnsi="宋体" w:eastAsia="宋体"/>
                <w:color w:val="FF0000"/>
                <w:sz w:val="24"/>
                <w:szCs w:val="24"/>
              </w:rPr>
              <w:t>）</w:t>
            </w:r>
            <w:r>
              <w:rPr>
                <w:rFonts w:hint="eastAsia" w:hAnsi="宋体"/>
                <w:color w:val="FF0000"/>
                <w:sz w:val="24"/>
                <w:szCs w:val="24"/>
                <w:lang w:eastAsia="zh-CN"/>
              </w:rPr>
              <w:t>。</w:t>
            </w:r>
          </w:p>
          <w:p>
            <w:pPr>
              <w:keepNext w:val="0"/>
              <w:keepLines w:val="0"/>
              <w:pageBreakBefore w:val="0"/>
              <w:widowControl w:val="0"/>
              <w:numPr>
                <w:ilvl w:val="0"/>
                <w:numId w:val="0"/>
              </w:numPr>
              <w:kinsoku/>
              <w:wordWrap/>
              <w:overflowPunct/>
              <w:topLinePunct w:val="0"/>
              <w:autoSpaceDE/>
              <w:autoSpaceDN/>
              <w:bidi w:val="0"/>
              <w:snapToGrid w:val="0"/>
              <w:spacing w:line="360" w:lineRule="auto"/>
              <w:textAlignment w:val="auto"/>
              <w:rPr>
                <w:rFonts w:hint="default" w:ascii="Times New Roman" w:hAnsi="Times New Roman" w:cs="Times New Roman"/>
                <w:b/>
                <w:color w:val="FF0000"/>
                <w:spacing w:val="0"/>
                <w:kern w:val="0"/>
                <w:position w:val="0"/>
                <w:sz w:val="24"/>
              </w:rPr>
            </w:pPr>
            <w:r>
              <w:rPr>
                <w:rFonts w:hint="eastAsia" w:cs="Times New Roman"/>
                <w:b/>
                <w:color w:val="FF0000"/>
                <w:spacing w:val="0"/>
                <w:kern w:val="0"/>
                <w:position w:val="0"/>
                <w:sz w:val="24"/>
                <w:lang w:val="en-US" w:eastAsia="zh-CN"/>
              </w:rPr>
              <w:t>6、</w:t>
            </w:r>
            <w:r>
              <w:rPr>
                <w:rFonts w:hint="default" w:ascii="Times New Roman" w:hAnsi="Times New Roman" w:cs="Times New Roman"/>
                <w:b/>
                <w:color w:val="FF0000"/>
                <w:spacing w:val="0"/>
                <w:kern w:val="0"/>
                <w:position w:val="0"/>
                <w:sz w:val="24"/>
              </w:rPr>
              <w:t>噪声污染控制措施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FF0000"/>
                <w:spacing w:val="0"/>
                <w:kern w:val="0"/>
                <w:position w:val="0"/>
                <w:sz w:val="24"/>
              </w:rPr>
            </w:pPr>
            <w:r>
              <w:rPr>
                <w:rFonts w:hint="default" w:ascii="Times New Roman" w:hAnsi="Times New Roman" w:cs="Times New Roman"/>
                <w:color w:val="FF0000"/>
                <w:spacing w:val="0"/>
                <w:kern w:val="0"/>
                <w:position w:val="0"/>
                <w:sz w:val="24"/>
              </w:rPr>
              <w:t>为了保证</w:t>
            </w:r>
            <w:r>
              <w:rPr>
                <w:rFonts w:hint="eastAsia" w:cs="Times New Roman"/>
                <w:color w:val="FF0000"/>
                <w:spacing w:val="0"/>
                <w:kern w:val="0"/>
                <w:position w:val="0"/>
                <w:sz w:val="24"/>
                <w:lang w:val="en-US" w:eastAsia="zh-CN"/>
              </w:rPr>
              <w:t>道路</w:t>
            </w:r>
            <w:r>
              <w:rPr>
                <w:rFonts w:hint="eastAsia" w:ascii="Times New Roman" w:hAnsi="Times New Roman" w:cs="Times New Roman"/>
                <w:color w:val="FF0000"/>
                <w:spacing w:val="0"/>
                <w:kern w:val="0"/>
                <w:position w:val="0"/>
                <w:sz w:val="24"/>
                <w:lang w:val="en-US" w:eastAsia="zh-CN"/>
              </w:rPr>
              <w:t>两侧</w:t>
            </w:r>
            <w:r>
              <w:rPr>
                <w:rFonts w:hint="default" w:ascii="Times New Roman" w:hAnsi="Times New Roman" w:cs="Times New Roman"/>
                <w:color w:val="FF0000"/>
                <w:spacing w:val="0"/>
                <w:kern w:val="0"/>
                <w:position w:val="0"/>
                <w:sz w:val="24"/>
              </w:rPr>
              <w:t>声环境质量，结合项目敏感点分布情况，本环评从车辆噪声控制、道路交通管理制度及路面的保养维修管理等方面提出交通噪声污染防治措施，具体如下：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FF0000"/>
                <w:spacing w:val="0"/>
                <w:kern w:val="0"/>
                <w:position w:val="0"/>
                <w:sz w:val="24"/>
              </w:rPr>
            </w:pPr>
            <w:r>
              <w:rPr>
                <w:rFonts w:hint="default" w:ascii="Times New Roman" w:hAnsi="Times New Roman" w:cs="Times New Roman"/>
                <w:color w:val="FF0000"/>
                <w:spacing w:val="0"/>
                <w:kern w:val="0"/>
                <w:position w:val="0"/>
                <w:sz w:val="24"/>
              </w:rPr>
              <w:t>⑴加强车辆噪声控制管理，如限制性能差的车辆进入，道路沿线限制速度；加强对机动车鸣笛的管理；在距离敏感点较近的</w:t>
            </w:r>
            <w:r>
              <w:rPr>
                <w:rFonts w:hint="eastAsia" w:ascii="Times New Roman" w:hAnsi="Times New Roman" w:cs="Times New Roman"/>
                <w:color w:val="FF0000"/>
                <w:spacing w:val="0"/>
                <w:kern w:val="0"/>
                <w:position w:val="0"/>
                <w:sz w:val="24"/>
                <w:lang w:val="en-US" w:eastAsia="zh-CN"/>
              </w:rPr>
              <w:t>起、终点</w:t>
            </w:r>
            <w:r>
              <w:rPr>
                <w:rFonts w:hint="default" w:ascii="Times New Roman" w:hAnsi="Times New Roman" w:cs="Times New Roman"/>
                <w:color w:val="FF0000"/>
                <w:spacing w:val="0"/>
                <w:kern w:val="0"/>
                <w:position w:val="0"/>
                <w:sz w:val="24"/>
              </w:rPr>
              <w:t>设置限速、禁鸣标志，有效控制交通噪声的污染。</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FF0000"/>
                <w:spacing w:val="0"/>
                <w:kern w:val="0"/>
                <w:position w:val="0"/>
                <w:sz w:val="24"/>
              </w:rPr>
            </w:pPr>
            <w:r>
              <w:rPr>
                <w:rFonts w:hint="default" w:ascii="Times New Roman" w:hAnsi="Times New Roman" w:cs="Times New Roman"/>
                <w:color w:val="FF0000"/>
                <w:spacing w:val="0"/>
                <w:kern w:val="0"/>
                <w:position w:val="0"/>
                <w:sz w:val="24"/>
              </w:rPr>
              <w:t>⑵制定机动车噪声的控制规划和目标，逐步降低单车噪声值，是降低道路交通噪声最直接最有效的措施；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FF0000"/>
                <w:spacing w:val="0"/>
                <w:kern w:val="0"/>
                <w:position w:val="0"/>
                <w:sz w:val="24"/>
              </w:rPr>
            </w:pPr>
            <w:r>
              <w:rPr>
                <w:rFonts w:hint="default" w:ascii="Times New Roman" w:hAnsi="Times New Roman" w:cs="Times New Roman"/>
                <w:color w:val="FF0000"/>
                <w:spacing w:val="0"/>
                <w:kern w:val="0"/>
                <w:position w:val="0"/>
                <w:sz w:val="24"/>
              </w:rPr>
              <w:t>⑶加强</w:t>
            </w:r>
            <w:r>
              <w:rPr>
                <w:rFonts w:hint="eastAsia" w:cs="Times New Roman"/>
                <w:color w:val="FF0000"/>
                <w:spacing w:val="0"/>
                <w:kern w:val="0"/>
                <w:position w:val="0"/>
                <w:sz w:val="24"/>
                <w:lang w:eastAsia="zh-CN"/>
              </w:rPr>
              <w:t>路</w:t>
            </w:r>
            <w:r>
              <w:rPr>
                <w:rFonts w:hint="eastAsia" w:ascii="Times New Roman" w:hAnsi="Times New Roman" w:cs="Times New Roman"/>
                <w:color w:val="FF0000"/>
                <w:spacing w:val="0"/>
                <w:kern w:val="0"/>
                <w:position w:val="0"/>
                <w:sz w:val="24"/>
                <w:lang w:val="en-US" w:eastAsia="zh-CN"/>
              </w:rPr>
              <w:t>面</w:t>
            </w:r>
            <w:r>
              <w:rPr>
                <w:rFonts w:hint="default" w:ascii="Times New Roman" w:hAnsi="Times New Roman" w:cs="Times New Roman"/>
                <w:color w:val="FF0000"/>
                <w:spacing w:val="0"/>
                <w:kern w:val="0"/>
                <w:position w:val="0"/>
                <w:sz w:val="24"/>
              </w:rPr>
              <w:t>运行维护，破损</w:t>
            </w:r>
            <w:r>
              <w:rPr>
                <w:rFonts w:hint="eastAsia" w:ascii="Times New Roman" w:hAnsi="Times New Roman" w:cs="Times New Roman"/>
                <w:color w:val="FF0000"/>
                <w:spacing w:val="0"/>
                <w:kern w:val="0"/>
                <w:position w:val="0"/>
                <w:sz w:val="24"/>
                <w:lang w:val="en-US" w:eastAsia="zh-CN"/>
              </w:rPr>
              <w:t>桥</w:t>
            </w:r>
            <w:r>
              <w:rPr>
                <w:rFonts w:hint="default" w:ascii="Times New Roman" w:hAnsi="Times New Roman" w:cs="Times New Roman"/>
                <w:color w:val="FF0000"/>
                <w:spacing w:val="0"/>
                <w:kern w:val="0"/>
                <w:position w:val="0"/>
                <w:sz w:val="24"/>
              </w:rPr>
              <w:t>面应及时修补，保持</w:t>
            </w:r>
            <w:r>
              <w:rPr>
                <w:rFonts w:hint="eastAsia" w:cs="Times New Roman"/>
                <w:color w:val="FF0000"/>
                <w:spacing w:val="0"/>
                <w:kern w:val="0"/>
                <w:position w:val="0"/>
                <w:sz w:val="24"/>
                <w:lang w:val="en-US" w:eastAsia="zh-CN"/>
              </w:rPr>
              <w:t>路</w:t>
            </w:r>
            <w:r>
              <w:rPr>
                <w:rFonts w:hint="default" w:ascii="Times New Roman" w:hAnsi="Times New Roman" w:cs="Times New Roman"/>
                <w:color w:val="FF0000"/>
                <w:spacing w:val="0"/>
                <w:kern w:val="0"/>
                <w:position w:val="0"/>
                <w:sz w:val="24"/>
              </w:rPr>
              <w:t>面的平整度，避免因路况不佳造成车辆不能正常行驶引起交通噪声增大；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FF0000"/>
                <w:spacing w:val="0"/>
                <w:kern w:val="0"/>
                <w:position w:val="0"/>
                <w:sz w:val="24"/>
              </w:rPr>
            </w:pPr>
            <w:r>
              <w:rPr>
                <w:rFonts w:hint="default" w:ascii="Times New Roman" w:hAnsi="Times New Roman" w:cs="Times New Roman"/>
                <w:color w:val="FF0000"/>
                <w:spacing w:val="0"/>
                <w:kern w:val="0"/>
                <w:position w:val="0"/>
                <w:sz w:val="24"/>
              </w:rPr>
              <w:t>⑷加强交通管理、保持</w:t>
            </w:r>
            <w:r>
              <w:rPr>
                <w:rFonts w:hint="eastAsia" w:cs="Times New Roman"/>
                <w:color w:val="FF0000"/>
                <w:spacing w:val="0"/>
                <w:kern w:val="0"/>
                <w:position w:val="0"/>
                <w:sz w:val="24"/>
                <w:lang w:val="en-US" w:eastAsia="zh-CN"/>
              </w:rPr>
              <w:t>路</w:t>
            </w:r>
            <w:r>
              <w:rPr>
                <w:rFonts w:hint="eastAsia" w:ascii="Times New Roman" w:hAnsi="Times New Roman" w:cs="Times New Roman"/>
                <w:color w:val="FF0000"/>
                <w:spacing w:val="0"/>
                <w:kern w:val="0"/>
                <w:position w:val="0"/>
                <w:sz w:val="24"/>
                <w:lang w:val="en-US" w:eastAsia="zh-CN"/>
              </w:rPr>
              <w:t>面交通</w:t>
            </w:r>
            <w:r>
              <w:rPr>
                <w:rFonts w:hint="default" w:ascii="Times New Roman" w:hAnsi="Times New Roman" w:cs="Times New Roman"/>
                <w:color w:val="FF0000"/>
                <w:spacing w:val="0"/>
                <w:kern w:val="0"/>
                <w:position w:val="0"/>
                <w:sz w:val="24"/>
              </w:rPr>
              <w:t>畅通；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FF0000"/>
                <w:spacing w:val="0"/>
                <w:kern w:val="0"/>
                <w:position w:val="0"/>
                <w:sz w:val="24"/>
              </w:rPr>
            </w:pPr>
            <w:r>
              <w:rPr>
                <w:rFonts w:hint="default" w:ascii="Times New Roman" w:hAnsi="Times New Roman" w:cs="Times New Roman"/>
                <w:color w:val="FF0000"/>
                <w:spacing w:val="0"/>
                <w:kern w:val="0"/>
                <w:position w:val="0"/>
                <w:sz w:val="24"/>
              </w:rPr>
              <w:t>⑸在</w:t>
            </w:r>
            <w:r>
              <w:rPr>
                <w:rFonts w:hint="eastAsia" w:cs="Times New Roman"/>
                <w:color w:val="FF0000"/>
                <w:spacing w:val="0"/>
                <w:kern w:val="0"/>
                <w:position w:val="0"/>
                <w:sz w:val="24"/>
                <w:lang w:val="en-US" w:eastAsia="zh-CN"/>
              </w:rPr>
              <w:t>道路</w:t>
            </w:r>
            <w:r>
              <w:rPr>
                <w:rFonts w:hint="eastAsia" w:ascii="Times New Roman" w:hAnsi="Times New Roman" w:cs="Times New Roman"/>
                <w:color w:val="FF0000"/>
                <w:spacing w:val="0"/>
                <w:kern w:val="0"/>
                <w:position w:val="0"/>
                <w:sz w:val="24"/>
                <w:lang w:val="en-US" w:eastAsia="zh-CN"/>
              </w:rPr>
              <w:t>起点、终点</w:t>
            </w:r>
            <w:r>
              <w:rPr>
                <w:rFonts w:hint="default" w:ascii="Times New Roman" w:hAnsi="Times New Roman" w:cs="Times New Roman"/>
                <w:color w:val="FF0000"/>
                <w:spacing w:val="0"/>
                <w:kern w:val="0"/>
                <w:position w:val="0"/>
                <w:sz w:val="24"/>
              </w:rPr>
              <w:t>与敏感点之间加强绿化，种植叶密繁茂的灌木，通过绿化带隔声减小噪声对敏感点的影响。</w:t>
            </w:r>
          </w:p>
          <w:p>
            <w:pPr>
              <w:adjustRightInd w:val="0"/>
              <w:snapToGrid w:val="0"/>
              <w:spacing w:line="360" w:lineRule="auto"/>
              <w:rPr>
                <w:rFonts w:hint="default" w:ascii="Times New Roman" w:hAnsi="Times New Roman" w:cs="Times New Roman"/>
                <w:b/>
                <w:bCs/>
                <w:color w:val="FF0000"/>
                <w:spacing w:val="0"/>
                <w:kern w:val="0"/>
                <w:position w:val="0"/>
                <w:sz w:val="24"/>
                <w:lang w:val="zh-CN"/>
              </w:rPr>
            </w:pPr>
            <w:r>
              <w:rPr>
                <w:rFonts w:hint="eastAsia" w:cs="Times New Roman"/>
                <w:b/>
                <w:bCs/>
                <w:color w:val="FF0000"/>
                <w:spacing w:val="0"/>
                <w:kern w:val="0"/>
                <w:position w:val="0"/>
                <w:sz w:val="24"/>
                <w:lang w:val="en-US" w:eastAsia="zh-CN"/>
              </w:rPr>
              <w:t>7、</w:t>
            </w:r>
            <w:r>
              <w:rPr>
                <w:rFonts w:hint="default" w:ascii="Times New Roman" w:hAnsi="Times New Roman" w:cs="Times New Roman"/>
                <w:b/>
                <w:bCs/>
                <w:color w:val="FF0000"/>
                <w:spacing w:val="0"/>
                <w:kern w:val="0"/>
                <w:position w:val="0"/>
                <w:sz w:val="24"/>
                <w:lang w:val="zh-CN"/>
              </w:rPr>
              <w:t>环境监测计划</w:t>
            </w:r>
          </w:p>
          <w:p>
            <w:pPr>
              <w:pStyle w:val="6"/>
              <w:adjustRightInd w:val="0"/>
              <w:snapToGrid w:val="0"/>
              <w:spacing w:line="360" w:lineRule="auto"/>
              <w:ind w:firstLine="482"/>
              <w:rPr>
                <w:rFonts w:hint="default" w:ascii="Times New Roman" w:hAnsi="Times New Roman" w:eastAsia="宋体" w:cs="Times New Roman"/>
                <w:snapToGrid w:val="0"/>
                <w:color w:val="FF0000"/>
                <w:spacing w:val="0"/>
                <w:kern w:val="0"/>
                <w:position w:val="0"/>
                <w:sz w:val="24"/>
              </w:rPr>
            </w:pPr>
            <w:r>
              <w:rPr>
                <w:rFonts w:hint="default" w:ascii="Times New Roman" w:hAnsi="Times New Roman" w:cs="Times New Roman"/>
                <w:snapToGrid w:val="0"/>
                <w:color w:val="FF0000"/>
                <w:spacing w:val="0"/>
                <w:kern w:val="0"/>
                <w:position w:val="0"/>
                <w:sz w:val="24"/>
              </w:rPr>
              <w:t>根据道路工程的特点及沿线环境特征，</w:t>
            </w:r>
            <w:r>
              <w:rPr>
                <w:rFonts w:hint="default" w:ascii="Times New Roman" w:hAnsi="Times New Roman" w:cs="Times New Roman"/>
                <w:snapToGrid w:val="0"/>
                <w:color w:val="FF0000"/>
                <w:spacing w:val="0"/>
                <w:kern w:val="0"/>
                <w:position w:val="0"/>
                <w:sz w:val="24"/>
                <w:lang w:val="zh-CN"/>
              </w:rPr>
              <w:t>按照《排污单位自行监测技术指南 总则》（HJ819-2017）</w:t>
            </w:r>
            <w:r>
              <w:rPr>
                <w:rFonts w:hint="default" w:ascii="Times New Roman" w:hAnsi="Times New Roman" w:cs="Times New Roman"/>
                <w:snapToGrid w:val="0"/>
                <w:color w:val="FF0000"/>
                <w:spacing w:val="0"/>
                <w:kern w:val="0"/>
                <w:position w:val="0"/>
                <w:sz w:val="24"/>
              </w:rPr>
              <w:t>制定本项目的环境监测计划</w:t>
            </w:r>
            <w:r>
              <w:rPr>
                <w:rFonts w:hint="default" w:ascii="Times New Roman" w:hAnsi="Times New Roman" w:eastAsia="宋体" w:cs="Times New Roman"/>
                <w:snapToGrid w:val="0"/>
                <w:color w:val="FF0000"/>
                <w:spacing w:val="0"/>
                <w:kern w:val="0"/>
                <w:position w:val="0"/>
                <w:sz w:val="24"/>
              </w:rPr>
              <w:t>见表</w:t>
            </w:r>
            <w:r>
              <w:rPr>
                <w:rFonts w:hint="eastAsia" w:ascii="Times New Roman" w:hAnsi="Times New Roman" w:cs="Times New Roman"/>
                <w:snapToGrid w:val="0"/>
                <w:color w:val="FF0000"/>
                <w:spacing w:val="0"/>
                <w:kern w:val="0"/>
                <w:position w:val="0"/>
                <w:sz w:val="24"/>
                <w:lang w:val="en-US" w:eastAsia="zh-CN"/>
              </w:rPr>
              <w:t>8-1</w:t>
            </w:r>
            <w:r>
              <w:rPr>
                <w:rFonts w:hint="eastAsia" w:cs="Times New Roman"/>
                <w:snapToGrid w:val="0"/>
                <w:color w:val="FF0000"/>
                <w:spacing w:val="0"/>
                <w:kern w:val="0"/>
                <w:position w:val="0"/>
                <w:sz w:val="24"/>
                <w:lang w:val="en-US" w:eastAsia="zh-CN"/>
              </w:rPr>
              <w:t>7</w:t>
            </w:r>
            <w:r>
              <w:rPr>
                <w:rFonts w:hint="default" w:ascii="Times New Roman" w:hAnsi="Times New Roman" w:eastAsia="宋体" w:cs="Times New Roman"/>
                <w:snapToGrid w:val="0"/>
                <w:color w:val="FF0000"/>
                <w:spacing w:val="0"/>
                <w:kern w:val="0"/>
                <w:position w:val="0"/>
                <w:sz w:val="24"/>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949" w:firstLineChars="450"/>
              <w:jc w:val="center"/>
              <w:textAlignment w:val="auto"/>
              <w:rPr>
                <w:rFonts w:hint="default"/>
                <w:b/>
                <w:color w:val="FF0000"/>
                <w:sz w:val="21"/>
                <w:szCs w:val="21"/>
                <w:lang w:eastAsia="zh-CN"/>
              </w:rPr>
            </w:pPr>
            <w:r>
              <w:rPr>
                <w:rFonts w:hint="default"/>
                <w:b/>
                <w:color w:val="FF0000"/>
                <w:sz w:val="21"/>
                <w:szCs w:val="21"/>
                <w:lang w:eastAsia="zh-CN"/>
              </w:rPr>
              <w:t>表</w:t>
            </w:r>
            <w:r>
              <w:rPr>
                <w:rFonts w:hint="eastAsia"/>
                <w:b/>
                <w:color w:val="FF0000"/>
                <w:sz w:val="21"/>
                <w:szCs w:val="21"/>
                <w:lang w:val="en-US" w:eastAsia="zh-CN"/>
              </w:rPr>
              <w:t>8-17</w:t>
            </w:r>
            <w:r>
              <w:rPr>
                <w:rFonts w:hint="default"/>
                <w:b/>
                <w:color w:val="FF0000"/>
                <w:sz w:val="21"/>
                <w:szCs w:val="21"/>
                <w:lang w:eastAsia="zh-CN"/>
              </w:rPr>
              <w:t xml:space="preserve">  </w:t>
            </w:r>
            <w:r>
              <w:rPr>
                <w:rFonts w:hint="default"/>
                <w:b/>
                <w:color w:val="FF0000"/>
                <w:sz w:val="21"/>
                <w:szCs w:val="21"/>
                <w:lang w:val="en-US" w:eastAsia="zh-CN"/>
              </w:rPr>
              <w:t xml:space="preserve">     </w:t>
            </w:r>
            <w:r>
              <w:rPr>
                <w:rFonts w:hint="default"/>
                <w:b/>
                <w:color w:val="FF0000"/>
                <w:sz w:val="21"/>
                <w:szCs w:val="21"/>
                <w:lang w:eastAsia="zh-CN"/>
              </w:rPr>
              <w:t xml:space="preserve"> </w:t>
            </w:r>
            <w:r>
              <w:rPr>
                <w:rFonts w:hint="eastAsia"/>
                <w:b/>
                <w:color w:val="FF0000"/>
                <w:sz w:val="21"/>
                <w:szCs w:val="21"/>
                <w:lang w:val="en-US" w:eastAsia="zh-CN"/>
              </w:rPr>
              <w:t>项目</w:t>
            </w:r>
            <w:r>
              <w:rPr>
                <w:rFonts w:hint="default"/>
                <w:b/>
                <w:color w:val="FF0000"/>
                <w:sz w:val="21"/>
                <w:szCs w:val="21"/>
                <w:lang w:eastAsia="zh-CN"/>
              </w:rPr>
              <w:t>环境监测计划</w:t>
            </w:r>
          </w:p>
          <w:tbl>
            <w:tblPr>
              <w:tblStyle w:val="26"/>
              <w:tblW w:w="84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21"/>
              <w:gridCol w:w="1605"/>
              <w:gridCol w:w="1126"/>
              <w:gridCol w:w="1904"/>
              <w:gridCol w:w="928"/>
              <w:gridCol w:w="822"/>
              <w:gridCol w:w="1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2" w:hRule="atLeast"/>
                <w:jc w:val="center"/>
              </w:trPr>
              <w:tc>
                <w:tcPr>
                  <w:tcW w:w="92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Chars="0"/>
                    <w:jc w:val="center"/>
                    <w:textAlignment w:val="auto"/>
                    <w:outlineLvl w:val="9"/>
                    <w:rPr>
                      <w:rFonts w:hint="default" w:ascii="Times New Roman" w:hAnsi="Times New Roman" w:cs="Times New Roman"/>
                      <w:b/>
                      <w:bCs/>
                      <w:color w:val="FF0000"/>
                      <w:spacing w:val="0"/>
                      <w:kern w:val="0"/>
                      <w:position w:val="0"/>
                      <w:sz w:val="21"/>
                      <w:szCs w:val="21"/>
                    </w:rPr>
                  </w:pPr>
                  <w:r>
                    <w:rPr>
                      <w:rFonts w:hint="default" w:ascii="Times New Roman" w:hAnsi="Times New Roman" w:cs="Times New Roman"/>
                      <w:b/>
                      <w:bCs/>
                      <w:color w:val="FF0000"/>
                      <w:spacing w:val="0"/>
                      <w:kern w:val="0"/>
                      <w:position w:val="0"/>
                      <w:sz w:val="21"/>
                      <w:szCs w:val="21"/>
                    </w:rPr>
                    <w:t>阶段</w:t>
                  </w:r>
                </w:p>
              </w:tc>
              <w:tc>
                <w:tcPr>
                  <w:tcW w:w="1605"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bCs/>
                      <w:color w:val="FF0000"/>
                      <w:spacing w:val="0"/>
                      <w:kern w:val="0"/>
                      <w:position w:val="0"/>
                      <w:sz w:val="21"/>
                      <w:szCs w:val="21"/>
                    </w:rPr>
                  </w:pPr>
                  <w:r>
                    <w:rPr>
                      <w:rFonts w:hint="default" w:ascii="Times New Roman" w:hAnsi="Times New Roman" w:cs="Times New Roman"/>
                      <w:b/>
                      <w:bCs/>
                      <w:color w:val="FF0000"/>
                      <w:spacing w:val="0"/>
                      <w:kern w:val="0"/>
                      <w:position w:val="0"/>
                      <w:sz w:val="21"/>
                      <w:szCs w:val="21"/>
                    </w:rPr>
                    <w:t>监测项目</w:t>
                  </w:r>
                </w:p>
              </w:tc>
              <w:tc>
                <w:tcPr>
                  <w:tcW w:w="1126"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bCs/>
                      <w:color w:val="FF0000"/>
                      <w:spacing w:val="0"/>
                      <w:kern w:val="0"/>
                      <w:position w:val="0"/>
                      <w:sz w:val="21"/>
                      <w:szCs w:val="21"/>
                    </w:rPr>
                  </w:pPr>
                  <w:r>
                    <w:rPr>
                      <w:rFonts w:hint="default" w:ascii="Times New Roman" w:hAnsi="Times New Roman" w:cs="Times New Roman"/>
                      <w:b/>
                      <w:bCs/>
                      <w:color w:val="FF0000"/>
                      <w:spacing w:val="0"/>
                      <w:kern w:val="0"/>
                      <w:position w:val="0"/>
                      <w:sz w:val="21"/>
                      <w:szCs w:val="21"/>
                    </w:rPr>
                    <w:t>监测频次</w:t>
                  </w:r>
                </w:p>
              </w:tc>
              <w:tc>
                <w:tcPr>
                  <w:tcW w:w="1904"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bCs/>
                      <w:color w:val="FF0000"/>
                      <w:spacing w:val="0"/>
                      <w:kern w:val="0"/>
                      <w:position w:val="0"/>
                      <w:sz w:val="21"/>
                      <w:szCs w:val="21"/>
                    </w:rPr>
                  </w:pPr>
                  <w:r>
                    <w:rPr>
                      <w:rFonts w:hint="default" w:ascii="Times New Roman" w:hAnsi="Times New Roman" w:cs="Times New Roman"/>
                      <w:b/>
                      <w:bCs/>
                      <w:color w:val="FF0000"/>
                      <w:spacing w:val="0"/>
                      <w:kern w:val="0"/>
                      <w:position w:val="0"/>
                      <w:sz w:val="21"/>
                      <w:szCs w:val="21"/>
                    </w:rPr>
                    <w:t>监测时间</w:t>
                  </w:r>
                </w:p>
              </w:tc>
              <w:tc>
                <w:tcPr>
                  <w:tcW w:w="928"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bCs/>
                      <w:color w:val="FF0000"/>
                      <w:spacing w:val="0"/>
                      <w:kern w:val="0"/>
                      <w:position w:val="0"/>
                      <w:sz w:val="21"/>
                      <w:szCs w:val="21"/>
                    </w:rPr>
                  </w:pPr>
                  <w:r>
                    <w:rPr>
                      <w:rFonts w:hint="default" w:ascii="Times New Roman" w:hAnsi="Times New Roman" w:cs="Times New Roman"/>
                      <w:b/>
                      <w:bCs/>
                      <w:color w:val="FF0000"/>
                      <w:spacing w:val="0"/>
                      <w:kern w:val="0"/>
                      <w:position w:val="0"/>
                      <w:sz w:val="21"/>
                      <w:szCs w:val="21"/>
                    </w:rPr>
                    <w:t>实施机构</w:t>
                  </w:r>
                </w:p>
              </w:tc>
              <w:tc>
                <w:tcPr>
                  <w:tcW w:w="822"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bCs/>
                      <w:color w:val="FF0000"/>
                      <w:spacing w:val="0"/>
                      <w:kern w:val="0"/>
                      <w:position w:val="0"/>
                      <w:sz w:val="21"/>
                      <w:szCs w:val="21"/>
                    </w:rPr>
                  </w:pPr>
                  <w:r>
                    <w:rPr>
                      <w:rFonts w:hint="default" w:ascii="Times New Roman" w:hAnsi="Times New Roman" w:cs="Times New Roman"/>
                      <w:b/>
                      <w:bCs/>
                      <w:color w:val="FF0000"/>
                      <w:spacing w:val="0"/>
                      <w:kern w:val="0"/>
                      <w:position w:val="0"/>
                      <w:sz w:val="21"/>
                      <w:szCs w:val="21"/>
                    </w:rPr>
                    <w:t>负责机构</w:t>
                  </w:r>
                </w:p>
              </w:tc>
              <w:tc>
                <w:tcPr>
                  <w:tcW w:w="1150" w:type="dxa"/>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bCs/>
                      <w:color w:val="FF0000"/>
                      <w:spacing w:val="0"/>
                      <w:kern w:val="0"/>
                      <w:position w:val="0"/>
                      <w:sz w:val="21"/>
                      <w:szCs w:val="21"/>
                    </w:rPr>
                  </w:pPr>
                  <w:r>
                    <w:rPr>
                      <w:rFonts w:hint="default" w:ascii="Times New Roman" w:hAnsi="Times New Roman" w:cs="Times New Roman"/>
                      <w:b/>
                      <w:bCs/>
                      <w:color w:val="FF0000"/>
                      <w:spacing w:val="0"/>
                      <w:kern w:val="0"/>
                      <w:position w:val="0"/>
                      <w:sz w:val="21"/>
                      <w:szCs w:val="21"/>
                    </w:rPr>
                    <w:t>监督机构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92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Cs/>
                      <w:color w:val="FF0000"/>
                      <w:spacing w:val="0"/>
                      <w:kern w:val="0"/>
                      <w:position w:val="0"/>
                      <w:sz w:val="21"/>
                      <w:szCs w:val="21"/>
                      <w:lang w:val="en-US" w:eastAsia="zh-CN" w:bidi="ar-SA"/>
                    </w:rPr>
                  </w:pPr>
                  <w:r>
                    <w:rPr>
                      <w:rFonts w:hint="default" w:ascii="Times New Roman" w:hAnsi="Times New Roman" w:cs="Times New Roman"/>
                      <w:bCs/>
                      <w:color w:val="FF0000"/>
                      <w:spacing w:val="0"/>
                      <w:kern w:val="0"/>
                      <w:position w:val="0"/>
                      <w:sz w:val="21"/>
                      <w:szCs w:val="21"/>
                    </w:rPr>
                    <w:t>运营期</w:t>
                  </w:r>
                </w:p>
              </w:tc>
              <w:tc>
                <w:tcPr>
                  <w:tcW w:w="16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Cs/>
                      <w:color w:val="FF0000"/>
                      <w:spacing w:val="0"/>
                      <w:kern w:val="0"/>
                      <w:position w:val="0"/>
                      <w:sz w:val="21"/>
                      <w:szCs w:val="21"/>
                      <w:lang w:val="en-US" w:eastAsia="zh-CN" w:bidi="ar-SA"/>
                    </w:rPr>
                  </w:pPr>
                  <w:r>
                    <w:rPr>
                      <w:rFonts w:hint="default" w:ascii="Times New Roman" w:hAnsi="Times New Roman" w:cs="Times New Roman"/>
                      <w:bCs/>
                      <w:color w:val="FF0000"/>
                      <w:spacing w:val="0"/>
                      <w:kern w:val="0"/>
                      <w:position w:val="0"/>
                      <w:sz w:val="21"/>
                      <w:szCs w:val="21"/>
                      <w:lang w:eastAsia="zh-CN"/>
                    </w:rPr>
                    <w:t>等效连续</w:t>
                  </w:r>
                  <w:r>
                    <w:rPr>
                      <w:rFonts w:hint="default" w:ascii="Times New Roman" w:hAnsi="Times New Roman" w:cs="Times New Roman"/>
                      <w:bCs/>
                      <w:color w:val="FF0000"/>
                      <w:spacing w:val="0"/>
                      <w:kern w:val="0"/>
                      <w:position w:val="0"/>
                      <w:sz w:val="21"/>
                      <w:szCs w:val="21"/>
                      <w:lang w:val="en-US" w:eastAsia="zh-CN"/>
                    </w:rPr>
                    <w:t>A声级</w:t>
                  </w:r>
                </w:p>
              </w:tc>
              <w:tc>
                <w:tcPr>
                  <w:tcW w:w="11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FF0000"/>
                      <w:spacing w:val="0"/>
                      <w:kern w:val="0"/>
                      <w:position w:val="0"/>
                      <w:sz w:val="21"/>
                      <w:szCs w:val="21"/>
                      <w:lang w:val="en-US" w:eastAsia="zh-CN" w:bidi="ar-SA"/>
                    </w:rPr>
                  </w:pPr>
                  <w:r>
                    <w:rPr>
                      <w:rFonts w:hint="default" w:ascii="Times New Roman" w:hAnsi="Times New Roman" w:cs="Times New Roman"/>
                      <w:bCs/>
                      <w:color w:val="FF0000"/>
                      <w:spacing w:val="0"/>
                      <w:kern w:val="0"/>
                      <w:position w:val="0"/>
                      <w:sz w:val="21"/>
                      <w:szCs w:val="21"/>
                    </w:rPr>
                    <w:t>4次/a</w:t>
                  </w:r>
                </w:p>
              </w:tc>
              <w:tc>
                <w:tcPr>
                  <w:tcW w:w="19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FF0000"/>
                      <w:spacing w:val="0"/>
                      <w:kern w:val="0"/>
                      <w:position w:val="0"/>
                      <w:sz w:val="21"/>
                      <w:szCs w:val="21"/>
                      <w:lang w:val="en-US" w:eastAsia="zh-CN" w:bidi="ar-SA"/>
                    </w:rPr>
                  </w:pPr>
                  <w:r>
                    <w:rPr>
                      <w:rFonts w:hint="default" w:ascii="Times New Roman" w:hAnsi="Times New Roman" w:cs="Times New Roman"/>
                      <w:bCs/>
                      <w:color w:val="FF0000"/>
                      <w:spacing w:val="0"/>
                      <w:kern w:val="0"/>
                      <w:position w:val="0"/>
                      <w:sz w:val="21"/>
                      <w:szCs w:val="21"/>
                      <w:lang w:val="en-US" w:eastAsia="zh-CN"/>
                    </w:rPr>
                    <w:t>2</w:t>
                  </w:r>
                  <w:r>
                    <w:rPr>
                      <w:rFonts w:hint="eastAsia" w:ascii="Times New Roman" w:hAnsi="Times New Roman" w:cs="Times New Roman"/>
                      <w:bCs/>
                      <w:color w:val="FF0000"/>
                      <w:spacing w:val="0"/>
                      <w:kern w:val="0"/>
                      <w:position w:val="0"/>
                      <w:sz w:val="21"/>
                      <w:szCs w:val="21"/>
                      <w:lang w:val="en-US" w:eastAsia="zh-CN"/>
                    </w:rPr>
                    <w:t>次</w:t>
                  </w:r>
                  <w:r>
                    <w:rPr>
                      <w:rFonts w:hint="default" w:ascii="Times New Roman" w:hAnsi="Times New Roman" w:cs="Times New Roman"/>
                      <w:bCs/>
                      <w:color w:val="FF0000"/>
                      <w:spacing w:val="0"/>
                      <w:kern w:val="0"/>
                      <w:position w:val="0"/>
                      <w:sz w:val="21"/>
                      <w:szCs w:val="21"/>
                    </w:rPr>
                    <w:t>/2</w:t>
                  </w:r>
                  <w:r>
                    <w:rPr>
                      <w:rFonts w:hint="eastAsia" w:ascii="Times New Roman" w:hAnsi="Times New Roman" w:cs="Times New Roman"/>
                      <w:bCs/>
                      <w:color w:val="FF0000"/>
                      <w:spacing w:val="0"/>
                      <w:kern w:val="0"/>
                      <w:position w:val="0"/>
                      <w:sz w:val="21"/>
                      <w:szCs w:val="21"/>
                      <w:lang w:val="en-US" w:eastAsia="zh-CN"/>
                    </w:rPr>
                    <w:t>天</w:t>
                  </w:r>
                  <w:r>
                    <w:rPr>
                      <w:rFonts w:hint="default" w:ascii="Times New Roman" w:hAnsi="Times New Roman" w:cs="Times New Roman"/>
                      <w:bCs/>
                      <w:color w:val="FF0000"/>
                      <w:spacing w:val="0"/>
                      <w:kern w:val="0"/>
                      <w:position w:val="0"/>
                      <w:sz w:val="21"/>
                      <w:szCs w:val="21"/>
                    </w:rPr>
                    <w:t>，每天昼间、夜间各监测1次</w:t>
                  </w:r>
                </w:p>
              </w:tc>
              <w:tc>
                <w:tcPr>
                  <w:tcW w:w="9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FF0000"/>
                      <w:spacing w:val="0"/>
                      <w:kern w:val="0"/>
                      <w:position w:val="0"/>
                      <w:sz w:val="21"/>
                      <w:szCs w:val="21"/>
                      <w:lang w:val="en-US" w:eastAsia="zh-CN" w:bidi="ar-SA"/>
                    </w:rPr>
                  </w:pPr>
                  <w:r>
                    <w:rPr>
                      <w:rFonts w:hint="default" w:ascii="Times New Roman" w:hAnsi="Times New Roman" w:cs="Times New Roman"/>
                      <w:bCs/>
                      <w:color w:val="FF0000"/>
                      <w:spacing w:val="0"/>
                      <w:kern w:val="0"/>
                      <w:position w:val="0"/>
                      <w:sz w:val="21"/>
                      <w:szCs w:val="21"/>
                      <w:lang w:eastAsia="zh-CN"/>
                    </w:rPr>
                    <w:t>有资质单位</w:t>
                  </w:r>
                </w:p>
              </w:tc>
              <w:tc>
                <w:tcPr>
                  <w:tcW w:w="8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Chars="0"/>
                    <w:jc w:val="center"/>
                    <w:textAlignment w:val="auto"/>
                    <w:outlineLvl w:val="9"/>
                    <w:rPr>
                      <w:rFonts w:hint="default" w:ascii="Times New Roman" w:hAnsi="Times New Roman" w:cs="Times New Roman"/>
                      <w:bCs/>
                      <w:color w:val="FF0000"/>
                      <w:spacing w:val="0"/>
                      <w:kern w:val="0"/>
                      <w:position w:val="0"/>
                      <w:sz w:val="21"/>
                      <w:szCs w:val="21"/>
                    </w:rPr>
                  </w:pPr>
                  <w:r>
                    <w:rPr>
                      <w:rFonts w:hint="default" w:ascii="Times New Roman" w:hAnsi="Times New Roman" w:cs="Times New Roman"/>
                      <w:color w:val="FF0000"/>
                      <w:spacing w:val="0"/>
                      <w:kern w:val="0"/>
                      <w:position w:val="0"/>
                      <w:sz w:val="21"/>
                      <w:szCs w:val="21"/>
                    </w:rPr>
                    <w:t>运营管理机构</w:t>
                  </w:r>
                </w:p>
              </w:tc>
              <w:tc>
                <w:tcPr>
                  <w:tcW w:w="11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Chars="0"/>
                    <w:jc w:val="center"/>
                    <w:textAlignment w:val="auto"/>
                    <w:outlineLvl w:val="9"/>
                    <w:rPr>
                      <w:rFonts w:hint="default" w:ascii="Times New Roman" w:hAnsi="Times New Roman" w:cs="Times New Roman"/>
                      <w:color w:val="FF0000"/>
                      <w:spacing w:val="0"/>
                      <w:kern w:val="0"/>
                      <w:position w:val="0"/>
                      <w:sz w:val="21"/>
                      <w:szCs w:val="21"/>
                    </w:rPr>
                  </w:pPr>
                  <w:r>
                    <w:rPr>
                      <w:rFonts w:hint="eastAsia" w:cs="Times New Roman"/>
                      <w:b w:val="0"/>
                      <w:bCs/>
                      <w:color w:val="FF0000"/>
                      <w:spacing w:val="0"/>
                      <w:kern w:val="0"/>
                      <w:position w:val="0"/>
                      <w:sz w:val="21"/>
                      <w:szCs w:val="21"/>
                      <w:lang w:eastAsia="zh-CN"/>
                    </w:rPr>
                    <w:t>庆阳</w:t>
                  </w:r>
                  <w:r>
                    <w:rPr>
                      <w:rFonts w:hint="default" w:ascii="Times New Roman" w:hAnsi="Times New Roman" w:eastAsia="宋体" w:cs="Times New Roman"/>
                      <w:b w:val="0"/>
                      <w:bCs/>
                      <w:color w:val="FF0000"/>
                      <w:spacing w:val="0"/>
                      <w:kern w:val="0"/>
                      <w:position w:val="0"/>
                      <w:sz w:val="21"/>
                      <w:szCs w:val="21"/>
                    </w:rPr>
                    <w:t>市生态环境局</w:t>
                  </w:r>
                  <w:r>
                    <w:rPr>
                      <w:rFonts w:hint="eastAsia" w:cs="Times New Roman"/>
                      <w:b w:val="0"/>
                      <w:bCs/>
                      <w:color w:val="FF0000"/>
                      <w:spacing w:val="0"/>
                      <w:kern w:val="0"/>
                      <w:position w:val="0"/>
                      <w:sz w:val="21"/>
                      <w:szCs w:val="21"/>
                      <w:lang w:eastAsia="zh-CN"/>
                    </w:rPr>
                    <w:t>宁县</w:t>
                  </w:r>
                  <w:r>
                    <w:rPr>
                      <w:rFonts w:hint="default" w:ascii="Times New Roman" w:hAnsi="Times New Roman" w:eastAsia="宋体" w:cs="Times New Roman"/>
                      <w:b w:val="0"/>
                      <w:bCs/>
                      <w:color w:val="FF0000"/>
                      <w:spacing w:val="0"/>
                      <w:kern w:val="0"/>
                      <w:position w:val="0"/>
                      <w:sz w:val="21"/>
                      <w:szCs w:val="21"/>
                    </w:rPr>
                    <w:t>分局</w:t>
                  </w:r>
                </w:p>
              </w:tc>
            </w:tr>
          </w:tbl>
          <w:p>
            <w:pPr>
              <w:pStyle w:val="33"/>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ind w:firstLine="480" w:firstLineChars="200"/>
              <w:jc w:val="both"/>
              <w:textAlignment w:val="auto"/>
              <w:rPr>
                <w:rFonts w:hint="default" w:ascii="Times New Roman" w:hAnsi="Times New Roman" w:cs="Times New Roman"/>
                <w:snapToGrid w:val="0"/>
                <w:color w:val="FF0000"/>
                <w:spacing w:val="0"/>
                <w:kern w:val="0"/>
                <w:position w:val="0"/>
                <w:sz w:val="24"/>
                <w:szCs w:val="24"/>
              </w:rPr>
            </w:pPr>
            <w:r>
              <w:rPr>
                <w:rFonts w:hint="default" w:ascii="Times New Roman" w:hAnsi="Times New Roman" w:cs="Times New Roman"/>
                <w:snapToGrid w:val="0"/>
                <w:color w:val="FF0000"/>
                <w:spacing w:val="0"/>
                <w:kern w:val="0"/>
                <w:position w:val="0"/>
                <w:sz w:val="24"/>
                <w:szCs w:val="24"/>
              </w:rPr>
              <w:t>每次监测工作结束后，监测单位应提交正式监测报告，并按程序逐级上报。若遇有突发性事故发生时，必须立即上报。</w:t>
            </w:r>
          </w:p>
          <w:p>
            <w:pPr>
              <w:pStyle w:val="33"/>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default" w:ascii="Times New Roman" w:hAnsi="Times New Roman" w:eastAsia="宋体" w:cs="Times New Roman"/>
                <w:b/>
                <w:bCs/>
                <w:color w:val="FF0000"/>
                <w:spacing w:val="0"/>
                <w:kern w:val="0"/>
                <w:position w:val="0"/>
                <w:sz w:val="24"/>
                <w:szCs w:val="24"/>
                <w:lang w:val="en-US" w:eastAsia="zh-CN"/>
              </w:rPr>
            </w:pPr>
            <w:r>
              <w:rPr>
                <w:rFonts w:hint="eastAsia" w:cs="Times New Roman"/>
                <w:b/>
                <w:bCs/>
                <w:color w:val="FF0000"/>
                <w:spacing w:val="0"/>
                <w:kern w:val="0"/>
                <w:position w:val="0"/>
                <w:sz w:val="24"/>
                <w:szCs w:val="24"/>
                <w:lang w:val="en-US" w:eastAsia="zh-CN"/>
              </w:rPr>
              <w:t>8、</w:t>
            </w:r>
            <w:r>
              <w:rPr>
                <w:rFonts w:hint="eastAsia" w:ascii="Times New Roman" w:hAnsi="Times New Roman" w:cs="Times New Roman"/>
                <w:b/>
                <w:bCs/>
                <w:color w:val="FF0000"/>
                <w:spacing w:val="0"/>
                <w:kern w:val="0"/>
                <w:position w:val="0"/>
                <w:sz w:val="24"/>
                <w:szCs w:val="24"/>
                <w:lang w:val="en-US" w:eastAsia="zh-CN"/>
              </w:rPr>
              <w:t>声环境评价结论</w:t>
            </w:r>
          </w:p>
          <w:p>
            <w:pPr>
              <w:widowControl/>
              <w:adjustRightInd w:val="0"/>
              <w:snapToGrid w:val="0"/>
              <w:spacing w:line="360" w:lineRule="auto"/>
              <w:ind w:firstLine="480" w:firstLineChars="200"/>
              <w:rPr>
                <w:color w:val="FF0000"/>
                <w:spacing w:val="0"/>
                <w:kern w:val="0"/>
                <w:position w:val="0"/>
                <w:sz w:val="24"/>
              </w:rPr>
            </w:pPr>
            <w:r>
              <w:rPr>
                <w:rFonts w:hint="eastAsia" w:hAnsi="宋体"/>
                <w:color w:val="FF0000"/>
                <w:spacing w:val="0"/>
                <w:kern w:val="0"/>
                <w:position w:val="0"/>
                <w:sz w:val="24"/>
              </w:rPr>
              <w:t>本</w:t>
            </w:r>
            <w:r>
              <w:rPr>
                <w:rFonts w:hAnsi="宋体"/>
                <w:color w:val="FF0000"/>
                <w:spacing w:val="0"/>
                <w:kern w:val="0"/>
                <w:position w:val="0"/>
                <w:sz w:val="24"/>
              </w:rPr>
              <w:t>项目</w:t>
            </w:r>
            <w:r>
              <w:rPr>
                <w:rFonts w:hint="eastAsia" w:hAnsi="宋体"/>
                <w:color w:val="FF0000"/>
                <w:spacing w:val="0"/>
                <w:kern w:val="0"/>
                <w:position w:val="0"/>
                <w:sz w:val="24"/>
              </w:rPr>
              <w:t>运营后</w:t>
            </w:r>
            <w:r>
              <w:rPr>
                <w:rFonts w:hAnsi="宋体"/>
                <w:color w:val="FF0000"/>
                <w:spacing w:val="0"/>
                <w:kern w:val="0"/>
                <w:position w:val="0"/>
                <w:sz w:val="24"/>
              </w:rPr>
              <w:t>交通噪声对周围声环境质量造成了一定的影响，根据预测结果可以看出，在叠加背景值后预测点未出现超标现象，满足《声环境质量标准》（</w:t>
            </w:r>
            <w:r>
              <w:rPr>
                <w:color w:val="FF0000"/>
                <w:spacing w:val="0"/>
                <w:kern w:val="0"/>
                <w:position w:val="0"/>
                <w:sz w:val="24"/>
              </w:rPr>
              <w:t>GB3096-2008</w:t>
            </w:r>
            <w:r>
              <w:rPr>
                <w:rFonts w:hAnsi="宋体"/>
                <w:color w:val="FF0000"/>
                <w:spacing w:val="0"/>
                <w:kern w:val="0"/>
                <w:position w:val="0"/>
                <w:sz w:val="24"/>
              </w:rPr>
              <w:t>）</w:t>
            </w:r>
            <w:r>
              <w:rPr>
                <w:color w:val="FF0000"/>
                <w:spacing w:val="0"/>
                <w:kern w:val="0"/>
                <w:position w:val="0"/>
                <w:sz w:val="24"/>
              </w:rPr>
              <w:t>2</w:t>
            </w:r>
            <w:r>
              <w:rPr>
                <w:rFonts w:hAnsi="宋体"/>
                <w:color w:val="FF0000"/>
                <w:spacing w:val="0"/>
                <w:kern w:val="0"/>
                <w:position w:val="0"/>
                <w:sz w:val="24"/>
              </w:rPr>
              <w:t>类区标准</w:t>
            </w:r>
            <w:r>
              <w:rPr>
                <w:rFonts w:hint="eastAsia" w:hAnsi="宋体"/>
                <w:color w:val="FF0000"/>
                <w:spacing w:val="0"/>
                <w:kern w:val="0"/>
                <w:position w:val="0"/>
                <w:sz w:val="24"/>
              </w:rPr>
              <w:t>（</w:t>
            </w:r>
            <w:r>
              <w:rPr>
                <w:rFonts w:hAnsi="宋体"/>
                <w:color w:val="FF0000"/>
                <w:spacing w:val="0"/>
                <w:kern w:val="0"/>
                <w:position w:val="0"/>
                <w:sz w:val="24"/>
              </w:rPr>
              <w:t>昼间</w:t>
            </w:r>
            <w:r>
              <w:rPr>
                <w:color w:val="FF0000"/>
                <w:spacing w:val="0"/>
                <w:kern w:val="0"/>
                <w:position w:val="0"/>
                <w:sz w:val="24"/>
              </w:rPr>
              <w:t>60dB</w:t>
            </w:r>
            <w:r>
              <w:rPr>
                <w:rFonts w:hAnsi="宋体"/>
                <w:color w:val="FF0000"/>
                <w:spacing w:val="0"/>
                <w:kern w:val="0"/>
                <w:position w:val="0"/>
                <w:sz w:val="24"/>
              </w:rPr>
              <w:t>（</w:t>
            </w:r>
            <w:r>
              <w:rPr>
                <w:color w:val="FF0000"/>
                <w:spacing w:val="0"/>
                <w:kern w:val="0"/>
                <w:position w:val="0"/>
                <w:sz w:val="24"/>
              </w:rPr>
              <w:t>A</w:t>
            </w:r>
            <w:r>
              <w:rPr>
                <w:rFonts w:hAnsi="宋体"/>
                <w:color w:val="FF0000"/>
                <w:spacing w:val="0"/>
                <w:kern w:val="0"/>
                <w:position w:val="0"/>
                <w:sz w:val="24"/>
              </w:rPr>
              <w:t>），夜间</w:t>
            </w:r>
            <w:r>
              <w:rPr>
                <w:color w:val="FF0000"/>
                <w:spacing w:val="0"/>
                <w:kern w:val="0"/>
                <w:position w:val="0"/>
                <w:sz w:val="24"/>
              </w:rPr>
              <w:t>50dB</w:t>
            </w:r>
            <w:r>
              <w:rPr>
                <w:rFonts w:hAnsi="宋体"/>
                <w:color w:val="FF0000"/>
                <w:spacing w:val="0"/>
                <w:kern w:val="0"/>
                <w:position w:val="0"/>
                <w:sz w:val="24"/>
              </w:rPr>
              <w:t>（</w:t>
            </w:r>
            <w:r>
              <w:rPr>
                <w:color w:val="FF0000"/>
                <w:spacing w:val="0"/>
                <w:kern w:val="0"/>
                <w:position w:val="0"/>
                <w:sz w:val="24"/>
              </w:rPr>
              <w:t>A</w:t>
            </w:r>
            <w:r>
              <w:rPr>
                <w:rFonts w:hAnsi="宋体"/>
                <w:color w:val="FF0000"/>
                <w:spacing w:val="0"/>
                <w:kern w:val="0"/>
                <w:position w:val="0"/>
                <w:sz w:val="24"/>
              </w:rPr>
              <w:t>）</w:t>
            </w:r>
            <w:r>
              <w:rPr>
                <w:rFonts w:hint="eastAsia" w:hAnsi="宋体"/>
                <w:color w:val="FF0000"/>
                <w:spacing w:val="0"/>
                <w:kern w:val="0"/>
                <w:position w:val="0"/>
                <w:sz w:val="24"/>
              </w:rPr>
              <w:t>）</w:t>
            </w:r>
            <w:r>
              <w:rPr>
                <w:rFonts w:hint="eastAsia" w:hAnsi="宋体"/>
                <w:color w:val="FF0000"/>
                <w:spacing w:val="0"/>
                <w:kern w:val="0"/>
                <w:position w:val="0"/>
                <w:sz w:val="24"/>
                <w:lang w:eastAsia="zh-CN"/>
              </w:rPr>
              <w:t>。</w:t>
            </w:r>
            <w:r>
              <w:rPr>
                <w:rFonts w:hint="eastAsia"/>
                <w:color w:val="FF0000"/>
                <w:spacing w:val="0"/>
                <w:kern w:val="0"/>
                <w:position w:val="0"/>
                <w:sz w:val="24"/>
              </w:rPr>
              <w:t>本项目</w:t>
            </w:r>
            <w:r>
              <w:rPr>
                <w:color w:val="FF0000"/>
                <w:spacing w:val="0"/>
                <w:kern w:val="0"/>
                <w:position w:val="0"/>
                <w:sz w:val="24"/>
              </w:rPr>
              <w:t>的建设</w:t>
            </w:r>
            <w:r>
              <w:rPr>
                <w:rFonts w:hint="eastAsia"/>
                <w:color w:val="FF0000"/>
                <w:spacing w:val="0"/>
                <w:kern w:val="0"/>
                <w:position w:val="0"/>
                <w:sz w:val="24"/>
                <w:lang w:eastAsia="zh-CN"/>
              </w:rPr>
              <w:t>是</w:t>
            </w:r>
            <w:r>
              <w:rPr>
                <w:rFonts w:hint="eastAsia"/>
                <w:color w:val="FF0000"/>
                <w:spacing w:val="0"/>
                <w:kern w:val="0"/>
                <w:position w:val="0"/>
                <w:sz w:val="24"/>
                <w:lang w:val="en-US" w:eastAsia="zh-CN"/>
              </w:rPr>
              <w:t>宁</w:t>
            </w:r>
            <w:r>
              <w:rPr>
                <w:rFonts w:hint="eastAsia"/>
                <w:color w:val="FF0000"/>
                <w:spacing w:val="0"/>
                <w:kern w:val="0"/>
                <w:position w:val="0"/>
                <w:sz w:val="24"/>
              </w:rPr>
              <w:t>县的</w:t>
            </w:r>
            <w:r>
              <w:rPr>
                <w:color w:val="FF0000"/>
                <w:spacing w:val="0"/>
                <w:kern w:val="0"/>
                <w:position w:val="0"/>
                <w:sz w:val="24"/>
              </w:rPr>
              <w:t>社会经济发展、路网建设以及城市发展的需要，</w:t>
            </w:r>
            <w:r>
              <w:rPr>
                <w:rFonts w:hint="eastAsia"/>
                <w:color w:val="FF0000"/>
                <w:spacing w:val="0"/>
                <w:kern w:val="0"/>
                <w:position w:val="0"/>
                <w:sz w:val="24"/>
                <w:lang w:val="en-US" w:eastAsia="zh-CN"/>
              </w:rPr>
              <w:t>项目</w:t>
            </w:r>
            <w:r>
              <w:rPr>
                <w:color w:val="FF0000"/>
                <w:spacing w:val="0"/>
                <w:kern w:val="0"/>
                <w:position w:val="0"/>
                <w:sz w:val="24"/>
              </w:rPr>
              <w:t>建成以后将改善城市交通条件，促进整个城市建设，使</w:t>
            </w:r>
            <w:r>
              <w:rPr>
                <w:rFonts w:hint="eastAsia"/>
                <w:color w:val="FF0000"/>
                <w:spacing w:val="0"/>
                <w:kern w:val="0"/>
                <w:position w:val="0"/>
                <w:sz w:val="24"/>
                <w:lang w:val="en-US" w:eastAsia="zh-CN"/>
              </w:rPr>
              <w:t>宁</w:t>
            </w:r>
            <w:r>
              <w:rPr>
                <w:rFonts w:hint="eastAsia"/>
                <w:color w:val="FF0000"/>
                <w:spacing w:val="0"/>
                <w:kern w:val="0"/>
                <w:position w:val="0"/>
                <w:sz w:val="24"/>
              </w:rPr>
              <w:t>县</w:t>
            </w:r>
            <w:r>
              <w:rPr>
                <w:color w:val="FF0000"/>
                <w:spacing w:val="0"/>
                <w:kern w:val="0"/>
                <w:position w:val="0"/>
                <w:sz w:val="24"/>
              </w:rPr>
              <w:t>的资源、区域优势得到进一步发挥，提升城市品质，带动社会经济的发展。</w:t>
            </w:r>
          </w:p>
          <w:p>
            <w:pPr>
              <w:keepNext w:val="0"/>
              <w:keepLines w:val="0"/>
              <w:pageBreakBefore w:val="0"/>
              <w:widowControl w:val="0"/>
              <w:kinsoku/>
              <w:wordWrap/>
              <w:overflowPunct/>
              <w:topLinePunct w:val="0"/>
              <w:autoSpaceDE/>
              <w:autoSpaceDN/>
              <w:bidi w:val="0"/>
              <w:adjustRightInd w:val="0"/>
              <w:snapToGrid w:val="0"/>
              <w:spacing w:line="240" w:lineRule="auto"/>
              <w:ind w:firstLine="949" w:firstLineChars="450"/>
              <w:jc w:val="center"/>
              <w:textAlignment w:val="auto"/>
              <w:rPr>
                <w:rFonts w:hint="default"/>
                <w:b/>
                <w:color w:val="FF0000"/>
                <w:sz w:val="21"/>
                <w:szCs w:val="21"/>
                <w:lang w:val="en-US" w:eastAsia="zh-CN"/>
              </w:rPr>
            </w:pPr>
            <w:r>
              <w:rPr>
                <w:rFonts w:hint="eastAsia"/>
                <w:b/>
                <w:color w:val="FF0000"/>
                <w:sz w:val="21"/>
                <w:szCs w:val="21"/>
                <w:lang w:val="en-US" w:eastAsia="zh-CN"/>
              </w:rPr>
              <w:t xml:space="preserve">表8-18    </w:t>
            </w:r>
            <w:r>
              <w:rPr>
                <w:rFonts w:hint="default"/>
                <w:b/>
                <w:color w:val="FF0000"/>
                <w:sz w:val="21"/>
                <w:szCs w:val="21"/>
                <w:lang w:val="en-US" w:eastAsia="zh-CN"/>
              </w:rPr>
              <w:t>声环境影响评价自查表</w:t>
            </w:r>
          </w:p>
          <w:tbl>
            <w:tblPr>
              <w:tblStyle w:val="116"/>
              <w:tblW w:w="4998" w:type="pct"/>
              <w:tblInd w:w="7"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0" w:type="dxa"/>
                <w:bottom w:w="0" w:type="dxa"/>
                <w:right w:w="0" w:type="dxa"/>
              </w:tblCellMar>
            </w:tblPr>
            <w:tblGrid>
              <w:gridCol w:w="928"/>
              <w:gridCol w:w="1305"/>
              <w:gridCol w:w="1002"/>
              <w:gridCol w:w="798"/>
              <w:gridCol w:w="211"/>
              <w:gridCol w:w="962"/>
              <w:gridCol w:w="50"/>
              <w:gridCol w:w="1010"/>
              <w:gridCol w:w="503"/>
              <w:gridCol w:w="431"/>
              <w:gridCol w:w="71"/>
              <w:gridCol w:w="1022"/>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134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工作内容</w:t>
                  </w:r>
                </w:p>
              </w:tc>
              <w:tc>
                <w:tcPr>
                  <w:tcW w:w="3652" w:type="pct"/>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自查项目</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56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评价等级与范围</w:t>
                  </w:r>
                </w:p>
              </w:tc>
              <w:tc>
                <w:tcPr>
                  <w:tcW w:w="7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评价等级</w:t>
                  </w:r>
                </w:p>
              </w:tc>
              <w:tc>
                <w:tcPr>
                  <w:tcW w:w="1085"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一级□</w:t>
                  </w:r>
                </w:p>
              </w:tc>
              <w:tc>
                <w:tcPr>
                  <w:tcW w:w="1346"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宋体" w:hAnsi="宋体" w:eastAsia="宋体" w:cs="宋体"/>
                      <w:color w:val="FF0000"/>
                      <w:spacing w:val="0"/>
                      <w:kern w:val="0"/>
                      <w:position w:val="0"/>
                      <w:sz w:val="18"/>
                      <w:szCs w:val="18"/>
                      <w:lang w:eastAsia="zh-CN"/>
                    </w:rPr>
                  </w:pPr>
                  <w:r>
                    <w:rPr>
                      <w:rFonts w:ascii="宋体" w:hAnsi="宋体" w:eastAsia="宋体" w:cs="宋体"/>
                      <w:color w:val="FF0000"/>
                      <w:spacing w:val="0"/>
                      <w:kern w:val="0"/>
                      <w:position w:val="0"/>
                      <w:sz w:val="18"/>
                      <w:szCs w:val="18"/>
                    </w:rPr>
                    <w:t>二级</w:t>
                  </w:r>
                  <w:r>
                    <w:rPr>
                      <w:rFonts w:hint="eastAsia" w:ascii="宋体" w:hAnsi="宋体" w:cs="宋体"/>
                      <w:color w:val="FF0000"/>
                      <w:spacing w:val="0"/>
                      <w:kern w:val="0"/>
                      <w:position w:val="0"/>
                      <w:sz w:val="18"/>
                      <w:szCs w:val="18"/>
                      <w:lang w:eastAsia="zh-CN"/>
                    </w:rPr>
                    <w:t>☑</w:t>
                  </w:r>
                </w:p>
              </w:tc>
              <w:tc>
                <w:tcPr>
                  <w:tcW w:w="1221"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三级□</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5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Arial"/>
                      <w:color w:val="FF0000"/>
                      <w:spacing w:val="0"/>
                      <w:kern w:val="0"/>
                      <w:position w:val="0"/>
                      <w:sz w:val="21"/>
                    </w:rPr>
                  </w:pPr>
                </w:p>
              </w:tc>
              <w:tc>
                <w:tcPr>
                  <w:tcW w:w="7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评价范围</w:t>
                  </w: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宋体" w:hAnsi="宋体" w:eastAsia="宋体" w:cs="宋体"/>
                      <w:color w:val="FF0000"/>
                      <w:spacing w:val="0"/>
                      <w:kern w:val="0"/>
                      <w:position w:val="0"/>
                      <w:sz w:val="18"/>
                      <w:szCs w:val="18"/>
                      <w:lang w:eastAsia="zh-CN"/>
                    </w:rPr>
                  </w:pPr>
                  <w:r>
                    <w:rPr>
                      <w:rFonts w:ascii="Times New Roman" w:hAnsi="Times New Roman" w:eastAsia="Times New Roman" w:cs="Times New Roman"/>
                      <w:color w:val="FF0000"/>
                      <w:spacing w:val="0"/>
                      <w:kern w:val="0"/>
                      <w:position w:val="0"/>
                      <w:sz w:val="18"/>
                      <w:szCs w:val="18"/>
                    </w:rPr>
                    <w:t>200m</w:t>
                  </w:r>
                  <w:r>
                    <w:rPr>
                      <w:rFonts w:hint="eastAsia" w:ascii="宋体" w:hAnsi="宋体" w:cs="宋体"/>
                      <w:color w:val="FF0000"/>
                      <w:spacing w:val="0"/>
                      <w:kern w:val="0"/>
                      <w:position w:val="0"/>
                      <w:sz w:val="18"/>
                      <w:szCs w:val="18"/>
                      <w:lang w:eastAsia="zh-CN"/>
                    </w:rPr>
                    <w:t>☑</w:t>
                  </w:r>
                </w:p>
              </w:tc>
              <w:tc>
                <w:tcPr>
                  <w:tcW w:w="1826"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宋体" w:hAnsi="宋体" w:eastAsia="宋体" w:cs="宋体"/>
                      <w:color w:val="FF0000"/>
                      <w:spacing w:val="0"/>
                      <w:kern w:val="0"/>
                      <w:position w:val="0"/>
                      <w:sz w:val="18"/>
                      <w:szCs w:val="18"/>
                      <w:lang w:eastAsia="zh-CN"/>
                    </w:rPr>
                  </w:pPr>
                  <w:r>
                    <w:rPr>
                      <w:rFonts w:ascii="宋体" w:hAnsi="宋体" w:eastAsia="宋体" w:cs="宋体"/>
                      <w:color w:val="FF0000"/>
                      <w:spacing w:val="0"/>
                      <w:kern w:val="0"/>
                      <w:position w:val="0"/>
                      <w:sz w:val="18"/>
                      <w:szCs w:val="18"/>
                    </w:rPr>
                    <w:t>大于</w:t>
                  </w:r>
                  <w:r>
                    <w:rPr>
                      <w:rFonts w:ascii="Times New Roman" w:hAnsi="Times New Roman" w:eastAsia="Times New Roman" w:cs="Times New Roman"/>
                      <w:color w:val="FF0000"/>
                      <w:spacing w:val="0"/>
                      <w:kern w:val="0"/>
                      <w:position w:val="0"/>
                      <w:sz w:val="18"/>
                      <w:szCs w:val="18"/>
                    </w:rPr>
                    <w:t>200m</w:t>
                  </w:r>
                  <w:r>
                    <w:rPr>
                      <w:rFonts w:hint="eastAsia" w:ascii="宋体" w:hAnsi="宋体" w:cs="宋体"/>
                      <w:color w:val="FF0000"/>
                      <w:spacing w:val="0"/>
                      <w:kern w:val="0"/>
                      <w:position w:val="0"/>
                      <w:sz w:val="18"/>
                      <w:szCs w:val="18"/>
                      <w:lang w:eastAsia="zh-CN"/>
                    </w:rPr>
                    <w:t>□</w:t>
                  </w:r>
                </w:p>
              </w:tc>
              <w:tc>
                <w:tcPr>
                  <w:tcW w:w="1221"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小于</w:t>
                  </w:r>
                  <w:r>
                    <w:rPr>
                      <w:rFonts w:ascii="Times New Roman" w:hAnsi="Times New Roman" w:eastAsia="Times New Roman" w:cs="Times New Roman"/>
                      <w:color w:val="FF0000"/>
                      <w:spacing w:val="0"/>
                      <w:kern w:val="0"/>
                      <w:position w:val="0"/>
                      <w:sz w:val="18"/>
                      <w:szCs w:val="18"/>
                    </w:rPr>
                    <w:t>200 m</w:t>
                  </w:r>
                  <w:r>
                    <w:rPr>
                      <w:rFonts w:ascii="宋体" w:hAnsi="宋体" w:eastAsia="宋体" w:cs="宋体"/>
                      <w:color w:val="FF0000"/>
                      <w:spacing w:val="0"/>
                      <w:kern w:val="0"/>
                      <w:position w:val="0"/>
                      <w:sz w:val="18"/>
                      <w:szCs w:val="18"/>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5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评价因子</w:t>
                  </w:r>
                </w:p>
              </w:tc>
              <w:tc>
                <w:tcPr>
                  <w:tcW w:w="7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评价因子</w:t>
                  </w:r>
                </w:p>
              </w:tc>
              <w:tc>
                <w:tcPr>
                  <w:tcW w:w="3652" w:type="pct"/>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 xml:space="preserve">等效连续 </w:t>
                  </w:r>
                  <w:r>
                    <w:rPr>
                      <w:rFonts w:ascii="Times New Roman" w:hAnsi="Times New Roman" w:eastAsia="Times New Roman" w:cs="Times New Roman"/>
                      <w:color w:val="FF0000"/>
                      <w:spacing w:val="0"/>
                      <w:kern w:val="0"/>
                      <w:position w:val="0"/>
                      <w:sz w:val="18"/>
                      <w:szCs w:val="18"/>
                    </w:rPr>
                    <w:t xml:space="preserve">A </w:t>
                  </w:r>
                  <w:r>
                    <w:rPr>
                      <w:rFonts w:ascii="宋体" w:hAnsi="宋体" w:eastAsia="宋体" w:cs="宋体"/>
                      <w:color w:val="FF0000"/>
                      <w:spacing w:val="0"/>
                      <w:kern w:val="0"/>
                      <w:position w:val="0"/>
                      <w:sz w:val="18"/>
                      <w:szCs w:val="18"/>
                    </w:rPr>
                    <w:t>声级</w:t>
                  </w:r>
                  <w:r>
                    <w:rPr>
                      <w:rFonts w:hint="eastAsia" w:ascii="宋体" w:hAnsi="宋体" w:cs="宋体"/>
                      <w:color w:val="FF0000"/>
                      <w:spacing w:val="0"/>
                      <w:kern w:val="0"/>
                      <w:position w:val="0"/>
                      <w:sz w:val="18"/>
                      <w:szCs w:val="18"/>
                      <w:lang w:eastAsia="zh-CN"/>
                    </w:rPr>
                    <w:t>☑</w:t>
                  </w:r>
                  <w:r>
                    <w:rPr>
                      <w:rFonts w:ascii="宋体" w:hAnsi="宋体" w:eastAsia="宋体" w:cs="宋体"/>
                      <w:color w:val="FF0000"/>
                      <w:spacing w:val="0"/>
                      <w:kern w:val="0"/>
                      <w:position w:val="0"/>
                      <w:sz w:val="18"/>
                      <w:szCs w:val="18"/>
                    </w:rPr>
                    <w:t xml:space="preserve">       最大 </w:t>
                  </w:r>
                  <w:r>
                    <w:rPr>
                      <w:rFonts w:ascii="Times New Roman" w:hAnsi="Times New Roman" w:eastAsia="Times New Roman" w:cs="Times New Roman"/>
                      <w:color w:val="FF0000"/>
                      <w:spacing w:val="0"/>
                      <w:kern w:val="0"/>
                      <w:position w:val="0"/>
                      <w:sz w:val="18"/>
                      <w:szCs w:val="18"/>
                    </w:rPr>
                    <w:t xml:space="preserve">A </w:t>
                  </w:r>
                  <w:r>
                    <w:rPr>
                      <w:rFonts w:ascii="宋体" w:hAnsi="宋体" w:eastAsia="宋体" w:cs="宋体"/>
                      <w:color w:val="FF0000"/>
                      <w:spacing w:val="0"/>
                      <w:kern w:val="0"/>
                      <w:position w:val="0"/>
                      <w:sz w:val="18"/>
                      <w:szCs w:val="18"/>
                    </w:rPr>
                    <w:t>声级□     计权等效连续感觉噪声级□</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5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评价标准</w:t>
                  </w:r>
                </w:p>
              </w:tc>
              <w:tc>
                <w:tcPr>
                  <w:tcW w:w="7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评价标准</w:t>
                  </w:r>
                </w:p>
              </w:tc>
              <w:tc>
                <w:tcPr>
                  <w:tcW w:w="1085"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宋体" w:hAnsi="宋体" w:eastAsia="宋体" w:cs="宋体"/>
                      <w:color w:val="FF0000"/>
                      <w:spacing w:val="0"/>
                      <w:kern w:val="0"/>
                      <w:position w:val="0"/>
                      <w:sz w:val="18"/>
                      <w:szCs w:val="18"/>
                      <w:lang w:eastAsia="zh-CN"/>
                    </w:rPr>
                  </w:pPr>
                  <w:r>
                    <w:rPr>
                      <w:rFonts w:ascii="宋体" w:hAnsi="宋体" w:eastAsia="宋体" w:cs="宋体"/>
                      <w:color w:val="FF0000"/>
                      <w:spacing w:val="0"/>
                      <w:kern w:val="0"/>
                      <w:position w:val="0"/>
                      <w:sz w:val="18"/>
                      <w:szCs w:val="18"/>
                    </w:rPr>
                    <w:t>国家标准</w:t>
                  </w:r>
                  <w:r>
                    <w:rPr>
                      <w:rFonts w:hint="eastAsia" w:ascii="宋体" w:hAnsi="宋体" w:cs="宋体"/>
                      <w:color w:val="FF0000"/>
                      <w:spacing w:val="0"/>
                      <w:kern w:val="0"/>
                      <w:position w:val="0"/>
                      <w:sz w:val="18"/>
                      <w:szCs w:val="18"/>
                      <w:lang w:eastAsia="zh-CN"/>
                    </w:rPr>
                    <w:t>☑</w:t>
                  </w:r>
                </w:p>
              </w:tc>
              <w:tc>
                <w:tcPr>
                  <w:tcW w:w="1346"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地方标准□</w:t>
                  </w:r>
                </w:p>
              </w:tc>
              <w:tc>
                <w:tcPr>
                  <w:tcW w:w="1221"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国外标准□</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56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现状评价</w:t>
                  </w:r>
                </w:p>
              </w:tc>
              <w:tc>
                <w:tcPr>
                  <w:tcW w:w="7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环境功能区</w:t>
                  </w: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Times New Roman" w:hAnsi="Times New Roman" w:eastAsia="Times New Roman" w:cs="Times New Roman"/>
                      <w:color w:val="FF0000"/>
                      <w:spacing w:val="0"/>
                      <w:kern w:val="0"/>
                      <w:position w:val="0"/>
                      <w:sz w:val="18"/>
                      <w:szCs w:val="18"/>
                    </w:rPr>
                    <w:t xml:space="preserve">0 </w:t>
                  </w:r>
                  <w:r>
                    <w:rPr>
                      <w:rFonts w:ascii="宋体" w:hAnsi="宋体" w:eastAsia="宋体" w:cs="宋体"/>
                      <w:color w:val="FF0000"/>
                      <w:spacing w:val="0"/>
                      <w:kern w:val="0"/>
                      <w:position w:val="0"/>
                      <w:sz w:val="18"/>
                      <w:szCs w:val="18"/>
                    </w:rPr>
                    <w:t>类区□</w:t>
                  </w:r>
                </w:p>
              </w:tc>
              <w:tc>
                <w:tcPr>
                  <w:tcW w:w="608"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Times New Roman" w:hAnsi="Times New Roman" w:eastAsia="Times New Roman" w:cs="Times New Roman"/>
                      <w:color w:val="FF0000"/>
                      <w:spacing w:val="0"/>
                      <w:kern w:val="0"/>
                      <w:position w:val="0"/>
                      <w:sz w:val="18"/>
                      <w:szCs w:val="18"/>
                    </w:rPr>
                    <w:t xml:space="preserve">1 </w:t>
                  </w:r>
                  <w:r>
                    <w:rPr>
                      <w:rFonts w:ascii="宋体" w:hAnsi="宋体" w:eastAsia="宋体" w:cs="宋体"/>
                      <w:color w:val="FF0000"/>
                      <w:spacing w:val="0"/>
                      <w:kern w:val="0"/>
                      <w:position w:val="0"/>
                      <w:sz w:val="18"/>
                      <w:szCs w:val="18"/>
                    </w:rPr>
                    <w:t>类区□</w:t>
                  </w:r>
                </w:p>
              </w:tc>
              <w:tc>
                <w:tcPr>
                  <w:tcW w:w="60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宋体" w:hAnsi="宋体" w:eastAsia="宋体" w:cs="宋体"/>
                      <w:color w:val="FF0000"/>
                      <w:spacing w:val="0"/>
                      <w:kern w:val="0"/>
                      <w:position w:val="0"/>
                      <w:sz w:val="18"/>
                      <w:szCs w:val="18"/>
                      <w:lang w:eastAsia="zh-CN"/>
                    </w:rPr>
                  </w:pPr>
                  <w:r>
                    <w:rPr>
                      <w:rFonts w:ascii="Times New Roman" w:hAnsi="Times New Roman" w:eastAsia="Times New Roman" w:cs="Times New Roman"/>
                      <w:color w:val="FF0000"/>
                      <w:spacing w:val="0"/>
                      <w:kern w:val="0"/>
                      <w:position w:val="0"/>
                      <w:sz w:val="18"/>
                      <w:szCs w:val="18"/>
                    </w:rPr>
                    <w:t xml:space="preserve">2 </w:t>
                  </w:r>
                  <w:r>
                    <w:rPr>
                      <w:rFonts w:ascii="宋体" w:hAnsi="宋体" w:eastAsia="宋体" w:cs="宋体"/>
                      <w:color w:val="FF0000"/>
                      <w:spacing w:val="0"/>
                      <w:kern w:val="0"/>
                      <w:position w:val="0"/>
                      <w:sz w:val="18"/>
                      <w:szCs w:val="18"/>
                    </w:rPr>
                    <w:t>类区</w:t>
                  </w:r>
                  <w:r>
                    <w:rPr>
                      <w:rFonts w:hint="eastAsia" w:ascii="宋体" w:hAnsi="宋体" w:cs="宋体"/>
                      <w:color w:val="FF0000"/>
                      <w:spacing w:val="0"/>
                      <w:kern w:val="0"/>
                      <w:position w:val="0"/>
                      <w:sz w:val="18"/>
                      <w:szCs w:val="18"/>
                      <w:lang w:eastAsia="zh-CN"/>
                    </w:rPr>
                    <w:t>☑</w:t>
                  </w:r>
                </w:p>
              </w:tc>
              <w:tc>
                <w:tcPr>
                  <w:tcW w:w="6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Times New Roman" w:hAnsi="Times New Roman" w:eastAsia="Times New Roman" w:cs="Times New Roman"/>
                      <w:color w:val="FF0000"/>
                      <w:spacing w:val="0"/>
                      <w:kern w:val="0"/>
                      <w:position w:val="0"/>
                      <w:sz w:val="18"/>
                      <w:szCs w:val="18"/>
                    </w:rPr>
                    <w:t xml:space="preserve">3 </w:t>
                  </w:r>
                  <w:r>
                    <w:rPr>
                      <w:rFonts w:ascii="宋体" w:hAnsi="宋体" w:eastAsia="宋体" w:cs="宋体"/>
                      <w:color w:val="FF0000"/>
                      <w:spacing w:val="0"/>
                      <w:kern w:val="0"/>
                      <w:position w:val="0"/>
                      <w:sz w:val="18"/>
                      <w:szCs w:val="18"/>
                    </w:rPr>
                    <w:t>类区□</w:t>
                  </w:r>
                </w:p>
              </w:tc>
              <w:tc>
                <w:tcPr>
                  <w:tcW w:w="606"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Times New Roman" w:hAnsi="Times New Roman" w:eastAsia="Times New Roman" w:cs="Times New Roman"/>
                      <w:color w:val="FF0000"/>
                      <w:spacing w:val="0"/>
                      <w:kern w:val="0"/>
                      <w:position w:val="0"/>
                      <w:sz w:val="18"/>
                      <w:szCs w:val="18"/>
                    </w:rPr>
                    <w:t xml:space="preserve">4a </w:t>
                  </w:r>
                  <w:r>
                    <w:rPr>
                      <w:rFonts w:ascii="宋体" w:hAnsi="宋体" w:eastAsia="宋体" w:cs="宋体"/>
                      <w:color w:val="FF0000"/>
                      <w:spacing w:val="0"/>
                      <w:kern w:val="0"/>
                      <w:position w:val="0"/>
                      <w:sz w:val="18"/>
                      <w:szCs w:val="18"/>
                    </w:rPr>
                    <w:t>类区□</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Times New Roman" w:hAnsi="Times New Roman" w:eastAsia="Times New Roman" w:cs="Times New Roman"/>
                      <w:color w:val="FF0000"/>
                      <w:spacing w:val="0"/>
                      <w:kern w:val="0"/>
                      <w:position w:val="0"/>
                      <w:sz w:val="18"/>
                      <w:szCs w:val="18"/>
                    </w:rPr>
                    <w:t xml:space="preserve">4b </w:t>
                  </w:r>
                  <w:r>
                    <w:rPr>
                      <w:rFonts w:ascii="宋体" w:hAnsi="宋体" w:eastAsia="宋体" w:cs="宋体"/>
                      <w:color w:val="FF0000"/>
                      <w:spacing w:val="0"/>
                      <w:kern w:val="0"/>
                      <w:position w:val="0"/>
                      <w:sz w:val="18"/>
                      <w:szCs w:val="18"/>
                    </w:rPr>
                    <w:t>类区□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Arial"/>
                      <w:color w:val="FF0000"/>
                      <w:spacing w:val="0"/>
                      <w:kern w:val="0"/>
                      <w:position w:val="0"/>
                      <w:sz w:val="21"/>
                    </w:rPr>
                  </w:pPr>
                </w:p>
              </w:tc>
              <w:tc>
                <w:tcPr>
                  <w:tcW w:w="7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评价年度</w:t>
                  </w:r>
                </w:p>
              </w:tc>
              <w:tc>
                <w:tcPr>
                  <w:tcW w:w="1085"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初期□</w:t>
                  </w:r>
                </w:p>
              </w:tc>
              <w:tc>
                <w:tcPr>
                  <w:tcW w:w="737"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宋体" w:hAnsi="宋体" w:eastAsia="宋体" w:cs="宋体"/>
                      <w:color w:val="FF0000"/>
                      <w:spacing w:val="0"/>
                      <w:kern w:val="0"/>
                      <w:position w:val="0"/>
                      <w:sz w:val="18"/>
                      <w:szCs w:val="18"/>
                      <w:lang w:eastAsia="zh-CN"/>
                    </w:rPr>
                  </w:pPr>
                  <w:r>
                    <w:rPr>
                      <w:rFonts w:ascii="宋体" w:hAnsi="宋体" w:eastAsia="宋体" w:cs="宋体"/>
                      <w:color w:val="FF0000"/>
                      <w:spacing w:val="0"/>
                      <w:kern w:val="0"/>
                      <w:position w:val="0"/>
                      <w:sz w:val="18"/>
                      <w:szCs w:val="18"/>
                    </w:rPr>
                    <w:t>近期</w:t>
                  </w:r>
                  <w:r>
                    <w:rPr>
                      <w:rFonts w:hint="eastAsia" w:ascii="宋体" w:hAnsi="宋体" w:cs="宋体"/>
                      <w:color w:val="FF0000"/>
                      <w:spacing w:val="0"/>
                      <w:kern w:val="0"/>
                      <w:position w:val="0"/>
                      <w:sz w:val="18"/>
                      <w:szCs w:val="18"/>
                      <w:lang w:eastAsia="zh-CN"/>
                    </w:rPr>
                    <w:t>☑</w:t>
                  </w:r>
                </w:p>
              </w:tc>
              <w:tc>
                <w:tcPr>
                  <w:tcW w:w="911"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中期□</w:t>
                  </w:r>
                </w:p>
              </w:tc>
              <w:tc>
                <w:tcPr>
                  <w:tcW w:w="918"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远期□</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87" w:hRule="atLeast"/>
              </w:trPr>
              <w:tc>
                <w:tcPr>
                  <w:tcW w:w="5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Arial"/>
                      <w:color w:val="FF0000"/>
                      <w:spacing w:val="0"/>
                      <w:kern w:val="0"/>
                      <w:position w:val="0"/>
                      <w:sz w:val="21"/>
                    </w:rPr>
                  </w:pPr>
                </w:p>
              </w:tc>
              <w:tc>
                <w:tcPr>
                  <w:tcW w:w="7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现状调查方法</w:t>
                  </w:r>
                </w:p>
              </w:tc>
              <w:tc>
                <w:tcPr>
                  <w:tcW w:w="3652" w:type="pct"/>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现场实测法</w:t>
                  </w:r>
                  <w:r>
                    <w:rPr>
                      <w:rFonts w:hint="eastAsia" w:ascii="宋体" w:hAnsi="宋体" w:cs="宋体"/>
                      <w:color w:val="FF0000"/>
                      <w:spacing w:val="0"/>
                      <w:kern w:val="0"/>
                      <w:position w:val="0"/>
                      <w:sz w:val="18"/>
                      <w:szCs w:val="18"/>
                      <w:lang w:eastAsia="zh-CN"/>
                    </w:rPr>
                    <w:t>☑</w:t>
                  </w:r>
                  <w:r>
                    <w:rPr>
                      <w:rFonts w:ascii="宋体" w:hAnsi="宋体" w:eastAsia="宋体" w:cs="宋体"/>
                      <w:color w:val="FF0000"/>
                      <w:spacing w:val="0"/>
                      <w:kern w:val="0"/>
                      <w:position w:val="0"/>
                      <w:sz w:val="18"/>
                      <w:szCs w:val="18"/>
                    </w:rPr>
                    <w:t xml:space="preserve">      现场实测加模型计算法□     收集资料□</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5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Arial"/>
                      <w:color w:val="FF0000"/>
                      <w:spacing w:val="0"/>
                      <w:kern w:val="0"/>
                      <w:position w:val="0"/>
                      <w:sz w:val="21"/>
                    </w:rPr>
                  </w:pPr>
                </w:p>
              </w:tc>
              <w:tc>
                <w:tcPr>
                  <w:tcW w:w="7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现状评价</w:t>
                  </w:r>
                </w:p>
              </w:tc>
              <w:tc>
                <w:tcPr>
                  <w:tcW w:w="1085"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达标百分比</w:t>
                  </w:r>
                </w:p>
              </w:tc>
              <w:tc>
                <w:tcPr>
                  <w:tcW w:w="2567" w:type="pct"/>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Arial" w:eastAsia="宋体"/>
                      <w:color w:val="FF0000"/>
                      <w:spacing w:val="0"/>
                      <w:kern w:val="0"/>
                      <w:position w:val="0"/>
                      <w:sz w:val="21"/>
                      <w:lang w:val="en-US" w:eastAsia="zh-CN"/>
                    </w:rPr>
                  </w:pPr>
                  <w:r>
                    <w:rPr>
                      <w:rFonts w:hint="default" w:ascii="Times New Roman" w:hAnsi="Times New Roman" w:cs="Times New Roman"/>
                      <w:color w:val="FF0000"/>
                      <w:spacing w:val="0"/>
                      <w:kern w:val="0"/>
                      <w:position w:val="0"/>
                      <w:sz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5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噪声源调查</w:t>
                  </w:r>
                </w:p>
              </w:tc>
              <w:tc>
                <w:tcPr>
                  <w:tcW w:w="7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噪声源调查方法</w:t>
                  </w:r>
                </w:p>
              </w:tc>
              <w:tc>
                <w:tcPr>
                  <w:tcW w:w="1085"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宋体" w:hAnsi="宋体" w:eastAsia="宋体" w:cs="宋体"/>
                      <w:color w:val="FF0000"/>
                      <w:spacing w:val="0"/>
                      <w:kern w:val="0"/>
                      <w:position w:val="0"/>
                      <w:sz w:val="18"/>
                      <w:szCs w:val="18"/>
                      <w:lang w:eastAsia="zh-CN"/>
                    </w:rPr>
                  </w:pPr>
                  <w:r>
                    <w:rPr>
                      <w:rFonts w:ascii="宋体" w:hAnsi="宋体" w:eastAsia="宋体" w:cs="宋体"/>
                      <w:color w:val="FF0000"/>
                      <w:spacing w:val="0"/>
                      <w:kern w:val="0"/>
                      <w:position w:val="0"/>
                      <w:sz w:val="18"/>
                      <w:szCs w:val="18"/>
                    </w:rPr>
                    <w:t>现场实测</w:t>
                  </w:r>
                  <w:r>
                    <w:rPr>
                      <w:rFonts w:hint="eastAsia" w:ascii="宋体" w:hAnsi="宋体" w:cs="宋体"/>
                      <w:color w:val="FF0000"/>
                      <w:spacing w:val="0"/>
                      <w:kern w:val="0"/>
                      <w:position w:val="0"/>
                      <w:sz w:val="18"/>
                      <w:szCs w:val="18"/>
                      <w:lang w:eastAsia="zh-CN"/>
                    </w:rPr>
                    <w:t>☑</w:t>
                  </w:r>
                </w:p>
              </w:tc>
              <w:tc>
                <w:tcPr>
                  <w:tcW w:w="2567" w:type="pct"/>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已有资料□               研究成果□</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56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声环境影响预测与评价</w:t>
                  </w:r>
                </w:p>
              </w:tc>
              <w:tc>
                <w:tcPr>
                  <w:tcW w:w="7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预测模型</w:t>
                  </w:r>
                </w:p>
              </w:tc>
              <w:tc>
                <w:tcPr>
                  <w:tcW w:w="1085"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宋体" w:hAnsi="宋体" w:eastAsia="宋体" w:cs="宋体"/>
                      <w:color w:val="FF0000"/>
                      <w:spacing w:val="0"/>
                      <w:kern w:val="0"/>
                      <w:position w:val="0"/>
                      <w:sz w:val="18"/>
                      <w:szCs w:val="18"/>
                      <w:lang w:eastAsia="zh-CN"/>
                    </w:rPr>
                  </w:pPr>
                  <w:r>
                    <w:rPr>
                      <w:rFonts w:ascii="宋体" w:hAnsi="宋体" w:eastAsia="宋体" w:cs="宋体"/>
                      <w:color w:val="FF0000"/>
                      <w:spacing w:val="0"/>
                      <w:kern w:val="0"/>
                      <w:position w:val="0"/>
                      <w:sz w:val="18"/>
                      <w:szCs w:val="18"/>
                    </w:rPr>
                    <w:t>导则推荐模型</w:t>
                  </w:r>
                  <w:r>
                    <w:rPr>
                      <w:rFonts w:hint="eastAsia" w:ascii="宋体" w:hAnsi="宋体" w:cs="宋体"/>
                      <w:color w:val="FF0000"/>
                      <w:spacing w:val="0"/>
                      <w:kern w:val="0"/>
                      <w:position w:val="0"/>
                      <w:sz w:val="18"/>
                      <w:szCs w:val="18"/>
                      <w:lang w:eastAsia="zh-CN"/>
                    </w:rPr>
                    <w:t>☑</w:t>
                  </w:r>
                </w:p>
              </w:tc>
              <w:tc>
                <w:tcPr>
                  <w:tcW w:w="2567" w:type="pct"/>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其他□</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5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Arial"/>
                      <w:color w:val="FF0000"/>
                      <w:spacing w:val="0"/>
                      <w:kern w:val="0"/>
                      <w:position w:val="0"/>
                      <w:sz w:val="21"/>
                    </w:rPr>
                  </w:pPr>
                </w:p>
              </w:tc>
              <w:tc>
                <w:tcPr>
                  <w:tcW w:w="7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预测范围</w:t>
                  </w:r>
                </w:p>
              </w:tc>
              <w:tc>
                <w:tcPr>
                  <w:tcW w:w="3652" w:type="pct"/>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Times New Roman" w:hAnsi="Times New Roman" w:eastAsia="Times New Roman" w:cs="Times New Roman"/>
                      <w:color w:val="FF0000"/>
                      <w:spacing w:val="0"/>
                      <w:kern w:val="0"/>
                      <w:position w:val="0"/>
                      <w:sz w:val="18"/>
                      <w:szCs w:val="18"/>
                    </w:rPr>
                    <w:t>200 m</w:t>
                  </w:r>
                  <w:r>
                    <w:rPr>
                      <w:rFonts w:hint="eastAsia" w:ascii="宋体" w:hAnsi="宋体" w:cs="宋体"/>
                      <w:color w:val="FF0000"/>
                      <w:spacing w:val="0"/>
                      <w:kern w:val="0"/>
                      <w:position w:val="0"/>
                      <w:sz w:val="18"/>
                      <w:szCs w:val="18"/>
                      <w:lang w:eastAsia="zh-CN"/>
                    </w:rPr>
                    <w:t>☑</w:t>
                  </w:r>
                  <w:r>
                    <w:rPr>
                      <w:rFonts w:ascii="宋体" w:hAnsi="宋体" w:eastAsia="宋体" w:cs="宋体"/>
                      <w:color w:val="FF0000"/>
                      <w:spacing w:val="0"/>
                      <w:kern w:val="0"/>
                      <w:position w:val="0"/>
                      <w:sz w:val="18"/>
                      <w:szCs w:val="18"/>
                    </w:rPr>
                    <w:t xml:space="preserve">          大于 </w:t>
                  </w:r>
                  <w:r>
                    <w:rPr>
                      <w:rFonts w:ascii="Times New Roman" w:hAnsi="Times New Roman" w:eastAsia="Times New Roman" w:cs="Times New Roman"/>
                      <w:color w:val="FF0000"/>
                      <w:spacing w:val="0"/>
                      <w:kern w:val="0"/>
                      <w:position w:val="0"/>
                      <w:sz w:val="18"/>
                      <w:szCs w:val="18"/>
                    </w:rPr>
                    <w:t>200 m</w:t>
                  </w:r>
                  <w:r>
                    <w:rPr>
                      <w:rFonts w:ascii="宋体" w:hAnsi="宋体" w:eastAsia="宋体" w:cs="宋体"/>
                      <w:color w:val="FF0000"/>
                      <w:spacing w:val="0"/>
                      <w:kern w:val="0"/>
                      <w:position w:val="0"/>
                      <w:sz w:val="18"/>
                      <w:szCs w:val="18"/>
                    </w:rPr>
                    <w:t xml:space="preserve">□            小于 </w:t>
                  </w:r>
                  <w:r>
                    <w:rPr>
                      <w:rFonts w:ascii="Times New Roman" w:hAnsi="Times New Roman" w:eastAsia="Times New Roman" w:cs="Times New Roman"/>
                      <w:color w:val="FF0000"/>
                      <w:spacing w:val="0"/>
                      <w:kern w:val="0"/>
                      <w:position w:val="0"/>
                      <w:sz w:val="18"/>
                      <w:szCs w:val="18"/>
                    </w:rPr>
                    <w:t>200 m</w:t>
                  </w:r>
                  <w:r>
                    <w:rPr>
                      <w:rFonts w:ascii="宋体" w:hAnsi="宋体" w:eastAsia="宋体" w:cs="宋体"/>
                      <w:color w:val="FF0000"/>
                      <w:spacing w:val="0"/>
                      <w:kern w:val="0"/>
                      <w:position w:val="0"/>
                      <w:sz w:val="18"/>
                      <w:szCs w:val="18"/>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Arial"/>
                      <w:color w:val="FF0000"/>
                      <w:spacing w:val="0"/>
                      <w:kern w:val="0"/>
                      <w:position w:val="0"/>
                      <w:sz w:val="21"/>
                    </w:rPr>
                  </w:pPr>
                </w:p>
              </w:tc>
              <w:tc>
                <w:tcPr>
                  <w:tcW w:w="7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预测因子</w:t>
                  </w:r>
                </w:p>
              </w:tc>
              <w:tc>
                <w:tcPr>
                  <w:tcW w:w="3652" w:type="pct"/>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 xml:space="preserve">等效连续 </w:t>
                  </w:r>
                  <w:r>
                    <w:rPr>
                      <w:rFonts w:ascii="Times New Roman" w:hAnsi="Times New Roman" w:eastAsia="Times New Roman" w:cs="Times New Roman"/>
                      <w:color w:val="FF0000"/>
                      <w:spacing w:val="0"/>
                      <w:kern w:val="0"/>
                      <w:position w:val="0"/>
                      <w:sz w:val="18"/>
                      <w:szCs w:val="18"/>
                    </w:rPr>
                    <w:t xml:space="preserve">A </w:t>
                  </w:r>
                  <w:r>
                    <w:rPr>
                      <w:rFonts w:ascii="宋体" w:hAnsi="宋体" w:eastAsia="宋体" w:cs="宋体"/>
                      <w:color w:val="FF0000"/>
                      <w:spacing w:val="0"/>
                      <w:kern w:val="0"/>
                      <w:position w:val="0"/>
                      <w:sz w:val="18"/>
                      <w:szCs w:val="18"/>
                    </w:rPr>
                    <w:t>声级</w:t>
                  </w:r>
                  <w:r>
                    <w:rPr>
                      <w:rFonts w:hint="eastAsia" w:ascii="宋体" w:hAnsi="宋体" w:cs="宋体"/>
                      <w:color w:val="FF0000"/>
                      <w:spacing w:val="0"/>
                      <w:kern w:val="0"/>
                      <w:position w:val="0"/>
                      <w:sz w:val="18"/>
                      <w:szCs w:val="18"/>
                      <w:lang w:eastAsia="zh-CN"/>
                    </w:rPr>
                    <w:t>☑</w:t>
                  </w:r>
                  <w:r>
                    <w:rPr>
                      <w:rFonts w:ascii="宋体" w:hAnsi="宋体" w:eastAsia="宋体" w:cs="宋体"/>
                      <w:color w:val="FF0000"/>
                      <w:spacing w:val="0"/>
                      <w:kern w:val="0"/>
                      <w:position w:val="0"/>
                      <w:sz w:val="18"/>
                      <w:szCs w:val="18"/>
                    </w:rPr>
                    <w:t xml:space="preserve">      最大 </w:t>
                  </w:r>
                  <w:r>
                    <w:rPr>
                      <w:rFonts w:ascii="Times New Roman" w:hAnsi="Times New Roman" w:eastAsia="Times New Roman" w:cs="Times New Roman"/>
                      <w:color w:val="FF0000"/>
                      <w:spacing w:val="0"/>
                      <w:kern w:val="0"/>
                      <w:position w:val="0"/>
                      <w:sz w:val="18"/>
                      <w:szCs w:val="18"/>
                    </w:rPr>
                    <w:t xml:space="preserve">A </w:t>
                  </w:r>
                  <w:r>
                    <w:rPr>
                      <w:rFonts w:ascii="宋体" w:hAnsi="宋体" w:eastAsia="宋体" w:cs="宋体"/>
                      <w:color w:val="FF0000"/>
                      <w:spacing w:val="0"/>
                      <w:kern w:val="0"/>
                      <w:position w:val="0"/>
                      <w:sz w:val="18"/>
                      <w:szCs w:val="18"/>
                    </w:rPr>
                    <w:t>声级□      计权等效连续感觉噪声级□</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5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Arial"/>
                      <w:color w:val="FF0000"/>
                      <w:spacing w:val="0"/>
                      <w:kern w:val="0"/>
                      <w:position w:val="0"/>
                      <w:sz w:val="21"/>
                    </w:rPr>
                  </w:pPr>
                </w:p>
              </w:tc>
              <w:tc>
                <w:tcPr>
                  <w:tcW w:w="7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厂界噪声贡献值</w:t>
                  </w:r>
                </w:p>
              </w:tc>
              <w:tc>
                <w:tcPr>
                  <w:tcW w:w="1085"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宋体" w:hAnsi="宋体" w:eastAsia="宋体" w:cs="宋体"/>
                      <w:color w:val="FF0000"/>
                      <w:spacing w:val="0"/>
                      <w:kern w:val="0"/>
                      <w:position w:val="0"/>
                      <w:sz w:val="18"/>
                      <w:szCs w:val="18"/>
                      <w:lang w:eastAsia="zh-CN"/>
                    </w:rPr>
                  </w:pPr>
                  <w:r>
                    <w:rPr>
                      <w:rFonts w:ascii="宋体" w:hAnsi="宋体" w:eastAsia="宋体" w:cs="宋体"/>
                      <w:color w:val="FF0000"/>
                      <w:spacing w:val="0"/>
                      <w:kern w:val="0"/>
                      <w:position w:val="0"/>
                      <w:sz w:val="18"/>
                      <w:szCs w:val="18"/>
                    </w:rPr>
                    <w:t xml:space="preserve">达标 </w:t>
                  </w:r>
                  <w:r>
                    <w:rPr>
                      <w:rFonts w:hint="eastAsia" w:ascii="宋体" w:hAnsi="宋体" w:cs="宋体"/>
                      <w:color w:val="FF0000"/>
                      <w:spacing w:val="0"/>
                      <w:kern w:val="0"/>
                      <w:position w:val="0"/>
                      <w:sz w:val="18"/>
                      <w:szCs w:val="18"/>
                      <w:lang w:eastAsia="zh-CN"/>
                    </w:rPr>
                    <w:t>☑</w:t>
                  </w:r>
                </w:p>
              </w:tc>
              <w:tc>
                <w:tcPr>
                  <w:tcW w:w="2567" w:type="pct"/>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不达标□</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5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Arial"/>
                      <w:color w:val="FF0000"/>
                      <w:spacing w:val="0"/>
                      <w:kern w:val="0"/>
                      <w:position w:val="0"/>
                      <w:sz w:val="21"/>
                    </w:rPr>
                  </w:pPr>
                </w:p>
              </w:tc>
              <w:tc>
                <w:tcPr>
                  <w:tcW w:w="7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声环境保护目标处噪声值</w:t>
                  </w:r>
                </w:p>
              </w:tc>
              <w:tc>
                <w:tcPr>
                  <w:tcW w:w="1085"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宋体" w:hAnsi="宋体" w:eastAsia="宋体" w:cs="宋体"/>
                      <w:color w:val="FF0000"/>
                      <w:spacing w:val="0"/>
                      <w:kern w:val="0"/>
                      <w:position w:val="0"/>
                      <w:sz w:val="18"/>
                      <w:szCs w:val="18"/>
                      <w:lang w:eastAsia="zh-CN"/>
                    </w:rPr>
                  </w:pPr>
                  <w:r>
                    <w:rPr>
                      <w:rFonts w:ascii="宋体" w:hAnsi="宋体" w:eastAsia="宋体" w:cs="宋体"/>
                      <w:color w:val="FF0000"/>
                      <w:spacing w:val="0"/>
                      <w:kern w:val="0"/>
                      <w:position w:val="0"/>
                      <w:sz w:val="18"/>
                      <w:szCs w:val="18"/>
                    </w:rPr>
                    <w:t>达标</w:t>
                  </w:r>
                  <w:r>
                    <w:rPr>
                      <w:rFonts w:hint="eastAsia" w:ascii="宋体" w:hAnsi="宋体" w:cs="宋体"/>
                      <w:color w:val="FF0000"/>
                      <w:spacing w:val="0"/>
                      <w:kern w:val="0"/>
                      <w:position w:val="0"/>
                      <w:sz w:val="18"/>
                      <w:szCs w:val="18"/>
                      <w:lang w:val="en-US" w:eastAsia="zh-CN"/>
                    </w:rPr>
                    <w:t xml:space="preserve"> </w:t>
                  </w:r>
                  <w:r>
                    <w:rPr>
                      <w:rFonts w:hint="eastAsia" w:ascii="宋体" w:hAnsi="宋体" w:cs="宋体"/>
                      <w:color w:val="FF0000"/>
                      <w:spacing w:val="0"/>
                      <w:kern w:val="0"/>
                      <w:position w:val="0"/>
                      <w:sz w:val="18"/>
                      <w:szCs w:val="18"/>
                      <w:lang w:eastAsia="zh-CN"/>
                    </w:rPr>
                    <w:t>☑</w:t>
                  </w:r>
                </w:p>
              </w:tc>
              <w:tc>
                <w:tcPr>
                  <w:tcW w:w="2567" w:type="pct"/>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不达标□</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56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环境监测计划</w:t>
                  </w:r>
                </w:p>
              </w:tc>
              <w:tc>
                <w:tcPr>
                  <w:tcW w:w="7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排放监测</w:t>
                  </w:r>
                </w:p>
              </w:tc>
              <w:tc>
                <w:tcPr>
                  <w:tcW w:w="3652" w:type="pct"/>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 xml:space="preserve">厂界监测□    固定位置监测□   自动监测□ </w:t>
                  </w:r>
                  <w:r>
                    <w:rPr>
                      <w:rFonts w:hint="eastAsia" w:ascii="宋体" w:hAnsi="宋体" w:eastAsia="宋体" w:cs="宋体"/>
                      <w:color w:val="FF0000"/>
                      <w:spacing w:val="0"/>
                      <w:kern w:val="0"/>
                      <w:position w:val="0"/>
                      <w:sz w:val="18"/>
                      <w:szCs w:val="18"/>
                      <w:lang w:val="en-US" w:eastAsia="zh-CN"/>
                    </w:rPr>
                    <w:t xml:space="preserve">  </w:t>
                  </w:r>
                  <w:r>
                    <w:rPr>
                      <w:rFonts w:ascii="宋体" w:hAnsi="宋体" w:eastAsia="宋体" w:cs="宋体"/>
                      <w:color w:val="FF0000"/>
                      <w:spacing w:val="0"/>
                      <w:kern w:val="0"/>
                      <w:position w:val="0"/>
                      <w:sz w:val="18"/>
                      <w:szCs w:val="18"/>
                    </w:rPr>
                    <w:t>手动监测</w:t>
                  </w:r>
                  <w:r>
                    <w:rPr>
                      <w:rFonts w:hint="eastAsia" w:ascii="宋体" w:hAnsi="宋体" w:cs="宋体"/>
                      <w:color w:val="FF0000"/>
                      <w:spacing w:val="0"/>
                      <w:kern w:val="0"/>
                      <w:position w:val="0"/>
                      <w:sz w:val="18"/>
                      <w:szCs w:val="18"/>
                      <w:lang w:eastAsia="zh-CN"/>
                    </w:rPr>
                    <w:t>☑</w:t>
                  </w:r>
                  <w:r>
                    <w:rPr>
                      <w:rFonts w:ascii="宋体" w:hAnsi="宋体" w:eastAsia="宋体" w:cs="宋体"/>
                      <w:color w:val="FF0000"/>
                      <w:spacing w:val="0"/>
                      <w:kern w:val="0"/>
                      <w:position w:val="0"/>
                      <w:sz w:val="18"/>
                      <w:szCs w:val="18"/>
                    </w:rPr>
                    <w:t xml:space="preserve">    无监测□</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5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Arial"/>
                      <w:color w:val="FF0000"/>
                      <w:spacing w:val="0"/>
                      <w:kern w:val="0"/>
                      <w:position w:val="0"/>
                      <w:sz w:val="21"/>
                    </w:rPr>
                  </w:pPr>
                </w:p>
              </w:tc>
              <w:tc>
                <w:tcPr>
                  <w:tcW w:w="7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声环境保护目标处噪声监测</w:t>
                  </w:r>
                </w:p>
              </w:tc>
              <w:tc>
                <w:tcPr>
                  <w:tcW w:w="1792"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 xml:space="preserve">监测因子：( 等效连续 </w:t>
                  </w:r>
                  <w:r>
                    <w:rPr>
                      <w:rFonts w:ascii="Times New Roman" w:hAnsi="Times New Roman" w:eastAsia="Times New Roman" w:cs="Times New Roman"/>
                      <w:color w:val="FF0000"/>
                      <w:spacing w:val="0"/>
                      <w:kern w:val="0"/>
                      <w:position w:val="0"/>
                      <w:sz w:val="18"/>
                      <w:szCs w:val="18"/>
                    </w:rPr>
                    <w:t xml:space="preserve">A </w:t>
                  </w:r>
                  <w:r>
                    <w:rPr>
                      <w:rFonts w:ascii="宋体" w:hAnsi="宋体" w:eastAsia="宋体" w:cs="宋体"/>
                      <w:color w:val="FF0000"/>
                      <w:spacing w:val="0"/>
                      <w:kern w:val="0"/>
                      <w:position w:val="0"/>
                      <w:sz w:val="18"/>
                      <w:szCs w:val="18"/>
                    </w:rPr>
                    <w:t>声级  )</w:t>
                  </w:r>
                </w:p>
              </w:tc>
              <w:tc>
                <w:tcPr>
                  <w:tcW w:w="1202"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监测点位数(     )</w:t>
                  </w:r>
                </w:p>
              </w:tc>
              <w:tc>
                <w:tcPr>
                  <w:tcW w:w="65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无监测□</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评价结论</w:t>
                  </w:r>
                </w:p>
              </w:tc>
              <w:tc>
                <w:tcPr>
                  <w:tcW w:w="7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环境影响</w:t>
                  </w:r>
                </w:p>
              </w:tc>
              <w:tc>
                <w:tcPr>
                  <w:tcW w:w="3652" w:type="pct"/>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可行</w:t>
                  </w:r>
                  <w:r>
                    <w:rPr>
                      <w:rFonts w:hint="eastAsia" w:ascii="宋体" w:hAnsi="宋体" w:cs="宋体"/>
                      <w:color w:val="FF0000"/>
                      <w:spacing w:val="0"/>
                      <w:kern w:val="0"/>
                      <w:position w:val="0"/>
                      <w:sz w:val="18"/>
                      <w:szCs w:val="18"/>
                      <w:lang w:eastAsia="zh-CN"/>
                    </w:rPr>
                    <w:t>☑</w:t>
                  </w:r>
                  <w:r>
                    <w:rPr>
                      <w:rFonts w:ascii="宋体" w:hAnsi="宋体" w:eastAsia="宋体" w:cs="宋体"/>
                      <w:color w:val="FF0000"/>
                      <w:spacing w:val="0"/>
                      <w:kern w:val="0"/>
                      <w:position w:val="0"/>
                      <w:sz w:val="18"/>
                      <w:szCs w:val="18"/>
                    </w:rPr>
                    <w:t xml:space="preserve">       不可行□</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5000" w:type="pct"/>
                  <w:gridSpan w:val="1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注：“□” 为勾选项 ，可 √ ；“(   )”  为内容填写项。</w:t>
                  </w:r>
                </w:p>
              </w:tc>
            </w:tr>
          </w:tbl>
          <w:p>
            <w:pPr>
              <w:pStyle w:val="33"/>
              <w:numPr>
                <w:ilvl w:val="0"/>
                <w:numId w:val="0"/>
              </w:numPr>
              <w:ind w:firstLine="480" w:firstLineChars="200"/>
              <w:jc w:val="both"/>
              <w:rPr>
                <w:rFonts w:hint="default" w:ascii="Times New Roman" w:hAnsi="Times New Roman" w:cs="Times New Roman"/>
                <w:color w:val="FF0000"/>
                <w:spacing w:val="0"/>
                <w:kern w:val="0"/>
                <w:position w:val="0"/>
                <w:sz w:val="24"/>
              </w:rPr>
            </w:pPr>
          </w:p>
          <w:p>
            <w:pPr>
              <w:pStyle w:val="33"/>
              <w:ind w:firstLine="540"/>
              <w:rPr>
                <w:rFonts w:hint="eastAsia" w:ascii="Times New Roman" w:hAnsi="Times New Roman" w:cs="Times New Roman"/>
                <w:color w:val="auto"/>
                <w:sz w:val="24"/>
              </w:rPr>
            </w:pPr>
          </w:p>
          <w:p>
            <w:pPr>
              <w:pStyle w:val="33"/>
              <w:ind w:firstLine="540"/>
              <w:rPr>
                <w:rFonts w:hint="eastAsia" w:ascii="Times New Roman" w:hAnsi="Times New Roman" w:cs="Times New Roman"/>
                <w:color w:val="auto"/>
                <w:sz w:val="24"/>
              </w:rPr>
            </w:pPr>
          </w:p>
          <w:p>
            <w:pPr>
              <w:pStyle w:val="33"/>
              <w:ind w:firstLine="540"/>
              <w:rPr>
                <w:rFonts w:hint="eastAsia" w:ascii="Times New Roman" w:hAnsi="Times New Roman" w:cs="Times New Roman"/>
                <w:color w:val="auto"/>
                <w:sz w:val="24"/>
              </w:rPr>
            </w:pPr>
          </w:p>
          <w:p>
            <w:pPr>
              <w:pStyle w:val="33"/>
              <w:ind w:firstLine="540"/>
              <w:rPr>
                <w:rFonts w:hint="eastAsia" w:ascii="Times New Roman" w:hAnsi="Times New Roman" w:cs="Times New Roman"/>
                <w:color w:val="auto"/>
                <w:sz w:val="24"/>
              </w:rPr>
            </w:pPr>
          </w:p>
          <w:p>
            <w:pPr>
              <w:pStyle w:val="33"/>
              <w:ind w:firstLine="540"/>
              <w:rPr>
                <w:rFonts w:hint="eastAsia" w:ascii="Times New Roman" w:hAnsi="Times New Roman" w:cs="Times New Roman"/>
                <w:color w:val="auto"/>
                <w:sz w:val="24"/>
              </w:rPr>
            </w:pPr>
          </w:p>
        </w:tc>
      </w:tr>
    </w:tbl>
    <w:p>
      <w:pPr>
        <w:pStyle w:val="58"/>
        <w:ind w:firstLine="880"/>
        <w:jc w:val="center"/>
        <w:rPr>
          <w:color w:val="auto"/>
          <w:sz w:val="44"/>
          <w:szCs w:val="44"/>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TimesNewRomanPSMT">
    <w:altName w:val="MS Gothic"/>
    <w:panose1 w:val="00000000000000000000"/>
    <w:charset w:val="00"/>
    <w:family w:val="roman"/>
    <w:pitch w:val="default"/>
    <w:sig w:usb0="00000000" w:usb1="00000000" w:usb2="00000010" w:usb3="00000000" w:csb0="00060001" w:csb1="00000000"/>
  </w:font>
  <w:font w:name="微软雅黑">
    <w:panose1 w:val="020B0503020204020204"/>
    <w:charset w:val="86"/>
    <w:family w:val="auto"/>
    <w:pitch w:val="default"/>
    <w:sig w:usb0="80000287" w:usb1="280F3C52" w:usb2="00000016" w:usb3="00000000" w:csb0="0004001F" w:csb1="00000000"/>
  </w:font>
  <w:font w:name="MS Gothic">
    <w:panose1 w:val="020B0609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outside" w:y="1"/>
      <w:rPr>
        <w:rStyle w:val="29"/>
      </w:rPr>
    </w:pPr>
    <w:r>
      <w:rPr>
        <w:rStyle w:val="29"/>
      </w:rPr>
      <w:fldChar w:fldCharType="begin"/>
    </w:r>
    <w:r>
      <w:rPr>
        <w:rStyle w:val="29"/>
      </w:rPr>
      <w:instrText xml:space="preserve">PAGE  </w:instrText>
    </w:r>
    <w:r>
      <w:rPr>
        <w:rStyle w:val="29"/>
      </w:rPr>
      <w:fldChar w:fldCharType="end"/>
    </w:r>
  </w:p>
  <w:p>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pPr>
    <w:r>
      <mc:AlternateContent>
        <mc:Choice Requires="wps">
          <w:drawing>
            <wp:anchor distT="0" distB="0" distL="114300" distR="114300" simplePos="0" relativeHeight="251660288" behindDoc="0" locked="0" layoutInCell="1" allowOverlap="1">
              <wp:simplePos x="0" y="0"/>
              <wp:positionH relativeFrom="margin">
                <wp:posOffset>2621915</wp:posOffset>
              </wp:positionH>
              <wp:positionV relativeFrom="paragraph">
                <wp:posOffset>9525</wp:posOffset>
              </wp:positionV>
              <wp:extent cx="248285" cy="128905"/>
              <wp:effectExtent l="0" t="0" r="0" b="5080"/>
              <wp:wrapNone/>
              <wp:docPr id="5" name="文本框 5"/>
              <wp:cNvGraphicFramePr/>
              <a:graphic xmlns:a="http://schemas.openxmlformats.org/drawingml/2006/main">
                <a:graphicData uri="http://schemas.microsoft.com/office/word/2010/wordprocessingShape">
                  <wps:wsp>
                    <wps:cNvSpPr txBox="1"/>
                    <wps:spPr>
                      <a:xfrm>
                        <a:off x="0" y="0"/>
                        <a:ext cx="248033" cy="12874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6.45pt;margin-top:0.75pt;height:10.15pt;width:19.55pt;mso-position-horizontal-relative:margin;z-index:251660288;mso-width-relative:page;mso-height-relative:page;" filled="f" stroked="f" coordsize="21600,21600" o:gfxdata="UEsDBAoAAAAAAIdO4kAAAAAAAAAAAAAAAAAEAAAAZHJzL1BLAwQUAAAACACHTuJAigIvTdYAAAAI&#10;AQAADwAAAGRycy9kb3ducmV2LnhtbE2Py07DMBBF90j8gzVI7KjtqEUlxOmCx45noVLZOfGQRPgR&#10;2U5a/p5hBcvRubpzbrU5OstmjGkIXoFcCGDo22AG3yl4f7u/WANLWXujbfCo4BsTbOrTk0qXJhz8&#10;K87b3DEq8anUCvqcx5Lz1PbodFqEET2xzxCdznTGjpuoD1TuLC+EuOROD54+9HrEmx7br+3kFNh9&#10;ig+NyB/zbfeYX575tLuTT0qdn0lxDSzjMf+F4Vef1KEmpyZM3iRmFSxlcUVRAitgxJergrY1Cgq5&#10;Bl5X/P+A+gdQSwMEFAAAAAgAh07iQB5UdXwyAgAAVQQAAA4AAABkcnMvZTJvRG9jLnhtbK1UwY7T&#10;MBC9I/EPlu80abtdqqrpqmxVhFSxKy2Is+s4jSXbY2y3SfkA+ANOXLjzXf0Oxk7TRQuHPXBxJzPj&#10;N35vZjq/abUiB+G8BFPQ4SCnRBgOpTS7gn78sH41pcQHZkqmwIiCHoWnN4uXL+aNnYkR1KBK4QiC&#10;GD9rbEHrEOwsyzyvhWZ+AFYYDFbgNAv46XZZ6ViD6Fplozy/zhpwpXXAhffoXXVBekZ0zwGEqpJc&#10;rIDvtTChQ3VCsYCUfC2tp4v02qoSPNxVlReBqIIi05BOLIL2Np7ZYs5mO8dsLfn5Cew5T3jCSTNp&#10;sOgFasUCI3sn/4LSkjvwUIUBB511RJIiyGKYP9HmoWZWJC4otbcX0f3/g+XvD/eOyLKgE0oM09jw&#10;0/dvpx+/Tj+/kkmUp7F+hlkPFvNC+wZaHJre79EZWbeV0/EX+RCMo7jHi7iiDYSjc3Q1zcdjSjiG&#10;hqPp66tRRMkeL1vnw1sBmkSjoA57lyRlh40PXWqfEmsZWEulUv+UIU1Br8eTPF24RBBcGawRKXRP&#10;jVZot+2Z1xbKI9Jy0M2Ft3wtsfiG+XDPHA4CMsFVCXd4VAqwCJwtSmpwX/7lj/nYH4xS0uBgFdR/&#10;3jMnKFHvDHYuTmFvuN7Y9obZ61vAWR3iElqeTLzggurNyoH+hBu0jFUwxAzHWgUNvXkbuvHGDeRi&#10;uUxJOGuWhY15sDxCd/It9wEqmZSNsnRanNXCaUu9OW9GHOc/v1PW47/B4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KAi9N1gAAAAgBAAAPAAAAAAAAAAEAIAAAACIAAABkcnMvZG93bnJldi54bWxQ&#10;SwECFAAUAAAACACHTuJAHlR1fDICAABVBAAADgAAAAAAAAABACAAAAAlAQAAZHJzL2Uyb0RvYy54&#10;bWxQSwUGAAAAAAYABgBZAQAAyQUAAAAA&#10;">
              <v:fill on="f" focussize="0,0"/>
              <v:stroke on="f" weight="0.5pt"/>
              <v:imagedata o:title=""/>
              <o:lock v:ext="edit" aspectratio="f"/>
              <v:textbox inset="0mm,0mm,0mm,0mm">
                <w:txbxContent>
                  <w:p>
                    <w:pPr>
                      <w:pStyle w:val="17"/>
                    </w:pPr>
                    <w:r>
                      <w:fldChar w:fldCharType="begin"/>
                    </w:r>
                    <w:r>
                      <w:instrText xml:space="preserve"> PAGE  \* MERGEFORMAT </w:instrText>
                    </w:r>
                    <w:r>
                      <w:fldChar w:fldCharType="separate"/>
                    </w:r>
                    <w:r>
                      <w:t>22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19"/>
      <w:lvlText w:val="%1."/>
      <w:lvlJc w:val="left"/>
      <w:pPr>
        <w:tabs>
          <w:tab w:val="left" w:pos="2040"/>
        </w:tabs>
        <w:ind w:left="2040" w:leftChars="800" w:hanging="360" w:hangingChars="200"/>
      </w:pPr>
    </w:lvl>
  </w:abstractNum>
  <w:abstractNum w:abstractNumId="1">
    <w:nsid w:val="6AF1432E"/>
    <w:multiLevelType w:val="singleLevel"/>
    <w:tmpl w:val="6AF1432E"/>
    <w:lvl w:ilvl="0" w:tentative="0">
      <w:start w:val="6"/>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hmMTIyYWIyMzM4MDFkMWM5NjMxNzExMTZmNmMwMjcifQ=="/>
  </w:docVars>
  <w:rsids>
    <w:rsidRoot w:val="00A14947"/>
    <w:rsid w:val="000000B9"/>
    <w:rsid w:val="00001CED"/>
    <w:rsid w:val="00001E67"/>
    <w:rsid w:val="00002ADB"/>
    <w:rsid w:val="00003CD8"/>
    <w:rsid w:val="00014965"/>
    <w:rsid w:val="00014EB7"/>
    <w:rsid w:val="0001523A"/>
    <w:rsid w:val="00016ECB"/>
    <w:rsid w:val="0002263F"/>
    <w:rsid w:val="000253DD"/>
    <w:rsid w:val="0002619C"/>
    <w:rsid w:val="0002676D"/>
    <w:rsid w:val="000269F6"/>
    <w:rsid w:val="00031939"/>
    <w:rsid w:val="00032D25"/>
    <w:rsid w:val="000339DA"/>
    <w:rsid w:val="0005219D"/>
    <w:rsid w:val="0005568F"/>
    <w:rsid w:val="00057EF0"/>
    <w:rsid w:val="0006153D"/>
    <w:rsid w:val="00061B1F"/>
    <w:rsid w:val="000664DB"/>
    <w:rsid w:val="0007127D"/>
    <w:rsid w:val="00071AE5"/>
    <w:rsid w:val="00074783"/>
    <w:rsid w:val="000801E0"/>
    <w:rsid w:val="000811EA"/>
    <w:rsid w:val="00082A29"/>
    <w:rsid w:val="00083085"/>
    <w:rsid w:val="0008331D"/>
    <w:rsid w:val="00083C18"/>
    <w:rsid w:val="00090152"/>
    <w:rsid w:val="00092899"/>
    <w:rsid w:val="000970DA"/>
    <w:rsid w:val="000A178E"/>
    <w:rsid w:val="000A557E"/>
    <w:rsid w:val="000B058F"/>
    <w:rsid w:val="000B693F"/>
    <w:rsid w:val="000C09AC"/>
    <w:rsid w:val="000C0A63"/>
    <w:rsid w:val="000C437E"/>
    <w:rsid w:val="000E2137"/>
    <w:rsid w:val="000E5F16"/>
    <w:rsid w:val="000F06CD"/>
    <w:rsid w:val="000F0D8B"/>
    <w:rsid w:val="000F4452"/>
    <w:rsid w:val="000F6DA1"/>
    <w:rsid w:val="000F701B"/>
    <w:rsid w:val="0010033D"/>
    <w:rsid w:val="001056A0"/>
    <w:rsid w:val="00105F5A"/>
    <w:rsid w:val="00106A1D"/>
    <w:rsid w:val="0011284F"/>
    <w:rsid w:val="00115279"/>
    <w:rsid w:val="00117459"/>
    <w:rsid w:val="0011749A"/>
    <w:rsid w:val="001274BA"/>
    <w:rsid w:val="00127A68"/>
    <w:rsid w:val="001304BC"/>
    <w:rsid w:val="0013423F"/>
    <w:rsid w:val="00140B13"/>
    <w:rsid w:val="00141B68"/>
    <w:rsid w:val="00142CB3"/>
    <w:rsid w:val="001466DA"/>
    <w:rsid w:val="0015117C"/>
    <w:rsid w:val="00154DE1"/>
    <w:rsid w:val="00155B40"/>
    <w:rsid w:val="00157435"/>
    <w:rsid w:val="00157E7D"/>
    <w:rsid w:val="00163EEA"/>
    <w:rsid w:val="00167A07"/>
    <w:rsid w:val="0017046A"/>
    <w:rsid w:val="001704A3"/>
    <w:rsid w:val="0017504D"/>
    <w:rsid w:val="00177422"/>
    <w:rsid w:val="001822C1"/>
    <w:rsid w:val="00184F10"/>
    <w:rsid w:val="00185546"/>
    <w:rsid w:val="001913B2"/>
    <w:rsid w:val="0019146B"/>
    <w:rsid w:val="00191A5B"/>
    <w:rsid w:val="00193A8A"/>
    <w:rsid w:val="00193DE9"/>
    <w:rsid w:val="00194398"/>
    <w:rsid w:val="001A1B2A"/>
    <w:rsid w:val="001A4CE2"/>
    <w:rsid w:val="001A7D2A"/>
    <w:rsid w:val="001B4AAB"/>
    <w:rsid w:val="001B574C"/>
    <w:rsid w:val="001B7710"/>
    <w:rsid w:val="001C0AF9"/>
    <w:rsid w:val="001C0ECF"/>
    <w:rsid w:val="001C13D6"/>
    <w:rsid w:val="001C155A"/>
    <w:rsid w:val="001C48C0"/>
    <w:rsid w:val="001D0B80"/>
    <w:rsid w:val="001D138C"/>
    <w:rsid w:val="001D6726"/>
    <w:rsid w:val="001E5444"/>
    <w:rsid w:val="001F0B95"/>
    <w:rsid w:val="001F3347"/>
    <w:rsid w:val="001F4440"/>
    <w:rsid w:val="001F69E4"/>
    <w:rsid w:val="00204519"/>
    <w:rsid w:val="00206A65"/>
    <w:rsid w:val="0020770D"/>
    <w:rsid w:val="00212D31"/>
    <w:rsid w:val="002130C7"/>
    <w:rsid w:val="00215BC6"/>
    <w:rsid w:val="002218A8"/>
    <w:rsid w:val="0022306D"/>
    <w:rsid w:val="00223893"/>
    <w:rsid w:val="00226574"/>
    <w:rsid w:val="002278EC"/>
    <w:rsid w:val="002357C7"/>
    <w:rsid w:val="002367C4"/>
    <w:rsid w:val="0025679E"/>
    <w:rsid w:val="00260148"/>
    <w:rsid w:val="00260C68"/>
    <w:rsid w:val="002648B0"/>
    <w:rsid w:val="0027232E"/>
    <w:rsid w:val="002734C1"/>
    <w:rsid w:val="00275271"/>
    <w:rsid w:val="0027535E"/>
    <w:rsid w:val="00275983"/>
    <w:rsid w:val="00275AA6"/>
    <w:rsid w:val="002807D5"/>
    <w:rsid w:val="00281ACD"/>
    <w:rsid w:val="00282CCD"/>
    <w:rsid w:val="00282E3A"/>
    <w:rsid w:val="00283AE0"/>
    <w:rsid w:val="00286C4A"/>
    <w:rsid w:val="00296E8B"/>
    <w:rsid w:val="002A168C"/>
    <w:rsid w:val="002A2C48"/>
    <w:rsid w:val="002A3EED"/>
    <w:rsid w:val="002A4A39"/>
    <w:rsid w:val="002A598B"/>
    <w:rsid w:val="002A5A17"/>
    <w:rsid w:val="002A6425"/>
    <w:rsid w:val="002A7265"/>
    <w:rsid w:val="002A7FD6"/>
    <w:rsid w:val="002B49E2"/>
    <w:rsid w:val="002B7B00"/>
    <w:rsid w:val="002B7C44"/>
    <w:rsid w:val="002C1388"/>
    <w:rsid w:val="002C3C6A"/>
    <w:rsid w:val="002D42DB"/>
    <w:rsid w:val="002D6CC6"/>
    <w:rsid w:val="002E1F3A"/>
    <w:rsid w:val="002E298A"/>
    <w:rsid w:val="002E6274"/>
    <w:rsid w:val="002F02A4"/>
    <w:rsid w:val="002F272B"/>
    <w:rsid w:val="002F4571"/>
    <w:rsid w:val="002F5817"/>
    <w:rsid w:val="002F7C6D"/>
    <w:rsid w:val="003027E4"/>
    <w:rsid w:val="0030332C"/>
    <w:rsid w:val="00312296"/>
    <w:rsid w:val="00312D7D"/>
    <w:rsid w:val="0031340E"/>
    <w:rsid w:val="00316464"/>
    <w:rsid w:val="003205F8"/>
    <w:rsid w:val="0032073A"/>
    <w:rsid w:val="00321D8E"/>
    <w:rsid w:val="003306D8"/>
    <w:rsid w:val="00334996"/>
    <w:rsid w:val="00336969"/>
    <w:rsid w:val="00336C52"/>
    <w:rsid w:val="0034021D"/>
    <w:rsid w:val="00340C9D"/>
    <w:rsid w:val="00341B3E"/>
    <w:rsid w:val="00341B42"/>
    <w:rsid w:val="00342F43"/>
    <w:rsid w:val="0034340D"/>
    <w:rsid w:val="00343840"/>
    <w:rsid w:val="00345154"/>
    <w:rsid w:val="0034560E"/>
    <w:rsid w:val="00350523"/>
    <w:rsid w:val="00352975"/>
    <w:rsid w:val="00356868"/>
    <w:rsid w:val="0036485B"/>
    <w:rsid w:val="00373B0D"/>
    <w:rsid w:val="00374215"/>
    <w:rsid w:val="00376988"/>
    <w:rsid w:val="00381A72"/>
    <w:rsid w:val="00382EF6"/>
    <w:rsid w:val="00383465"/>
    <w:rsid w:val="003961CE"/>
    <w:rsid w:val="003A1948"/>
    <w:rsid w:val="003A480E"/>
    <w:rsid w:val="003B152A"/>
    <w:rsid w:val="003B545B"/>
    <w:rsid w:val="003D3EE9"/>
    <w:rsid w:val="003D5BA3"/>
    <w:rsid w:val="003D64CD"/>
    <w:rsid w:val="003E5126"/>
    <w:rsid w:val="003E7681"/>
    <w:rsid w:val="003F0809"/>
    <w:rsid w:val="003F1690"/>
    <w:rsid w:val="003F611C"/>
    <w:rsid w:val="003F755C"/>
    <w:rsid w:val="003F7A8B"/>
    <w:rsid w:val="00404F0C"/>
    <w:rsid w:val="00406F01"/>
    <w:rsid w:val="00411B36"/>
    <w:rsid w:val="004121D7"/>
    <w:rsid w:val="00416D50"/>
    <w:rsid w:val="00417772"/>
    <w:rsid w:val="00420E6A"/>
    <w:rsid w:val="00422A43"/>
    <w:rsid w:val="00423CCF"/>
    <w:rsid w:val="00433CA9"/>
    <w:rsid w:val="0043521D"/>
    <w:rsid w:val="00442024"/>
    <w:rsid w:val="0044254C"/>
    <w:rsid w:val="00443F6A"/>
    <w:rsid w:val="00450A17"/>
    <w:rsid w:val="004524EF"/>
    <w:rsid w:val="0045708D"/>
    <w:rsid w:val="00461CD5"/>
    <w:rsid w:val="00465FDD"/>
    <w:rsid w:val="00466321"/>
    <w:rsid w:val="004672AF"/>
    <w:rsid w:val="004727B0"/>
    <w:rsid w:val="00480247"/>
    <w:rsid w:val="0048081D"/>
    <w:rsid w:val="0048117E"/>
    <w:rsid w:val="004855F6"/>
    <w:rsid w:val="004860D0"/>
    <w:rsid w:val="00486F0C"/>
    <w:rsid w:val="004902D5"/>
    <w:rsid w:val="00494670"/>
    <w:rsid w:val="00496573"/>
    <w:rsid w:val="004A0EB4"/>
    <w:rsid w:val="004A3823"/>
    <w:rsid w:val="004A573C"/>
    <w:rsid w:val="004A59BB"/>
    <w:rsid w:val="004B43A3"/>
    <w:rsid w:val="004B4BB5"/>
    <w:rsid w:val="004B4C49"/>
    <w:rsid w:val="004B58A5"/>
    <w:rsid w:val="004B63D9"/>
    <w:rsid w:val="004C0882"/>
    <w:rsid w:val="004C55BE"/>
    <w:rsid w:val="004D4AE2"/>
    <w:rsid w:val="004E2DBE"/>
    <w:rsid w:val="004E5A97"/>
    <w:rsid w:val="004E5B30"/>
    <w:rsid w:val="004F0779"/>
    <w:rsid w:val="004F1230"/>
    <w:rsid w:val="004F173F"/>
    <w:rsid w:val="004F177C"/>
    <w:rsid w:val="004F2DCE"/>
    <w:rsid w:val="004F66CF"/>
    <w:rsid w:val="004F7223"/>
    <w:rsid w:val="005039CB"/>
    <w:rsid w:val="0050558F"/>
    <w:rsid w:val="005057E0"/>
    <w:rsid w:val="00506286"/>
    <w:rsid w:val="00510085"/>
    <w:rsid w:val="00510813"/>
    <w:rsid w:val="0051089C"/>
    <w:rsid w:val="00511DE0"/>
    <w:rsid w:val="00513CD8"/>
    <w:rsid w:val="00517F02"/>
    <w:rsid w:val="00524547"/>
    <w:rsid w:val="0052582F"/>
    <w:rsid w:val="005258A2"/>
    <w:rsid w:val="005302A5"/>
    <w:rsid w:val="00530F7C"/>
    <w:rsid w:val="00534567"/>
    <w:rsid w:val="00534F43"/>
    <w:rsid w:val="00535A84"/>
    <w:rsid w:val="00536889"/>
    <w:rsid w:val="00542A2C"/>
    <w:rsid w:val="00542E07"/>
    <w:rsid w:val="0054382A"/>
    <w:rsid w:val="005541B0"/>
    <w:rsid w:val="00554A7B"/>
    <w:rsid w:val="0055572C"/>
    <w:rsid w:val="00556780"/>
    <w:rsid w:val="0056064F"/>
    <w:rsid w:val="00561B52"/>
    <w:rsid w:val="00561B84"/>
    <w:rsid w:val="005629B0"/>
    <w:rsid w:val="00571D98"/>
    <w:rsid w:val="005720AE"/>
    <w:rsid w:val="00575908"/>
    <w:rsid w:val="00577F11"/>
    <w:rsid w:val="0058030D"/>
    <w:rsid w:val="00582045"/>
    <w:rsid w:val="00590AE3"/>
    <w:rsid w:val="005918F1"/>
    <w:rsid w:val="00592540"/>
    <w:rsid w:val="005969A8"/>
    <w:rsid w:val="005A06B7"/>
    <w:rsid w:val="005A1759"/>
    <w:rsid w:val="005A39C8"/>
    <w:rsid w:val="005B5A93"/>
    <w:rsid w:val="005D0369"/>
    <w:rsid w:val="005D3DDC"/>
    <w:rsid w:val="005D53FE"/>
    <w:rsid w:val="005D7A0F"/>
    <w:rsid w:val="005E0438"/>
    <w:rsid w:val="005E1791"/>
    <w:rsid w:val="005E2CE6"/>
    <w:rsid w:val="005E6324"/>
    <w:rsid w:val="005F0486"/>
    <w:rsid w:val="005F228B"/>
    <w:rsid w:val="005F29CD"/>
    <w:rsid w:val="005F4DFB"/>
    <w:rsid w:val="005F6CC0"/>
    <w:rsid w:val="00603E5B"/>
    <w:rsid w:val="00604BC8"/>
    <w:rsid w:val="0061132A"/>
    <w:rsid w:val="00615B4C"/>
    <w:rsid w:val="00615B5D"/>
    <w:rsid w:val="00620F12"/>
    <w:rsid w:val="0062146F"/>
    <w:rsid w:val="00622006"/>
    <w:rsid w:val="006343AF"/>
    <w:rsid w:val="0063634A"/>
    <w:rsid w:val="00637879"/>
    <w:rsid w:val="0064250D"/>
    <w:rsid w:val="00643AAD"/>
    <w:rsid w:val="006535EB"/>
    <w:rsid w:val="00660A7C"/>
    <w:rsid w:val="00660DAE"/>
    <w:rsid w:val="00663016"/>
    <w:rsid w:val="00674605"/>
    <w:rsid w:val="006748B8"/>
    <w:rsid w:val="00681F47"/>
    <w:rsid w:val="0068535B"/>
    <w:rsid w:val="0068736E"/>
    <w:rsid w:val="00691F6A"/>
    <w:rsid w:val="0069290A"/>
    <w:rsid w:val="00697032"/>
    <w:rsid w:val="006975AC"/>
    <w:rsid w:val="006A15FB"/>
    <w:rsid w:val="006A72BF"/>
    <w:rsid w:val="006B332A"/>
    <w:rsid w:val="006B33BD"/>
    <w:rsid w:val="006B7F0B"/>
    <w:rsid w:val="006C3C9B"/>
    <w:rsid w:val="006C3F75"/>
    <w:rsid w:val="006C4FEE"/>
    <w:rsid w:val="006D170E"/>
    <w:rsid w:val="006D76F7"/>
    <w:rsid w:val="006E06AF"/>
    <w:rsid w:val="006F118E"/>
    <w:rsid w:val="006F1789"/>
    <w:rsid w:val="006F32A5"/>
    <w:rsid w:val="006F5FF4"/>
    <w:rsid w:val="0070268D"/>
    <w:rsid w:val="00706C5D"/>
    <w:rsid w:val="007118E6"/>
    <w:rsid w:val="007225C9"/>
    <w:rsid w:val="007242F3"/>
    <w:rsid w:val="007327B9"/>
    <w:rsid w:val="00735CD7"/>
    <w:rsid w:val="007429D1"/>
    <w:rsid w:val="00742D64"/>
    <w:rsid w:val="00744E6B"/>
    <w:rsid w:val="0075051E"/>
    <w:rsid w:val="00752498"/>
    <w:rsid w:val="00754034"/>
    <w:rsid w:val="00754BF1"/>
    <w:rsid w:val="00755A30"/>
    <w:rsid w:val="00755E1C"/>
    <w:rsid w:val="00756556"/>
    <w:rsid w:val="0076132B"/>
    <w:rsid w:val="007617B1"/>
    <w:rsid w:val="007623AE"/>
    <w:rsid w:val="00770B19"/>
    <w:rsid w:val="00770F4C"/>
    <w:rsid w:val="00774FA0"/>
    <w:rsid w:val="007759C8"/>
    <w:rsid w:val="0077657D"/>
    <w:rsid w:val="00776620"/>
    <w:rsid w:val="00777B6D"/>
    <w:rsid w:val="00784855"/>
    <w:rsid w:val="00784F39"/>
    <w:rsid w:val="0078545C"/>
    <w:rsid w:val="007906C4"/>
    <w:rsid w:val="007940EA"/>
    <w:rsid w:val="007967E8"/>
    <w:rsid w:val="007A63F2"/>
    <w:rsid w:val="007B68DE"/>
    <w:rsid w:val="007C1857"/>
    <w:rsid w:val="007C3AF0"/>
    <w:rsid w:val="007C514F"/>
    <w:rsid w:val="007C6C52"/>
    <w:rsid w:val="007D0F95"/>
    <w:rsid w:val="007D5386"/>
    <w:rsid w:val="007D7ECB"/>
    <w:rsid w:val="007E1071"/>
    <w:rsid w:val="007E25A1"/>
    <w:rsid w:val="007E4BD2"/>
    <w:rsid w:val="007E7145"/>
    <w:rsid w:val="007F3916"/>
    <w:rsid w:val="007F59FF"/>
    <w:rsid w:val="00801179"/>
    <w:rsid w:val="00802479"/>
    <w:rsid w:val="00805372"/>
    <w:rsid w:val="00805B7B"/>
    <w:rsid w:val="00805FD6"/>
    <w:rsid w:val="008125EA"/>
    <w:rsid w:val="0081293E"/>
    <w:rsid w:val="00813655"/>
    <w:rsid w:val="00814FFB"/>
    <w:rsid w:val="00817FED"/>
    <w:rsid w:val="00820568"/>
    <w:rsid w:val="00821807"/>
    <w:rsid w:val="00830D8F"/>
    <w:rsid w:val="00831A80"/>
    <w:rsid w:val="008332C8"/>
    <w:rsid w:val="00833743"/>
    <w:rsid w:val="00833B45"/>
    <w:rsid w:val="008340A4"/>
    <w:rsid w:val="00836799"/>
    <w:rsid w:val="00837028"/>
    <w:rsid w:val="00837131"/>
    <w:rsid w:val="00837913"/>
    <w:rsid w:val="00845F57"/>
    <w:rsid w:val="00847367"/>
    <w:rsid w:val="0085194F"/>
    <w:rsid w:val="008521E0"/>
    <w:rsid w:val="008525B0"/>
    <w:rsid w:val="0086102E"/>
    <w:rsid w:val="00867CBC"/>
    <w:rsid w:val="00876C30"/>
    <w:rsid w:val="00877017"/>
    <w:rsid w:val="008773C0"/>
    <w:rsid w:val="00880340"/>
    <w:rsid w:val="00880364"/>
    <w:rsid w:val="00885EAF"/>
    <w:rsid w:val="00886C4C"/>
    <w:rsid w:val="0088711C"/>
    <w:rsid w:val="00890C4F"/>
    <w:rsid w:val="00892ECF"/>
    <w:rsid w:val="00892F06"/>
    <w:rsid w:val="00894285"/>
    <w:rsid w:val="008959B3"/>
    <w:rsid w:val="008A40AE"/>
    <w:rsid w:val="008A4E19"/>
    <w:rsid w:val="008A5C18"/>
    <w:rsid w:val="008A67C5"/>
    <w:rsid w:val="008B051C"/>
    <w:rsid w:val="008B22E1"/>
    <w:rsid w:val="008B3C78"/>
    <w:rsid w:val="008B4AE9"/>
    <w:rsid w:val="008B52CC"/>
    <w:rsid w:val="008C0714"/>
    <w:rsid w:val="008C30AD"/>
    <w:rsid w:val="008C450E"/>
    <w:rsid w:val="008D068E"/>
    <w:rsid w:val="008D0F7A"/>
    <w:rsid w:val="008D5B51"/>
    <w:rsid w:val="008D63BE"/>
    <w:rsid w:val="008E04B1"/>
    <w:rsid w:val="008E0CFF"/>
    <w:rsid w:val="008E5D6B"/>
    <w:rsid w:val="008E689B"/>
    <w:rsid w:val="008E76F0"/>
    <w:rsid w:val="008F15FE"/>
    <w:rsid w:val="008F2A94"/>
    <w:rsid w:val="008F5187"/>
    <w:rsid w:val="008F53DE"/>
    <w:rsid w:val="008F709C"/>
    <w:rsid w:val="0090312B"/>
    <w:rsid w:val="00904961"/>
    <w:rsid w:val="00913BBE"/>
    <w:rsid w:val="0091586B"/>
    <w:rsid w:val="009158A4"/>
    <w:rsid w:val="0091736D"/>
    <w:rsid w:val="00921664"/>
    <w:rsid w:val="00925B8D"/>
    <w:rsid w:val="009304DE"/>
    <w:rsid w:val="00931001"/>
    <w:rsid w:val="00931863"/>
    <w:rsid w:val="009324BD"/>
    <w:rsid w:val="009326C7"/>
    <w:rsid w:val="00933524"/>
    <w:rsid w:val="0093561F"/>
    <w:rsid w:val="0094278D"/>
    <w:rsid w:val="00942AC7"/>
    <w:rsid w:val="0094401C"/>
    <w:rsid w:val="0095308A"/>
    <w:rsid w:val="00955AEE"/>
    <w:rsid w:val="00956F14"/>
    <w:rsid w:val="009620FD"/>
    <w:rsid w:val="0096247A"/>
    <w:rsid w:val="00965F4B"/>
    <w:rsid w:val="00967589"/>
    <w:rsid w:val="00970D33"/>
    <w:rsid w:val="00970F8A"/>
    <w:rsid w:val="00971FB5"/>
    <w:rsid w:val="00972D2A"/>
    <w:rsid w:val="00975CC5"/>
    <w:rsid w:val="00976328"/>
    <w:rsid w:val="00976B4E"/>
    <w:rsid w:val="00981239"/>
    <w:rsid w:val="00983DB7"/>
    <w:rsid w:val="00984458"/>
    <w:rsid w:val="00985283"/>
    <w:rsid w:val="00987322"/>
    <w:rsid w:val="009966E6"/>
    <w:rsid w:val="009A0E23"/>
    <w:rsid w:val="009A0F3B"/>
    <w:rsid w:val="009A72C7"/>
    <w:rsid w:val="009A7572"/>
    <w:rsid w:val="009B0897"/>
    <w:rsid w:val="009B1A8D"/>
    <w:rsid w:val="009B5E37"/>
    <w:rsid w:val="009C1223"/>
    <w:rsid w:val="009C2B54"/>
    <w:rsid w:val="009C5C5C"/>
    <w:rsid w:val="009C76B8"/>
    <w:rsid w:val="009D0852"/>
    <w:rsid w:val="009D1FBF"/>
    <w:rsid w:val="009D4DC8"/>
    <w:rsid w:val="009E399C"/>
    <w:rsid w:val="009E43C1"/>
    <w:rsid w:val="009E4A79"/>
    <w:rsid w:val="009E7E95"/>
    <w:rsid w:val="009F116F"/>
    <w:rsid w:val="009F308E"/>
    <w:rsid w:val="009F329E"/>
    <w:rsid w:val="009F5EB7"/>
    <w:rsid w:val="009F7ED3"/>
    <w:rsid w:val="00A03059"/>
    <w:rsid w:val="00A03607"/>
    <w:rsid w:val="00A047FF"/>
    <w:rsid w:val="00A04C3A"/>
    <w:rsid w:val="00A04FEF"/>
    <w:rsid w:val="00A122CD"/>
    <w:rsid w:val="00A128B3"/>
    <w:rsid w:val="00A12A32"/>
    <w:rsid w:val="00A14248"/>
    <w:rsid w:val="00A14947"/>
    <w:rsid w:val="00A15453"/>
    <w:rsid w:val="00A23DC5"/>
    <w:rsid w:val="00A31387"/>
    <w:rsid w:val="00A34028"/>
    <w:rsid w:val="00A35568"/>
    <w:rsid w:val="00A37056"/>
    <w:rsid w:val="00A37355"/>
    <w:rsid w:val="00A37537"/>
    <w:rsid w:val="00A4358F"/>
    <w:rsid w:val="00A46F67"/>
    <w:rsid w:val="00A54AA1"/>
    <w:rsid w:val="00A568FF"/>
    <w:rsid w:val="00A61496"/>
    <w:rsid w:val="00A61833"/>
    <w:rsid w:val="00A624C6"/>
    <w:rsid w:val="00A63CEC"/>
    <w:rsid w:val="00A64622"/>
    <w:rsid w:val="00A6745F"/>
    <w:rsid w:val="00A7031E"/>
    <w:rsid w:val="00A713B9"/>
    <w:rsid w:val="00A728B1"/>
    <w:rsid w:val="00A763DE"/>
    <w:rsid w:val="00A803D6"/>
    <w:rsid w:val="00A81282"/>
    <w:rsid w:val="00A8713F"/>
    <w:rsid w:val="00A91167"/>
    <w:rsid w:val="00A9171C"/>
    <w:rsid w:val="00A92FFD"/>
    <w:rsid w:val="00A94389"/>
    <w:rsid w:val="00A95975"/>
    <w:rsid w:val="00A9708D"/>
    <w:rsid w:val="00AA2C17"/>
    <w:rsid w:val="00AA4172"/>
    <w:rsid w:val="00AB1914"/>
    <w:rsid w:val="00AB4885"/>
    <w:rsid w:val="00AB5330"/>
    <w:rsid w:val="00AB7747"/>
    <w:rsid w:val="00AC2532"/>
    <w:rsid w:val="00AC46DB"/>
    <w:rsid w:val="00AD1507"/>
    <w:rsid w:val="00AD4939"/>
    <w:rsid w:val="00AD5A70"/>
    <w:rsid w:val="00AD738B"/>
    <w:rsid w:val="00AE1BF4"/>
    <w:rsid w:val="00AE5D97"/>
    <w:rsid w:val="00AE6794"/>
    <w:rsid w:val="00AE784F"/>
    <w:rsid w:val="00AE7867"/>
    <w:rsid w:val="00B00A67"/>
    <w:rsid w:val="00B01110"/>
    <w:rsid w:val="00B02262"/>
    <w:rsid w:val="00B03CEC"/>
    <w:rsid w:val="00B1209F"/>
    <w:rsid w:val="00B12AD0"/>
    <w:rsid w:val="00B13ECC"/>
    <w:rsid w:val="00B24F30"/>
    <w:rsid w:val="00B303BD"/>
    <w:rsid w:val="00B30BAA"/>
    <w:rsid w:val="00B31ABF"/>
    <w:rsid w:val="00B335AE"/>
    <w:rsid w:val="00B37CE1"/>
    <w:rsid w:val="00B40ACF"/>
    <w:rsid w:val="00B46BAA"/>
    <w:rsid w:val="00B47E1B"/>
    <w:rsid w:val="00B50B5F"/>
    <w:rsid w:val="00B50DD5"/>
    <w:rsid w:val="00B536A5"/>
    <w:rsid w:val="00B538CA"/>
    <w:rsid w:val="00B53DBD"/>
    <w:rsid w:val="00B54128"/>
    <w:rsid w:val="00B557E5"/>
    <w:rsid w:val="00B55826"/>
    <w:rsid w:val="00B60426"/>
    <w:rsid w:val="00B622DD"/>
    <w:rsid w:val="00B63522"/>
    <w:rsid w:val="00B768A9"/>
    <w:rsid w:val="00B76F1D"/>
    <w:rsid w:val="00B8116B"/>
    <w:rsid w:val="00B92A19"/>
    <w:rsid w:val="00B92F8A"/>
    <w:rsid w:val="00B9544C"/>
    <w:rsid w:val="00B9550A"/>
    <w:rsid w:val="00BA29E9"/>
    <w:rsid w:val="00BA5F78"/>
    <w:rsid w:val="00BA744B"/>
    <w:rsid w:val="00BB3618"/>
    <w:rsid w:val="00BC0C9E"/>
    <w:rsid w:val="00BC32DC"/>
    <w:rsid w:val="00BD1B51"/>
    <w:rsid w:val="00BD47F6"/>
    <w:rsid w:val="00BE312D"/>
    <w:rsid w:val="00BE3FCA"/>
    <w:rsid w:val="00C019D5"/>
    <w:rsid w:val="00C02955"/>
    <w:rsid w:val="00C04BF7"/>
    <w:rsid w:val="00C05719"/>
    <w:rsid w:val="00C0797C"/>
    <w:rsid w:val="00C10578"/>
    <w:rsid w:val="00C14FE3"/>
    <w:rsid w:val="00C17D62"/>
    <w:rsid w:val="00C20404"/>
    <w:rsid w:val="00C21FDC"/>
    <w:rsid w:val="00C24EE7"/>
    <w:rsid w:val="00C2596A"/>
    <w:rsid w:val="00C271BE"/>
    <w:rsid w:val="00C27425"/>
    <w:rsid w:val="00C328FE"/>
    <w:rsid w:val="00C33A05"/>
    <w:rsid w:val="00C35604"/>
    <w:rsid w:val="00C41781"/>
    <w:rsid w:val="00C42500"/>
    <w:rsid w:val="00C4409D"/>
    <w:rsid w:val="00C455BE"/>
    <w:rsid w:val="00C50541"/>
    <w:rsid w:val="00C511F2"/>
    <w:rsid w:val="00C51E5F"/>
    <w:rsid w:val="00C54C1D"/>
    <w:rsid w:val="00C55092"/>
    <w:rsid w:val="00C61E4B"/>
    <w:rsid w:val="00C62E3A"/>
    <w:rsid w:val="00C6311F"/>
    <w:rsid w:val="00C64503"/>
    <w:rsid w:val="00C64A1F"/>
    <w:rsid w:val="00C64BFF"/>
    <w:rsid w:val="00C74963"/>
    <w:rsid w:val="00C763C9"/>
    <w:rsid w:val="00C80057"/>
    <w:rsid w:val="00C82C79"/>
    <w:rsid w:val="00C84753"/>
    <w:rsid w:val="00C91611"/>
    <w:rsid w:val="00C976FF"/>
    <w:rsid w:val="00CA3585"/>
    <w:rsid w:val="00CA3D5A"/>
    <w:rsid w:val="00CA4C7C"/>
    <w:rsid w:val="00CB0183"/>
    <w:rsid w:val="00CB1EA3"/>
    <w:rsid w:val="00CB552C"/>
    <w:rsid w:val="00CB6A9E"/>
    <w:rsid w:val="00CC426F"/>
    <w:rsid w:val="00CC4A4A"/>
    <w:rsid w:val="00CC6181"/>
    <w:rsid w:val="00CD193D"/>
    <w:rsid w:val="00CD2BCD"/>
    <w:rsid w:val="00CD36AA"/>
    <w:rsid w:val="00CD3791"/>
    <w:rsid w:val="00CD65B0"/>
    <w:rsid w:val="00CE02CD"/>
    <w:rsid w:val="00CE03FA"/>
    <w:rsid w:val="00CE10E9"/>
    <w:rsid w:val="00D0072E"/>
    <w:rsid w:val="00D07C7F"/>
    <w:rsid w:val="00D15727"/>
    <w:rsid w:val="00D16332"/>
    <w:rsid w:val="00D24972"/>
    <w:rsid w:val="00D2515E"/>
    <w:rsid w:val="00D308ED"/>
    <w:rsid w:val="00D36369"/>
    <w:rsid w:val="00D42465"/>
    <w:rsid w:val="00D543E9"/>
    <w:rsid w:val="00D56178"/>
    <w:rsid w:val="00D56CF0"/>
    <w:rsid w:val="00D56F5C"/>
    <w:rsid w:val="00D63779"/>
    <w:rsid w:val="00D704B1"/>
    <w:rsid w:val="00D70B63"/>
    <w:rsid w:val="00D72B92"/>
    <w:rsid w:val="00D72D69"/>
    <w:rsid w:val="00D72ED4"/>
    <w:rsid w:val="00D73F61"/>
    <w:rsid w:val="00D754C0"/>
    <w:rsid w:val="00D776A2"/>
    <w:rsid w:val="00D801C4"/>
    <w:rsid w:val="00D818A1"/>
    <w:rsid w:val="00D90836"/>
    <w:rsid w:val="00D908CE"/>
    <w:rsid w:val="00D92F05"/>
    <w:rsid w:val="00D95896"/>
    <w:rsid w:val="00D95CC6"/>
    <w:rsid w:val="00DA0740"/>
    <w:rsid w:val="00DA2DA3"/>
    <w:rsid w:val="00DA39B2"/>
    <w:rsid w:val="00DA6615"/>
    <w:rsid w:val="00DA76AE"/>
    <w:rsid w:val="00DA7A09"/>
    <w:rsid w:val="00DB181E"/>
    <w:rsid w:val="00DB1C7A"/>
    <w:rsid w:val="00DB1D73"/>
    <w:rsid w:val="00DB26B6"/>
    <w:rsid w:val="00DB2983"/>
    <w:rsid w:val="00DB3169"/>
    <w:rsid w:val="00DB343D"/>
    <w:rsid w:val="00DB5579"/>
    <w:rsid w:val="00DB5CFE"/>
    <w:rsid w:val="00DB739B"/>
    <w:rsid w:val="00DB7C6B"/>
    <w:rsid w:val="00DC23F7"/>
    <w:rsid w:val="00DC72A6"/>
    <w:rsid w:val="00DD115D"/>
    <w:rsid w:val="00DD2113"/>
    <w:rsid w:val="00DD265E"/>
    <w:rsid w:val="00DE3391"/>
    <w:rsid w:val="00DE78BD"/>
    <w:rsid w:val="00DE79DB"/>
    <w:rsid w:val="00DF1930"/>
    <w:rsid w:val="00DF514A"/>
    <w:rsid w:val="00E0358D"/>
    <w:rsid w:val="00E03DAB"/>
    <w:rsid w:val="00E0531E"/>
    <w:rsid w:val="00E06327"/>
    <w:rsid w:val="00E06758"/>
    <w:rsid w:val="00E2064B"/>
    <w:rsid w:val="00E25239"/>
    <w:rsid w:val="00E259F3"/>
    <w:rsid w:val="00E265B1"/>
    <w:rsid w:val="00E26800"/>
    <w:rsid w:val="00E275B0"/>
    <w:rsid w:val="00E34ED2"/>
    <w:rsid w:val="00E358B3"/>
    <w:rsid w:val="00E412D0"/>
    <w:rsid w:val="00E47A6F"/>
    <w:rsid w:val="00E47CDB"/>
    <w:rsid w:val="00E50495"/>
    <w:rsid w:val="00E566BC"/>
    <w:rsid w:val="00E577B9"/>
    <w:rsid w:val="00E60982"/>
    <w:rsid w:val="00E60C8D"/>
    <w:rsid w:val="00E60CBD"/>
    <w:rsid w:val="00E6162F"/>
    <w:rsid w:val="00E6311B"/>
    <w:rsid w:val="00E64CC4"/>
    <w:rsid w:val="00E65D97"/>
    <w:rsid w:val="00E67B39"/>
    <w:rsid w:val="00E67EFD"/>
    <w:rsid w:val="00E702DC"/>
    <w:rsid w:val="00E71FFB"/>
    <w:rsid w:val="00E73084"/>
    <w:rsid w:val="00E76D1D"/>
    <w:rsid w:val="00E806F8"/>
    <w:rsid w:val="00E84F7D"/>
    <w:rsid w:val="00E87752"/>
    <w:rsid w:val="00E8793B"/>
    <w:rsid w:val="00E90F81"/>
    <w:rsid w:val="00E91A6D"/>
    <w:rsid w:val="00E9242D"/>
    <w:rsid w:val="00E95A14"/>
    <w:rsid w:val="00E96A09"/>
    <w:rsid w:val="00EA2D1C"/>
    <w:rsid w:val="00EA4D26"/>
    <w:rsid w:val="00EB041C"/>
    <w:rsid w:val="00EB2E15"/>
    <w:rsid w:val="00EC4146"/>
    <w:rsid w:val="00EC441B"/>
    <w:rsid w:val="00EC5874"/>
    <w:rsid w:val="00ED11F6"/>
    <w:rsid w:val="00ED192D"/>
    <w:rsid w:val="00ED30B4"/>
    <w:rsid w:val="00ED31F5"/>
    <w:rsid w:val="00EF2759"/>
    <w:rsid w:val="00EF45EB"/>
    <w:rsid w:val="00EF5099"/>
    <w:rsid w:val="00EF5E33"/>
    <w:rsid w:val="00F00075"/>
    <w:rsid w:val="00F0142F"/>
    <w:rsid w:val="00F07822"/>
    <w:rsid w:val="00F11024"/>
    <w:rsid w:val="00F12713"/>
    <w:rsid w:val="00F15C95"/>
    <w:rsid w:val="00F218A5"/>
    <w:rsid w:val="00F22985"/>
    <w:rsid w:val="00F2418D"/>
    <w:rsid w:val="00F241AB"/>
    <w:rsid w:val="00F3084A"/>
    <w:rsid w:val="00F31382"/>
    <w:rsid w:val="00F35829"/>
    <w:rsid w:val="00F42868"/>
    <w:rsid w:val="00F4616E"/>
    <w:rsid w:val="00F465A7"/>
    <w:rsid w:val="00F500A0"/>
    <w:rsid w:val="00F50B7C"/>
    <w:rsid w:val="00F5202D"/>
    <w:rsid w:val="00F52CF6"/>
    <w:rsid w:val="00F54496"/>
    <w:rsid w:val="00F568F0"/>
    <w:rsid w:val="00F61097"/>
    <w:rsid w:val="00F70DC3"/>
    <w:rsid w:val="00F74345"/>
    <w:rsid w:val="00F74441"/>
    <w:rsid w:val="00F77444"/>
    <w:rsid w:val="00F77F30"/>
    <w:rsid w:val="00F82589"/>
    <w:rsid w:val="00F82B19"/>
    <w:rsid w:val="00F90AA7"/>
    <w:rsid w:val="00F9212D"/>
    <w:rsid w:val="00FA25D0"/>
    <w:rsid w:val="00FA301A"/>
    <w:rsid w:val="00FA406A"/>
    <w:rsid w:val="00FA54CE"/>
    <w:rsid w:val="00FA5CB6"/>
    <w:rsid w:val="00FB4E5B"/>
    <w:rsid w:val="00FB7523"/>
    <w:rsid w:val="00FC66AC"/>
    <w:rsid w:val="00FD0D83"/>
    <w:rsid w:val="00FD18F4"/>
    <w:rsid w:val="00FD6B47"/>
    <w:rsid w:val="00FD74B4"/>
    <w:rsid w:val="00FE7577"/>
    <w:rsid w:val="00FE7EC7"/>
    <w:rsid w:val="00FF0C17"/>
    <w:rsid w:val="00FF3B32"/>
    <w:rsid w:val="00FF6FCE"/>
    <w:rsid w:val="00FF7518"/>
    <w:rsid w:val="00FF7FD8"/>
    <w:rsid w:val="010A4834"/>
    <w:rsid w:val="011078C7"/>
    <w:rsid w:val="017132F0"/>
    <w:rsid w:val="0172659B"/>
    <w:rsid w:val="01970E7A"/>
    <w:rsid w:val="01A94E05"/>
    <w:rsid w:val="01C048F5"/>
    <w:rsid w:val="01D408F4"/>
    <w:rsid w:val="01E70628"/>
    <w:rsid w:val="024A6D2D"/>
    <w:rsid w:val="02681FD5"/>
    <w:rsid w:val="02753E85"/>
    <w:rsid w:val="028413A1"/>
    <w:rsid w:val="02BC7D06"/>
    <w:rsid w:val="03051E3C"/>
    <w:rsid w:val="032951C5"/>
    <w:rsid w:val="035C384F"/>
    <w:rsid w:val="03912E55"/>
    <w:rsid w:val="03914CEF"/>
    <w:rsid w:val="03970C99"/>
    <w:rsid w:val="03BD3D36"/>
    <w:rsid w:val="03D565B3"/>
    <w:rsid w:val="045D6F7A"/>
    <w:rsid w:val="047149BB"/>
    <w:rsid w:val="04897678"/>
    <w:rsid w:val="04B36381"/>
    <w:rsid w:val="04EA0F49"/>
    <w:rsid w:val="052756F4"/>
    <w:rsid w:val="056C0A85"/>
    <w:rsid w:val="05742AC8"/>
    <w:rsid w:val="05863727"/>
    <w:rsid w:val="058F2B91"/>
    <w:rsid w:val="059E7E8F"/>
    <w:rsid w:val="059F29D4"/>
    <w:rsid w:val="05A465DE"/>
    <w:rsid w:val="05A469AC"/>
    <w:rsid w:val="05FE6E52"/>
    <w:rsid w:val="0616772D"/>
    <w:rsid w:val="06352F05"/>
    <w:rsid w:val="063E7D85"/>
    <w:rsid w:val="065A5226"/>
    <w:rsid w:val="0660077F"/>
    <w:rsid w:val="0667059D"/>
    <w:rsid w:val="06772CA9"/>
    <w:rsid w:val="06D77FB8"/>
    <w:rsid w:val="07053371"/>
    <w:rsid w:val="070875E0"/>
    <w:rsid w:val="071D06F9"/>
    <w:rsid w:val="07293586"/>
    <w:rsid w:val="07295285"/>
    <w:rsid w:val="072A1C14"/>
    <w:rsid w:val="074317D7"/>
    <w:rsid w:val="075E0D09"/>
    <w:rsid w:val="075F5058"/>
    <w:rsid w:val="07770C56"/>
    <w:rsid w:val="07C5765D"/>
    <w:rsid w:val="07C910ED"/>
    <w:rsid w:val="07F700E8"/>
    <w:rsid w:val="088E31FA"/>
    <w:rsid w:val="089808CE"/>
    <w:rsid w:val="08A04B9D"/>
    <w:rsid w:val="08AB445F"/>
    <w:rsid w:val="08C54432"/>
    <w:rsid w:val="09073450"/>
    <w:rsid w:val="092217DD"/>
    <w:rsid w:val="09373662"/>
    <w:rsid w:val="093A7294"/>
    <w:rsid w:val="094B3351"/>
    <w:rsid w:val="09523172"/>
    <w:rsid w:val="09C06197"/>
    <w:rsid w:val="09D90901"/>
    <w:rsid w:val="09EF6C13"/>
    <w:rsid w:val="09F83373"/>
    <w:rsid w:val="0A1417B4"/>
    <w:rsid w:val="0A373969"/>
    <w:rsid w:val="0A61723F"/>
    <w:rsid w:val="0A734278"/>
    <w:rsid w:val="0AAE6186"/>
    <w:rsid w:val="0B1C57E6"/>
    <w:rsid w:val="0B36617C"/>
    <w:rsid w:val="0BD27BF6"/>
    <w:rsid w:val="0C064986"/>
    <w:rsid w:val="0C25393F"/>
    <w:rsid w:val="0D241270"/>
    <w:rsid w:val="0D3E6633"/>
    <w:rsid w:val="0D5B2BE2"/>
    <w:rsid w:val="0D945637"/>
    <w:rsid w:val="0DBC3EB7"/>
    <w:rsid w:val="0DC9777B"/>
    <w:rsid w:val="0DE951A2"/>
    <w:rsid w:val="0DF35A3F"/>
    <w:rsid w:val="0E110D06"/>
    <w:rsid w:val="0E441664"/>
    <w:rsid w:val="0E8206CA"/>
    <w:rsid w:val="0EA4062C"/>
    <w:rsid w:val="0F0C4218"/>
    <w:rsid w:val="0F13775A"/>
    <w:rsid w:val="0F47557A"/>
    <w:rsid w:val="0F4B7889"/>
    <w:rsid w:val="0F4C04A9"/>
    <w:rsid w:val="0F502AA8"/>
    <w:rsid w:val="0F6A6CE9"/>
    <w:rsid w:val="0F841BAC"/>
    <w:rsid w:val="0F8A4576"/>
    <w:rsid w:val="0F8C0A60"/>
    <w:rsid w:val="0F9A112B"/>
    <w:rsid w:val="0FB67BDC"/>
    <w:rsid w:val="0FC124A8"/>
    <w:rsid w:val="10473284"/>
    <w:rsid w:val="105314CD"/>
    <w:rsid w:val="10617DEC"/>
    <w:rsid w:val="106519DD"/>
    <w:rsid w:val="106D2F64"/>
    <w:rsid w:val="109220A6"/>
    <w:rsid w:val="109E31F0"/>
    <w:rsid w:val="109F793A"/>
    <w:rsid w:val="10A71F97"/>
    <w:rsid w:val="10B63710"/>
    <w:rsid w:val="10DC0953"/>
    <w:rsid w:val="111C2F7A"/>
    <w:rsid w:val="11234A36"/>
    <w:rsid w:val="113013DE"/>
    <w:rsid w:val="114F7998"/>
    <w:rsid w:val="11566175"/>
    <w:rsid w:val="117D4B05"/>
    <w:rsid w:val="11845E93"/>
    <w:rsid w:val="11902C5A"/>
    <w:rsid w:val="11915504"/>
    <w:rsid w:val="11922747"/>
    <w:rsid w:val="11A70F13"/>
    <w:rsid w:val="11B85B3D"/>
    <w:rsid w:val="11CC3396"/>
    <w:rsid w:val="12055F07"/>
    <w:rsid w:val="122B06C2"/>
    <w:rsid w:val="123A5B38"/>
    <w:rsid w:val="124A5B95"/>
    <w:rsid w:val="124B5C5D"/>
    <w:rsid w:val="12FC4D92"/>
    <w:rsid w:val="132F192A"/>
    <w:rsid w:val="133409FD"/>
    <w:rsid w:val="134315F5"/>
    <w:rsid w:val="13704CD1"/>
    <w:rsid w:val="13752631"/>
    <w:rsid w:val="13854903"/>
    <w:rsid w:val="13951726"/>
    <w:rsid w:val="14396509"/>
    <w:rsid w:val="1447165C"/>
    <w:rsid w:val="14930CD6"/>
    <w:rsid w:val="149A1A74"/>
    <w:rsid w:val="14A82F5A"/>
    <w:rsid w:val="15023C9F"/>
    <w:rsid w:val="1597796B"/>
    <w:rsid w:val="15AD4C2E"/>
    <w:rsid w:val="15BC1D94"/>
    <w:rsid w:val="15C154B8"/>
    <w:rsid w:val="15E50787"/>
    <w:rsid w:val="168626AD"/>
    <w:rsid w:val="16873133"/>
    <w:rsid w:val="16AA4012"/>
    <w:rsid w:val="16C17241"/>
    <w:rsid w:val="174476D4"/>
    <w:rsid w:val="17735226"/>
    <w:rsid w:val="17E4403F"/>
    <w:rsid w:val="17FB7A6B"/>
    <w:rsid w:val="182548EF"/>
    <w:rsid w:val="18463EA2"/>
    <w:rsid w:val="18893D8F"/>
    <w:rsid w:val="189974C6"/>
    <w:rsid w:val="18A14D71"/>
    <w:rsid w:val="18D45952"/>
    <w:rsid w:val="18ED07C2"/>
    <w:rsid w:val="18EE7F7B"/>
    <w:rsid w:val="195E3CD9"/>
    <w:rsid w:val="19647362"/>
    <w:rsid w:val="197E21C1"/>
    <w:rsid w:val="19BE4924"/>
    <w:rsid w:val="19D81AC8"/>
    <w:rsid w:val="1A1C66C0"/>
    <w:rsid w:val="1A1F0AEC"/>
    <w:rsid w:val="1A3F6DFB"/>
    <w:rsid w:val="1A42393B"/>
    <w:rsid w:val="1A46462D"/>
    <w:rsid w:val="1A573BD8"/>
    <w:rsid w:val="1A6A5A54"/>
    <w:rsid w:val="1A864FDA"/>
    <w:rsid w:val="1A8E7297"/>
    <w:rsid w:val="1ADB13FF"/>
    <w:rsid w:val="1ADF238C"/>
    <w:rsid w:val="1B046F80"/>
    <w:rsid w:val="1B065B6B"/>
    <w:rsid w:val="1B3267B5"/>
    <w:rsid w:val="1B4B7A22"/>
    <w:rsid w:val="1B550A0F"/>
    <w:rsid w:val="1B9B6573"/>
    <w:rsid w:val="1B9E3950"/>
    <w:rsid w:val="1BC25DC8"/>
    <w:rsid w:val="1C1B3917"/>
    <w:rsid w:val="1C344C67"/>
    <w:rsid w:val="1C3E5A3A"/>
    <w:rsid w:val="1C455737"/>
    <w:rsid w:val="1C4C1CA3"/>
    <w:rsid w:val="1C542906"/>
    <w:rsid w:val="1C5E7925"/>
    <w:rsid w:val="1C887FC8"/>
    <w:rsid w:val="1CAE2A49"/>
    <w:rsid w:val="1CC72FDC"/>
    <w:rsid w:val="1CD65CA3"/>
    <w:rsid w:val="1D055E82"/>
    <w:rsid w:val="1D1036BE"/>
    <w:rsid w:val="1D16450D"/>
    <w:rsid w:val="1D182912"/>
    <w:rsid w:val="1D5F6196"/>
    <w:rsid w:val="1D6132A5"/>
    <w:rsid w:val="1D8E56D5"/>
    <w:rsid w:val="1D9305F4"/>
    <w:rsid w:val="1DB213DC"/>
    <w:rsid w:val="1DC77703"/>
    <w:rsid w:val="1DD95A0A"/>
    <w:rsid w:val="1E0423C5"/>
    <w:rsid w:val="1E360515"/>
    <w:rsid w:val="1E441B78"/>
    <w:rsid w:val="1E553A53"/>
    <w:rsid w:val="1E5E181A"/>
    <w:rsid w:val="1E7A43DA"/>
    <w:rsid w:val="1E901AE0"/>
    <w:rsid w:val="1EB277FE"/>
    <w:rsid w:val="1F0A480F"/>
    <w:rsid w:val="1F206C3D"/>
    <w:rsid w:val="1F261684"/>
    <w:rsid w:val="1F5076B0"/>
    <w:rsid w:val="1F8C5FD7"/>
    <w:rsid w:val="1FCC28BE"/>
    <w:rsid w:val="1FE7539E"/>
    <w:rsid w:val="20004EDA"/>
    <w:rsid w:val="20055A53"/>
    <w:rsid w:val="2024174B"/>
    <w:rsid w:val="20963CB8"/>
    <w:rsid w:val="20B07FB6"/>
    <w:rsid w:val="21174F3A"/>
    <w:rsid w:val="212B03F9"/>
    <w:rsid w:val="213B74B1"/>
    <w:rsid w:val="215A2310"/>
    <w:rsid w:val="21627873"/>
    <w:rsid w:val="21A8172A"/>
    <w:rsid w:val="21AF0071"/>
    <w:rsid w:val="21D05FA9"/>
    <w:rsid w:val="21DE318A"/>
    <w:rsid w:val="21EF5B80"/>
    <w:rsid w:val="21F11165"/>
    <w:rsid w:val="21FB2CAB"/>
    <w:rsid w:val="220646A2"/>
    <w:rsid w:val="223C37C8"/>
    <w:rsid w:val="2250317F"/>
    <w:rsid w:val="22576990"/>
    <w:rsid w:val="225C2514"/>
    <w:rsid w:val="22655454"/>
    <w:rsid w:val="22961DA2"/>
    <w:rsid w:val="229C4EAB"/>
    <w:rsid w:val="22C7568D"/>
    <w:rsid w:val="22D379EC"/>
    <w:rsid w:val="22E21D97"/>
    <w:rsid w:val="2326173F"/>
    <w:rsid w:val="233F7E6C"/>
    <w:rsid w:val="23671171"/>
    <w:rsid w:val="237256A6"/>
    <w:rsid w:val="23953F30"/>
    <w:rsid w:val="23AC31E4"/>
    <w:rsid w:val="23D507D0"/>
    <w:rsid w:val="23F95C4B"/>
    <w:rsid w:val="243049F2"/>
    <w:rsid w:val="24392B0D"/>
    <w:rsid w:val="24407487"/>
    <w:rsid w:val="2452597D"/>
    <w:rsid w:val="245B1127"/>
    <w:rsid w:val="2466767A"/>
    <w:rsid w:val="24955C18"/>
    <w:rsid w:val="24B379D8"/>
    <w:rsid w:val="24E45965"/>
    <w:rsid w:val="24F90AE0"/>
    <w:rsid w:val="251E52CF"/>
    <w:rsid w:val="252D53FE"/>
    <w:rsid w:val="25641B62"/>
    <w:rsid w:val="25645AF1"/>
    <w:rsid w:val="258D6A6D"/>
    <w:rsid w:val="25961C08"/>
    <w:rsid w:val="25AC00BC"/>
    <w:rsid w:val="25EC2D81"/>
    <w:rsid w:val="25F52934"/>
    <w:rsid w:val="26042AA7"/>
    <w:rsid w:val="2610540B"/>
    <w:rsid w:val="264528BD"/>
    <w:rsid w:val="26461CE8"/>
    <w:rsid w:val="264F19D4"/>
    <w:rsid w:val="26856771"/>
    <w:rsid w:val="26865D97"/>
    <w:rsid w:val="276205CD"/>
    <w:rsid w:val="27806CA5"/>
    <w:rsid w:val="27836DC0"/>
    <w:rsid w:val="27B34DE8"/>
    <w:rsid w:val="27D15DD1"/>
    <w:rsid w:val="2803659D"/>
    <w:rsid w:val="281A0EA7"/>
    <w:rsid w:val="28263B9B"/>
    <w:rsid w:val="289D2BE0"/>
    <w:rsid w:val="28A76295"/>
    <w:rsid w:val="28E8343D"/>
    <w:rsid w:val="29081487"/>
    <w:rsid w:val="290A2CCA"/>
    <w:rsid w:val="2910731E"/>
    <w:rsid w:val="29206EB8"/>
    <w:rsid w:val="292C49EE"/>
    <w:rsid w:val="29584BD7"/>
    <w:rsid w:val="29CB3381"/>
    <w:rsid w:val="29E325E0"/>
    <w:rsid w:val="2A2878AC"/>
    <w:rsid w:val="2A2A51FA"/>
    <w:rsid w:val="2A2C4F94"/>
    <w:rsid w:val="2A452503"/>
    <w:rsid w:val="2AAF6672"/>
    <w:rsid w:val="2AC670C5"/>
    <w:rsid w:val="2ACD2A8E"/>
    <w:rsid w:val="2AF2047F"/>
    <w:rsid w:val="2B0F45C8"/>
    <w:rsid w:val="2B7E174D"/>
    <w:rsid w:val="2BA936A8"/>
    <w:rsid w:val="2BB86A0D"/>
    <w:rsid w:val="2C315A5A"/>
    <w:rsid w:val="2C750F81"/>
    <w:rsid w:val="2C947179"/>
    <w:rsid w:val="2C9A462D"/>
    <w:rsid w:val="2CB362FA"/>
    <w:rsid w:val="2D1273E2"/>
    <w:rsid w:val="2D1B39E7"/>
    <w:rsid w:val="2D28628E"/>
    <w:rsid w:val="2D293AF5"/>
    <w:rsid w:val="2D3D3DD8"/>
    <w:rsid w:val="2D495CCA"/>
    <w:rsid w:val="2D744473"/>
    <w:rsid w:val="2D9E1C33"/>
    <w:rsid w:val="2D9E56F5"/>
    <w:rsid w:val="2DA27975"/>
    <w:rsid w:val="2DB256DE"/>
    <w:rsid w:val="2DBE28CB"/>
    <w:rsid w:val="2DCA0C7A"/>
    <w:rsid w:val="2DCA6274"/>
    <w:rsid w:val="2E0B10B5"/>
    <w:rsid w:val="2E3525CE"/>
    <w:rsid w:val="2E4E7992"/>
    <w:rsid w:val="2E503150"/>
    <w:rsid w:val="2E667F96"/>
    <w:rsid w:val="2E6C3ADF"/>
    <w:rsid w:val="2E8226AB"/>
    <w:rsid w:val="2E935510"/>
    <w:rsid w:val="2E9D29EA"/>
    <w:rsid w:val="2EB022BA"/>
    <w:rsid w:val="2ED731E0"/>
    <w:rsid w:val="2EDB4955"/>
    <w:rsid w:val="2EF17058"/>
    <w:rsid w:val="2EF60F49"/>
    <w:rsid w:val="2F0106CB"/>
    <w:rsid w:val="2F7E1D1C"/>
    <w:rsid w:val="2F832C79"/>
    <w:rsid w:val="2FAA48BF"/>
    <w:rsid w:val="2FBB7087"/>
    <w:rsid w:val="2FBD0BB8"/>
    <w:rsid w:val="2FEF2D58"/>
    <w:rsid w:val="2FFE24BB"/>
    <w:rsid w:val="301520CD"/>
    <w:rsid w:val="30342F13"/>
    <w:rsid w:val="30580BC9"/>
    <w:rsid w:val="30C51E5A"/>
    <w:rsid w:val="30FC3CBF"/>
    <w:rsid w:val="311E2ED7"/>
    <w:rsid w:val="315C449C"/>
    <w:rsid w:val="315C7E3B"/>
    <w:rsid w:val="316976DA"/>
    <w:rsid w:val="317D2C0B"/>
    <w:rsid w:val="31B82709"/>
    <w:rsid w:val="32400B34"/>
    <w:rsid w:val="325D20BC"/>
    <w:rsid w:val="32862207"/>
    <w:rsid w:val="329E6876"/>
    <w:rsid w:val="32E021D0"/>
    <w:rsid w:val="32E107A3"/>
    <w:rsid w:val="32EE7B8B"/>
    <w:rsid w:val="333B7E36"/>
    <w:rsid w:val="33955886"/>
    <w:rsid w:val="33A42273"/>
    <w:rsid w:val="33CA10B3"/>
    <w:rsid w:val="33D934D4"/>
    <w:rsid w:val="33D93C2E"/>
    <w:rsid w:val="33FE2F6A"/>
    <w:rsid w:val="34687274"/>
    <w:rsid w:val="347802E9"/>
    <w:rsid w:val="34AE1A1A"/>
    <w:rsid w:val="34C46423"/>
    <w:rsid w:val="34D34E19"/>
    <w:rsid w:val="34E248CE"/>
    <w:rsid w:val="34EA69CF"/>
    <w:rsid w:val="353E7279"/>
    <w:rsid w:val="35A617E3"/>
    <w:rsid w:val="35B9451C"/>
    <w:rsid w:val="35BE203C"/>
    <w:rsid w:val="35D33FEC"/>
    <w:rsid w:val="35F8020A"/>
    <w:rsid w:val="36056CF3"/>
    <w:rsid w:val="36074A7F"/>
    <w:rsid w:val="36163D5B"/>
    <w:rsid w:val="36266C69"/>
    <w:rsid w:val="36343A97"/>
    <w:rsid w:val="364F61C0"/>
    <w:rsid w:val="366A09A6"/>
    <w:rsid w:val="36912F20"/>
    <w:rsid w:val="36923549"/>
    <w:rsid w:val="369731C0"/>
    <w:rsid w:val="36A54032"/>
    <w:rsid w:val="36B75FBF"/>
    <w:rsid w:val="36CD2199"/>
    <w:rsid w:val="36EC6AED"/>
    <w:rsid w:val="36FB4891"/>
    <w:rsid w:val="37362EDC"/>
    <w:rsid w:val="374B6987"/>
    <w:rsid w:val="3756429D"/>
    <w:rsid w:val="37594224"/>
    <w:rsid w:val="37A14044"/>
    <w:rsid w:val="37B3277F"/>
    <w:rsid w:val="37DC51C5"/>
    <w:rsid w:val="388F6C58"/>
    <w:rsid w:val="38CF7A3A"/>
    <w:rsid w:val="38D9040B"/>
    <w:rsid w:val="38F12CD3"/>
    <w:rsid w:val="38F94775"/>
    <w:rsid w:val="392971ED"/>
    <w:rsid w:val="396E2E01"/>
    <w:rsid w:val="39CE039C"/>
    <w:rsid w:val="39D36525"/>
    <w:rsid w:val="3A0A14BD"/>
    <w:rsid w:val="3A6A089D"/>
    <w:rsid w:val="3A7C0B90"/>
    <w:rsid w:val="3A8F302F"/>
    <w:rsid w:val="3B0A0908"/>
    <w:rsid w:val="3B3763D1"/>
    <w:rsid w:val="3B4C7172"/>
    <w:rsid w:val="3BC97011"/>
    <w:rsid w:val="3C017F5D"/>
    <w:rsid w:val="3C4F7B3A"/>
    <w:rsid w:val="3C89482C"/>
    <w:rsid w:val="3CDA245A"/>
    <w:rsid w:val="3CDA4281"/>
    <w:rsid w:val="3CEE0A37"/>
    <w:rsid w:val="3CF7026E"/>
    <w:rsid w:val="3D171E1D"/>
    <w:rsid w:val="3D1B275B"/>
    <w:rsid w:val="3D342633"/>
    <w:rsid w:val="3D685609"/>
    <w:rsid w:val="3DA6700D"/>
    <w:rsid w:val="3DCA79A6"/>
    <w:rsid w:val="3DCB7DA0"/>
    <w:rsid w:val="3DEC451E"/>
    <w:rsid w:val="3E0D3279"/>
    <w:rsid w:val="3E29481D"/>
    <w:rsid w:val="3E2F52BC"/>
    <w:rsid w:val="3EAF7506"/>
    <w:rsid w:val="3EB07A18"/>
    <w:rsid w:val="3F660E74"/>
    <w:rsid w:val="3F85670B"/>
    <w:rsid w:val="3FAD67AE"/>
    <w:rsid w:val="3FC665CD"/>
    <w:rsid w:val="3FFD4B9D"/>
    <w:rsid w:val="40212390"/>
    <w:rsid w:val="404F1A48"/>
    <w:rsid w:val="407A6407"/>
    <w:rsid w:val="408044C5"/>
    <w:rsid w:val="40A64953"/>
    <w:rsid w:val="40F148C5"/>
    <w:rsid w:val="40F16FDA"/>
    <w:rsid w:val="413E0EFC"/>
    <w:rsid w:val="414B1AB2"/>
    <w:rsid w:val="414F5582"/>
    <w:rsid w:val="4166016F"/>
    <w:rsid w:val="416C142E"/>
    <w:rsid w:val="419D24D5"/>
    <w:rsid w:val="41B2368F"/>
    <w:rsid w:val="41EB4A82"/>
    <w:rsid w:val="41F5346F"/>
    <w:rsid w:val="421639E7"/>
    <w:rsid w:val="423A3BCC"/>
    <w:rsid w:val="42594082"/>
    <w:rsid w:val="427123FA"/>
    <w:rsid w:val="4286740D"/>
    <w:rsid w:val="42880E86"/>
    <w:rsid w:val="42F205FF"/>
    <w:rsid w:val="42F8326F"/>
    <w:rsid w:val="432B1CC4"/>
    <w:rsid w:val="433A6FE6"/>
    <w:rsid w:val="4350713C"/>
    <w:rsid w:val="436653E0"/>
    <w:rsid w:val="437234EE"/>
    <w:rsid w:val="43BE3892"/>
    <w:rsid w:val="43CF26EE"/>
    <w:rsid w:val="43DF5027"/>
    <w:rsid w:val="43FD6620"/>
    <w:rsid w:val="44002774"/>
    <w:rsid w:val="442C7AF4"/>
    <w:rsid w:val="442E62A0"/>
    <w:rsid w:val="44641CDB"/>
    <w:rsid w:val="449016E9"/>
    <w:rsid w:val="44983428"/>
    <w:rsid w:val="44A91191"/>
    <w:rsid w:val="44A973E3"/>
    <w:rsid w:val="44BA07F4"/>
    <w:rsid w:val="44C52D9D"/>
    <w:rsid w:val="44CD14E0"/>
    <w:rsid w:val="45010FCD"/>
    <w:rsid w:val="455F4180"/>
    <w:rsid w:val="45864755"/>
    <w:rsid w:val="45872666"/>
    <w:rsid w:val="458946E9"/>
    <w:rsid w:val="460305ED"/>
    <w:rsid w:val="46326F64"/>
    <w:rsid w:val="463D5EF6"/>
    <w:rsid w:val="466F51F0"/>
    <w:rsid w:val="46C60977"/>
    <w:rsid w:val="46D30747"/>
    <w:rsid w:val="46D955A7"/>
    <w:rsid w:val="46DF5698"/>
    <w:rsid w:val="46E32A1A"/>
    <w:rsid w:val="47133957"/>
    <w:rsid w:val="47637D1D"/>
    <w:rsid w:val="476B4E24"/>
    <w:rsid w:val="4779329E"/>
    <w:rsid w:val="479E4B7C"/>
    <w:rsid w:val="47A07E0C"/>
    <w:rsid w:val="47A86202"/>
    <w:rsid w:val="47AA3A10"/>
    <w:rsid w:val="47E10C42"/>
    <w:rsid w:val="47F13551"/>
    <w:rsid w:val="481E3C44"/>
    <w:rsid w:val="4820418B"/>
    <w:rsid w:val="4826734A"/>
    <w:rsid w:val="483F42E6"/>
    <w:rsid w:val="48561630"/>
    <w:rsid w:val="486332E9"/>
    <w:rsid w:val="48693111"/>
    <w:rsid w:val="4870272E"/>
    <w:rsid w:val="487321E2"/>
    <w:rsid w:val="4876582E"/>
    <w:rsid w:val="48792A9C"/>
    <w:rsid w:val="489A151D"/>
    <w:rsid w:val="48B54996"/>
    <w:rsid w:val="49554A22"/>
    <w:rsid w:val="49DC7715"/>
    <w:rsid w:val="49EA4083"/>
    <w:rsid w:val="4A023139"/>
    <w:rsid w:val="4A7B576F"/>
    <w:rsid w:val="4A827004"/>
    <w:rsid w:val="4A982B10"/>
    <w:rsid w:val="4AA038CD"/>
    <w:rsid w:val="4AAF662F"/>
    <w:rsid w:val="4ADD3943"/>
    <w:rsid w:val="4B1A4B97"/>
    <w:rsid w:val="4B521C75"/>
    <w:rsid w:val="4B5A699E"/>
    <w:rsid w:val="4B9A5CD8"/>
    <w:rsid w:val="4BD46691"/>
    <w:rsid w:val="4C021D7E"/>
    <w:rsid w:val="4C494BD8"/>
    <w:rsid w:val="4C4A0649"/>
    <w:rsid w:val="4C815A9A"/>
    <w:rsid w:val="4CE470D3"/>
    <w:rsid w:val="4CFE0B2E"/>
    <w:rsid w:val="4D49204E"/>
    <w:rsid w:val="4D815520"/>
    <w:rsid w:val="4DA0515A"/>
    <w:rsid w:val="4DBE3AB2"/>
    <w:rsid w:val="4DD51249"/>
    <w:rsid w:val="4DEC4FB0"/>
    <w:rsid w:val="4E075D8A"/>
    <w:rsid w:val="4E19254A"/>
    <w:rsid w:val="4E39607A"/>
    <w:rsid w:val="4E4F2DA9"/>
    <w:rsid w:val="4E5B34FC"/>
    <w:rsid w:val="4E6332C9"/>
    <w:rsid w:val="4E8E790E"/>
    <w:rsid w:val="4EF43ECE"/>
    <w:rsid w:val="4F6D63A0"/>
    <w:rsid w:val="4F7B22D5"/>
    <w:rsid w:val="4F8545A9"/>
    <w:rsid w:val="4FC62A8C"/>
    <w:rsid w:val="4FD274D4"/>
    <w:rsid w:val="4FE20F0D"/>
    <w:rsid w:val="50493828"/>
    <w:rsid w:val="50504C4B"/>
    <w:rsid w:val="507E1724"/>
    <w:rsid w:val="509C6E7C"/>
    <w:rsid w:val="50E05C06"/>
    <w:rsid w:val="50FA4340"/>
    <w:rsid w:val="514069D9"/>
    <w:rsid w:val="51430EF9"/>
    <w:rsid w:val="5162104E"/>
    <w:rsid w:val="51870AAC"/>
    <w:rsid w:val="51D01B6C"/>
    <w:rsid w:val="521F2B0D"/>
    <w:rsid w:val="522F7ACE"/>
    <w:rsid w:val="52A075B6"/>
    <w:rsid w:val="52D03874"/>
    <w:rsid w:val="52D7511B"/>
    <w:rsid w:val="52E635B0"/>
    <w:rsid w:val="531445C2"/>
    <w:rsid w:val="53202ED7"/>
    <w:rsid w:val="535F1865"/>
    <w:rsid w:val="53700CCB"/>
    <w:rsid w:val="538434F5"/>
    <w:rsid w:val="53A039CC"/>
    <w:rsid w:val="53A1505A"/>
    <w:rsid w:val="53E775E0"/>
    <w:rsid w:val="54063E08"/>
    <w:rsid w:val="541B0A06"/>
    <w:rsid w:val="543437E8"/>
    <w:rsid w:val="549F7EBB"/>
    <w:rsid w:val="54B601C8"/>
    <w:rsid w:val="54C65ED7"/>
    <w:rsid w:val="551142E0"/>
    <w:rsid w:val="5536081F"/>
    <w:rsid w:val="554E7482"/>
    <w:rsid w:val="556F1F83"/>
    <w:rsid w:val="559B174B"/>
    <w:rsid w:val="55BA0837"/>
    <w:rsid w:val="55BC0118"/>
    <w:rsid w:val="55CE0CF4"/>
    <w:rsid w:val="55F61D5C"/>
    <w:rsid w:val="56073F6A"/>
    <w:rsid w:val="561B7C77"/>
    <w:rsid w:val="56582A17"/>
    <w:rsid w:val="5671179F"/>
    <w:rsid w:val="56925F29"/>
    <w:rsid w:val="56B22A9C"/>
    <w:rsid w:val="56D26326"/>
    <w:rsid w:val="572823EA"/>
    <w:rsid w:val="572A4DAB"/>
    <w:rsid w:val="57542B58"/>
    <w:rsid w:val="575C4271"/>
    <w:rsid w:val="57636CFE"/>
    <w:rsid w:val="57875362"/>
    <w:rsid w:val="57A77135"/>
    <w:rsid w:val="57B72A76"/>
    <w:rsid w:val="57D77679"/>
    <w:rsid w:val="57DF16EA"/>
    <w:rsid w:val="57FD1DA0"/>
    <w:rsid w:val="587F428B"/>
    <w:rsid w:val="58C34E93"/>
    <w:rsid w:val="58EA204C"/>
    <w:rsid w:val="58F34A11"/>
    <w:rsid w:val="591D4DAA"/>
    <w:rsid w:val="59320348"/>
    <w:rsid w:val="5994772F"/>
    <w:rsid w:val="59A77832"/>
    <w:rsid w:val="59BB35A6"/>
    <w:rsid w:val="59CB102A"/>
    <w:rsid w:val="5A1070E4"/>
    <w:rsid w:val="5A1530F9"/>
    <w:rsid w:val="5A3C747D"/>
    <w:rsid w:val="5A786C69"/>
    <w:rsid w:val="5A8042EB"/>
    <w:rsid w:val="5AA1673B"/>
    <w:rsid w:val="5AA3689A"/>
    <w:rsid w:val="5AAF64C3"/>
    <w:rsid w:val="5AB126F6"/>
    <w:rsid w:val="5ABE2233"/>
    <w:rsid w:val="5AD11C62"/>
    <w:rsid w:val="5AF94E81"/>
    <w:rsid w:val="5B060C94"/>
    <w:rsid w:val="5B127639"/>
    <w:rsid w:val="5B276D18"/>
    <w:rsid w:val="5B57504B"/>
    <w:rsid w:val="5B685587"/>
    <w:rsid w:val="5BAD110F"/>
    <w:rsid w:val="5BBB5BC7"/>
    <w:rsid w:val="5BCF5F08"/>
    <w:rsid w:val="5BDF5D95"/>
    <w:rsid w:val="5C1C470F"/>
    <w:rsid w:val="5C377FC0"/>
    <w:rsid w:val="5C763968"/>
    <w:rsid w:val="5C7F1626"/>
    <w:rsid w:val="5C9A78E6"/>
    <w:rsid w:val="5CAC1DA3"/>
    <w:rsid w:val="5CB0535B"/>
    <w:rsid w:val="5D3929EA"/>
    <w:rsid w:val="5D51797B"/>
    <w:rsid w:val="5D8A795A"/>
    <w:rsid w:val="5D9067B2"/>
    <w:rsid w:val="5DD45079"/>
    <w:rsid w:val="5DDB39B6"/>
    <w:rsid w:val="5DF87A0F"/>
    <w:rsid w:val="5E1A1E15"/>
    <w:rsid w:val="5E263CC0"/>
    <w:rsid w:val="5E3753B2"/>
    <w:rsid w:val="5E522C82"/>
    <w:rsid w:val="5E631F59"/>
    <w:rsid w:val="5E8A331A"/>
    <w:rsid w:val="5E9B0C4F"/>
    <w:rsid w:val="5EE2726F"/>
    <w:rsid w:val="5F1A2B43"/>
    <w:rsid w:val="5F4955F3"/>
    <w:rsid w:val="5F670D1E"/>
    <w:rsid w:val="5F877F30"/>
    <w:rsid w:val="5FB837BB"/>
    <w:rsid w:val="5FBA204D"/>
    <w:rsid w:val="5FC66C44"/>
    <w:rsid w:val="5FC75AA8"/>
    <w:rsid w:val="5FD56E87"/>
    <w:rsid w:val="5FE83335"/>
    <w:rsid w:val="5FED1755"/>
    <w:rsid w:val="604C04B2"/>
    <w:rsid w:val="60562532"/>
    <w:rsid w:val="60565200"/>
    <w:rsid w:val="60830691"/>
    <w:rsid w:val="6083199C"/>
    <w:rsid w:val="608F34D9"/>
    <w:rsid w:val="616B2973"/>
    <w:rsid w:val="61B94A41"/>
    <w:rsid w:val="61D40DBD"/>
    <w:rsid w:val="61D81972"/>
    <w:rsid w:val="62145A44"/>
    <w:rsid w:val="621E68C3"/>
    <w:rsid w:val="6224338E"/>
    <w:rsid w:val="622A170C"/>
    <w:rsid w:val="62364782"/>
    <w:rsid w:val="623F6839"/>
    <w:rsid w:val="627B698F"/>
    <w:rsid w:val="62856942"/>
    <w:rsid w:val="628E2133"/>
    <w:rsid w:val="628F156F"/>
    <w:rsid w:val="62AD2BBB"/>
    <w:rsid w:val="62B6686E"/>
    <w:rsid w:val="62E23D94"/>
    <w:rsid w:val="62EE44E7"/>
    <w:rsid w:val="631B2E02"/>
    <w:rsid w:val="633017BF"/>
    <w:rsid w:val="63312D96"/>
    <w:rsid w:val="63362C13"/>
    <w:rsid w:val="63482F90"/>
    <w:rsid w:val="634F7448"/>
    <w:rsid w:val="63D40BE9"/>
    <w:rsid w:val="63E0211F"/>
    <w:rsid w:val="641A12BC"/>
    <w:rsid w:val="64432611"/>
    <w:rsid w:val="645E744B"/>
    <w:rsid w:val="646507D9"/>
    <w:rsid w:val="64685078"/>
    <w:rsid w:val="64AC28AC"/>
    <w:rsid w:val="64BF39A4"/>
    <w:rsid w:val="64E04304"/>
    <w:rsid w:val="65373578"/>
    <w:rsid w:val="65615886"/>
    <w:rsid w:val="656F6D34"/>
    <w:rsid w:val="65707231"/>
    <w:rsid w:val="65932238"/>
    <w:rsid w:val="66441962"/>
    <w:rsid w:val="66C32BE9"/>
    <w:rsid w:val="66CA7019"/>
    <w:rsid w:val="67394586"/>
    <w:rsid w:val="673F17B5"/>
    <w:rsid w:val="673F2C7A"/>
    <w:rsid w:val="6768731F"/>
    <w:rsid w:val="676C4A66"/>
    <w:rsid w:val="677A7553"/>
    <w:rsid w:val="680D7DB5"/>
    <w:rsid w:val="681F6961"/>
    <w:rsid w:val="68307350"/>
    <w:rsid w:val="68610A2F"/>
    <w:rsid w:val="68805514"/>
    <w:rsid w:val="69045C66"/>
    <w:rsid w:val="694E2071"/>
    <w:rsid w:val="697A3B33"/>
    <w:rsid w:val="699A0CCE"/>
    <w:rsid w:val="699E2456"/>
    <w:rsid w:val="69F5385D"/>
    <w:rsid w:val="69FA7C16"/>
    <w:rsid w:val="69FE705B"/>
    <w:rsid w:val="6A082FA8"/>
    <w:rsid w:val="6A4175F2"/>
    <w:rsid w:val="6A6A0BB4"/>
    <w:rsid w:val="6A8C1125"/>
    <w:rsid w:val="6A8D753B"/>
    <w:rsid w:val="6AAE27AE"/>
    <w:rsid w:val="6AE80539"/>
    <w:rsid w:val="6B026034"/>
    <w:rsid w:val="6B2F38EF"/>
    <w:rsid w:val="6B322639"/>
    <w:rsid w:val="6B3A5ACE"/>
    <w:rsid w:val="6B4E2D3E"/>
    <w:rsid w:val="6B4F5D3F"/>
    <w:rsid w:val="6B713452"/>
    <w:rsid w:val="6B721A2E"/>
    <w:rsid w:val="6B9D1D9E"/>
    <w:rsid w:val="6BAF4A30"/>
    <w:rsid w:val="6BF54B38"/>
    <w:rsid w:val="6BF80185"/>
    <w:rsid w:val="6C0A3810"/>
    <w:rsid w:val="6C2E7FDA"/>
    <w:rsid w:val="6C5F6456"/>
    <w:rsid w:val="6C636C38"/>
    <w:rsid w:val="6CB06CB1"/>
    <w:rsid w:val="6CD94EBF"/>
    <w:rsid w:val="6CF913F9"/>
    <w:rsid w:val="6D6F4734"/>
    <w:rsid w:val="6D8A5754"/>
    <w:rsid w:val="6DA06196"/>
    <w:rsid w:val="6DB34098"/>
    <w:rsid w:val="6DB545B6"/>
    <w:rsid w:val="6DBB590E"/>
    <w:rsid w:val="6DD93191"/>
    <w:rsid w:val="6DEC5AC7"/>
    <w:rsid w:val="6DEE7A91"/>
    <w:rsid w:val="6E1B45FE"/>
    <w:rsid w:val="6E2B555F"/>
    <w:rsid w:val="6E4375A0"/>
    <w:rsid w:val="6E514CED"/>
    <w:rsid w:val="6E581158"/>
    <w:rsid w:val="6E7855AD"/>
    <w:rsid w:val="6E79491A"/>
    <w:rsid w:val="6EAF236A"/>
    <w:rsid w:val="6EB563D5"/>
    <w:rsid w:val="6F010850"/>
    <w:rsid w:val="6F225983"/>
    <w:rsid w:val="6F410095"/>
    <w:rsid w:val="6F914EDF"/>
    <w:rsid w:val="6F9F588C"/>
    <w:rsid w:val="6FF62C2D"/>
    <w:rsid w:val="6FFC5590"/>
    <w:rsid w:val="70301DA3"/>
    <w:rsid w:val="706D1DD0"/>
    <w:rsid w:val="70856B87"/>
    <w:rsid w:val="70D527EE"/>
    <w:rsid w:val="70E179F1"/>
    <w:rsid w:val="71122F20"/>
    <w:rsid w:val="711A29A0"/>
    <w:rsid w:val="71287CB5"/>
    <w:rsid w:val="715A71EC"/>
    <w:rsid w:val="715B5300"/>
    <w:rsid w:val="715F4BD7"/>
    <w:rsid w:val="71720E6E"/>
    <w:rsid w:val="717903AB"/>
    <w:rsid w:val="71D27F8A"/>
    <w:rsid w:val="71F4319C"/>
    <w:rsid w:val="71F744C6"/>
    <w:rsid w:val="71F960CF"/>
    <w:rsid w:val="72143BB5"/>
    <w:rsid w:val="722D2621"/>
    <w:rsid w:val="72832545"/>
    <w:rsid w:val="72846BCB"/>
    <w:rsid w:val="72883383"/>
    <w:rsid w:val="72A87991"/>
    <w:rsid w:val="730C00AA"/>
    <w:rsid w:val="731F5D5E"/>
    <w:rsid w:val="739C4222"/>
    <w:rsid w:val="739E0C13"/>
    <w:rsid w:val="741E793C"/>
    <w:rsid w:val="749C157E"/>
    <w:rsid w:val="74A37401"/>
    <w:rsid w:val="74B518BA"/>
    <w:rsid w:val="74F873B5"/>
    <w:rsid w:val="74FE7221"/>
    <w:rsid w:val="75091655"/>
    <w:rsid w:val="758D75E2"/>
    <w:rsid w:val="75A43E14"/>
    <w:rsid w:val="75C66B54"/>
    <w:rsid w:val="75CA690C"/>
    <w:rsid w:val="76217EBE"/>
    <w:rsid w:val="764205D5"/>
    <w:rsid w:val="76524D1B"/>
    <w:rsid w:val="76596686"/>
    <w:rsid w:val="766A34F5"/>
    <w:rsid w:val="76BA229D"/>
    <w:rsid w:val="76C23869"/>
    <w:rsid w:val="76C879DB"/>
    <w:rsid w:val="77121D63"/>
    <w:rsid w:val="774342F4"/>
    <w:rsid w:val="776E6565"/>
    <w:rsid w:val="77762421"/>
    <w:rsid w:val="77AB5301"/>
    <w:rsid w:val="77C74B52"/>
    <w:rsid w:val="77DE46D3"/>
    <w:rsid w:val="780F09F4"/>
    <w:rsid w:val="78106FDD"/>
    <w:rsid w:val="781A0800"/>
    <w:rsid w:val="782145F7"/>
    <w:rsid w:val="78265BC4"/>
    <w:rsid w:val="782F2671"/>
    <w:rsid w:val="789171A3"/>
    <w:rsid w:val="789C4F47"/>
    <w:rsid w:val="78A90480"/>
    <w:rsid w:val="78B52F8D"/>
    <w:rsid w:val="78FC585B"/>
    <w:rsid w:val="79304FEA"/>
    <w:rsid w:val="79312D41"/>
    <w:rsid w:val="7934284E"/>
    <w:rsid w:val="793B3DA7"/>
    <w:rsid w:val="794C3995"/>
    <w:rsid w:val="795D5ACB"/>
    <w:rsid w:val="79811327"/>
    <w:rsid w:val="79CD3333"/>
    <w:rsid w:val="7A100D8F"/>
    <w:rsid w:val="7A364017"/>
    <w:rsid w:val="7A69347E"/>
    <w:rsid w:val="7A7D7953"/>
    <w:rsid w:val="7A8265E1"/>
    <w:rsid w:val="7A991D05"/>
    <w:rsid w:val="7A9F3AB9"/>
    <w:rsid w:val="7AB34C6A"/>
    <w:rsid w:val="7AC22CBC"/>
    <w:rsid w:val="7B1467F3"/>
    <w:rsid w:val="7B1623D5"/>
    <w:rsid w:val="7B2F478A"/>
    <w:rsid w:val="7B686D42"/>
    <w:rsid w:val="7B7C092E"/>
    <w:rsid w:val="7B841746"/>
    <w:rsid w:val="7B865F03"/>
    <w:rsid w:val="7B9D4703"/>
    <w:rsid w:val="7BA07EF1"/>
    <w:rsid w:val="7BB00252"/>
    <w:rsid w:val="7BB32059"/>
    <w:rsid w:val="7BDF7469"/>
    <w:rsid w:val="7CAD6D69"/>
    <w:rsid w:val="7CB741EF"/>
    <w:rsid w:val="7CDE7A98"/>
    <w:rsid w:val="7CF942C4"/>
    <w:rsid w:val="7D012C11"/>
    <w:rsid w:val="7D0239FF"/>
    <w:rsid w:val="7D2D0BB3"/>
    <w:rsid w:val="7D356CDC"/>
    <w:rsid w:val="7D5E40CD"/>
    <w:rsid w:val="7D693BED"/>
    <w:rsid w:val="7D820A7E"/>
    <w:rsid w:val="7D845D1C"/>
    <w:rsid w:val="7E2272E3"/>
    <w:rsid w:val="7E2766A8"/>
    <w:rsid w:val="7E2D1F10"/>
    <w:rsid w:val="7E67197E"/>
    <w:rsid w:val="7F121106"/>
    <w:rsid w:val="7F1834C5"/>
    <w:rsid w:val="7F2510DB"/>
    <w:rsid w:val="7F3F0AEE"/>
    <w:rsid w:val="7F3F49C3"/>
    <w:rsid w:val="7F504EB2"/>
    <w:rsid w:val="7F557901"/>
    <w:rsid w:val="7F601ACE"/>
    <w:rsid w:val="7F8813C8"/>
    <w:rsid w:val="7FA73BC4"/>
    <w:rsid w:val="7FBD293C"/>
    <w:rsid w:val="7FE47E50"/>
    <w:rsid w:val="7FF8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9" w:semiHidden="0" w:name="heading 3" w:locked="1"/>
    <w:lsdException w:qFormat="1" w:unhideWhenUsed="0" w:uiPriority="0" w:semiHidden="0" w:name="heading 4" w:locked="1"/>
    <w:lsdException w:unhideWhenUsed="0" w:uiPriority="0" w:semiHidden="0" w:name="heading 5" w:locked="1"/>
    <w:lsdException w:unhideWhenUsed="0" w:uiPriority="0" w:semiHidden="0" w:name="heading 6" w:locked="1"/>
    <w:lsdException w:unhideWhenUsed="0" w:uiPriority="0" w:semiHidden="0" w:name="heading 7" w:locked="1"/>
    <w:lsdException w:unhideWhenUsed="0" w:uiPriority="0" w:semiHidden="0" w:name="heading 8" w:locked="1"/>
    <w:lsdException w:unhideWhenUsed="0" w:uiPriority="0" w:semiHidden="0" w:name="heading 9" w:locked="1"/>
    <w:lsdException w:qFormat="1"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iPriority="99" w:semiHidden="0" w:name="index 8"/>
    <w:lsdException w:unhideWhenUsed="0" w:uiPriority="0" w:semiHidden="0"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99" w:semiHidden="0" w:name="footer"/>
    <w:lsdException w:unhideWhenUsed="0" w:uiPriority="0" w:semiHidden="0" w:name="index heading"/>
    <w:lsdException w:unhideWhenUsed="0" w:uiPriority="0" w:semiHidden="0" w:name="caption" w:locked="1"/>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iPriority="0" w:semiHidden="0" w:name="List Number 5"/>
    <w:lsdException w:qFormat="1" w:unhideWhenUsed="0" w:uiPriority="1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semiHidden="0" w:name="FollowedHyperlink"/>
    <w:lsdException w:unhideWhenUsed="0" w:uiPriority="0" w:semiHidden="0" w:name="Strong" w:locked="1"/>
    <w:lsdException w:unhideWhenUsed="0" w:uiPriority="0" w:semiHidden="0" w:name="Emphasis" w:locked="1"/>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79"/>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80"/>
    <w:qFormat/>
    <w:locked/>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6"/>
    <w:link w:val="117"/>
    <w:qFormat/>
    <w:locked/>
    <w:uiPriority w:val="9"/>
    <w:pPr>
      <w:keepNext/>
      <w:keepLines/>
      <w:spacing w:before="260" w:after="260" w:line="416" w:lineRule="auto"/>
      <w:outlineLvl w:val="2"/>
    </w:pPr>
    <w:rPr>
      <w:b/>
      <w:bCs/>
      <w:sz w:val="32"/>
      <w:szCs w:val="32"/>
    </w:rPr>
  </w:style>
  <w:style w:type="paragraph" w:styleId="9">
    <w:name w:val="heading 4"/>
    <w:basedOn w:val="1"/>
    <w:next w:val="1"/>
    <w:link w:val="63"/>
    <w:qFormat/>
    <w:locked/>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6">
    <w:name w:val="Normal Indent"/>
    <w:basedOn w:val="1"/>
    <w:next w:val="7"/>
    <w:qFormat/>
    <w:uiPriority w:val="0"/>
    <w:pPr>
      <w:ind w:firstLine="420" w:firstLineChars="200"/>
    </w:pPr>
  </w:style>
  <w:style w:type="paragraph" w:styleId="7">
    <w:name w:val="Body Text First Indent 2"/>
    <w:basedOn w:val="8"/>
    <w:next w:val="1"/>
    <w:link w:val="82"/>
    <w:unhideWhenUsed/>
    <w:qFormat/>
    <w:uiPriority w:val="0"/>
    <w:pPr>
      <w:spacing w:line="360" w:lineRule="auto"/>
      <w:ind w:firstLine="420" w:firstLineChars="200"/>
    </w:pPr>
    <w:rPr>
      <w:sz w:val="24"/>
    </w:rPr>
  </w:style>
  <w:style w:type="paragraph" w:styleId="8">
    <w:name w:val="Body Text Indent"/>
    <w:basedOn w:val="1"/>
    <w:next w:val="1"/>
    <w:link w:val="47"/>
    <w:semiHidden/>
    <w:qFormat/>
    <w:uiPriority w:val="0"/>
    <w:pPr>
      <w:spacing w:after="120"/>
      <w:ind w:left="420" w:leftChars="200"/>
    </w:pPr>
  </w:style>
  <w:style w:type="paragraph" w:styleId="10">
    <w:name w:val="index 8"/>
    <w:basedOn w:val="1"/>
    <w:next w:val="1"/>
    <w:unhideWhenUsed/>
    <w:qFormat/>
    <w:uiPriority w:val="99"/>
    <w:pPr>
      <w:adjustRightInd w:val="0"/>
      <w:snapToGrid w:val="0"/>
      <w:spacing w:line="360" w:lineRule="auto"/>
      <w:ind w:left="1400" w:leftChars="1400" w:firstLine="200" w:firstLineChars="200"/>
    </w:pPr>
    <w:rPr>
      <w:sz w:val="24"/>
      <w:szCs w:val="22"/>
    </w:rPr>
  </w:style>
  <w:style w:type="paragraph" w:styleId="11">
    <w:name w:val="annotation text"/>
    <w:basedOn w:val="1"/>
    <w:link w:val="45"/>
    <w:semiHidden/>
    <w:qFormat/>
    <w:uiPriority w:val="0"/>
    <w:pPr>
      <w:jc w:val="left"/>
    </w:pPr>
    <w:rPr>
      <w:kern w:val="0"/>
      <w:sz w:val="20"/>
    </w:rPr>
  </w:style>
  <w:style w:type="paragraph" w:styleId="12">
    <w:name w:val="Body Text"/>
    <w:basedOn w:val="1"/>
    <w:next w:val="8"/>
    <w:link w:val="36"/>
    <w:qFormat/>
    <w:uiPriority w:val="0"/>
    <w:pPr>
      <w:widowControl/>
      <w:snapToGrid w:val="0"/>
      <w:spacing w:before="60" w:after="160" w:line="259" w:lineRule="auto"/>
      <w:ind w:right="113"/>
    </w:pPr>
    <w:rPr>
      <w:kern w:val="0"/>
      <w:sz w:val="18"/>
      <w:szCs w:val="18"/>
    </w:rPr>
  </w:style>
  <w:style w:type="paragraph" w:styleId="13">
    <w:name w:val="Plain Text"/>
    <w:basedOn w:val="1"/>
    <w:next w:val="2"/>
    <w:link w:val="67"/>
    <w:qFormat/>
    <w:uiPriority w:val="0"/>
    <w:pPr>
      <w:adjustRightInd w:val="0"/>
      <w:snapToGrid w:val="0"/>
      <w:spacing w:line="360" w:lineRule="auto"/>
      <w:ind w:firstLine="420" w:firstLineChars="200"/>
      <w:jc w:val="left"/>
    </w:pPr>
    <w:rPr>
      <w:rFonts w:ascii="宋体" w:hAnsi="Courier New"/>
    </w:rPr>
  </w:style>
  <w:style w:type="paragraph" w:styleId="14">
    <w:name w:val="Date"/>
    <w:basedOn w:val="1"/>
    <w:next w:val="1"/>
    <w:link w:val="38"/>
    <w:qFormat/>
    <w:uiPriority w:val="0"/>
    <w:pPr>
      <w:ind w:left="100" w:leftChars="2500"/>
    </w:pPr>
    <w:rPr>
      <w:kern w:val="0"/>
      <w:sz w:val="20"/>
    </w:rPr>
  </w:style>
  <w:style w:type="paragraph" w:styleId="15">
    <w:name w:val="Body Text Indent 2"/>
    <w:basedOn w:val="1"/>
    <w:link w:val="84"/>
    <w:unhideWhenUsed/>
    <w:qFormat/>
    <w:uiPriority w:val="0"/>
    <w:pPr>
      <w:adjustRightInd w:val="0"/>
      <w:spacing w:line="360" w:lineRule="auto"/>
      <w:ind w:firstLine="200" w:firstLineChars="200"/>
    </w:pPr>
    <w:rPr>
      <w:rFonts w:ascii="宋体"/>
      <w:sz w:val="28"/>
    </w:rPr>
  </w:style>
  <w:style w:type="paragraph" w:styleId="16">
    <w:name w:val="Balloon Text"/>
    <w:basedOn w:val="1"/>
    <w:link w:val="44"/>
    <w:semiHidden/>
    <w:qFormat/>
    <w:uiPriority w:val="0"/>
    <w:rPr>
      <w:sz w:val="18"/>
      <w:szCs w:val="18"/>
    </w:rPr>
  </w:style>
  <w:style w:type="paragraph" w:styleId="17">
    <w:name w:val="footer"/>
    <w:basedOn w:val="1"/>
    <w:link w:val="35"/>
    <w:qFormat/>
    <w:uiPriority w:val="99"/>
    <w:pPr>
      <w:tabs>
        <w:tab w:val="center" w:pos="4153"/>
        <w:tab w:val="right" w:pos="8306"/>
      </w:tabs>
      <w:snapToGrid w:val="0"/>
      <w:jc w:val="left"/>
    </w:pPr>
    <w:rPr>
      <w:sz w:val="18"/>
      <w:szCs w:val="18"/>
    </w:rPr>
  </w:style>
  <w:style w:type="paragraph" w:styleId="18">
    <w:name w:val="header"/>
    <w:basedOn w:val="1"/>
    <w:link w:val="34"/>
    <w:qFormat/>
    <w:uiPriority w:val="99"/>
    <w:pPr>
      <w:pBdr>
        <w:bottom w:val="single" w:color="auto" w:sz="6" w:space="1"/>
      </w:pBdr>
      <w:tabs>
        <w:tab w:val="center" w:pos="4153"/>
        <w:tab w:val="right" w:pos="8306"/>
      </w:tabs>
      <w:snapToGrid w:val="0"/>
      <w:jc w:val="center"/>
    </w:pPr>
    <w:rPr>
      <w:sz w:val="18"/>
      <w:szCs w:val="18"/>
    </w:rPr>
  </w:style>
  <w:style w:type="paragraph" w:styleId="19">
    <w:name w:val="List Number 5"/>
    <w:basedOn w:val="1"/>
    <w:unhideWhenUsed/>
    <w:qFormat/>
    <w:uiPriority w:val="0"/>
    <w:pPr>
      <w:numPr>
        <w:ilvl w:val="0"/>
        <w:numId w:val="1"/>
      </w:numPr>
      <w:spacing w:line="360" w:lineRule="auto"/>
      <w:ind w:left="0" w:leftChars="0" w:firstLine="0" w:firstLineChars="0"/>
    </w:pPr>
    <w:rPr>
      <w:sz w:val="24"/>
    </w:rPr>
  </w:style>
  <w:style w:type="paragraph" w:styleId="20">
    <w:name w:val="table of figures"/>
    <w:basedOn w:val="1"/>
    <w:next w:val="1"/>
    <w:qFormat/>
    <w:uiPriority w:val="0"/>
    <w:pPr>
      <w:ind w:left="200" w:leftChars="200" w:hanging="200" w:hangingChars="200"/>
    </w:pPr>
  </w:style>
  <w:style w:type="paragraph" w:styleId="21">
    <w:name w:val="Normal (Web)"/>
    <w:basedOn w:val="1"/>
    <w:link w:val="37"/>
    <w:qFormat/>
    <w:uiPriority w:val="0"/>
    <w:pPr>
      <w:widowControl/>
      <w:spacing w:before="100" w:beforeAutospacing="1" w:after="100" w:afterAutospacing="1"/>
      <w:jc w:val="left"/>
    </w:pPr>
    <w:rPr>
      <w:rFonts w:ascii="宋体" w:hAnsi="宋体"/>
      <w:kern w:val="0"/>
      <w:sz w:val="24"/>
    </w:rPr>
  </w:style>
  <w:style w:type="paragraph" w:styleId="22">
    <w:name w:val="index 1"/>
    <w:basedOn w:val="1"/>
    <w:next w:val="1"/>
    <w:unhideWhenUsed/>
    <w:qFormat/>
    <w:uiPriority w:val="99"/>
    <w:pPr>
      <w:spacing w:line="360" w:lineRule="auto"/>
      <w:ind w:firstLine="200" w:firstLineChars="200"/>
    </w:pPr>
    <w:rPr>
      <w:sz w:val="24"/>
    </w:rPr>
  </w:style>
  <w:style w:type="paragraph" w:styleId="23">
    <w:name w:val="Title"/>
    <w:basedOn w:val="1"/>
    <w:qFormat/>
    <w:locked/>
    <w:uiPriority w:val="10"/>
    <w:pPr>
      <w:spacing w:before="240" w:after="60"/>
      <w:jc w:val="center"/>
      <w:outlineLvl w:val="0"/>
    </w:pPr>
    <w:rPr>
      <w:rFonts w:ascii="Arial" w:hAnsi="Arial" w:cs="Arial"/>
      <w:b/>
      <w:bCs/>
      <w:sz w:val="32"/>
      <w:szCs w:val="32"/>
    </w:rPr>
  </w:style>
  <w:style w:type="paragraph" w:styleId="24">
    <w:name w:val="annotation subject"/>
    <w:basedOn w:val="11"/>
    <w:next w:val="11"/>
    <w:link w:val="48"/>
    <w:semiHidden/>
    <w:qFormat/>
    <w:uiPriority w:val="0"/>
    <w:rPr>
      <w:b/>
      <w:bCs/>
    </w:rPr>
  </w:style>
  <w:style w:type="paragraph" w:styleId="25">
    <w:name w:val="Body Text First Indent"/>
    <w:basedOn w:val="12"/>
    <w:link w:val="83"/>
    <w:qFormat/>
    <w:uiPriority w:val="0"/>
    <w:pPr>
      <w:ind w:firstLine="420" w:firstLineChars="100"/>
    </w:pPr>
  </w:style>
  <w:style w:type="table" w:styleId="27">
    <w:name w:val="Table Grid"/>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page number"/>
    <w:basedOn w:val="28"/>
    <w:qFormat/>
    <w:uiPriority w:val="0"/>
  </w:style>
  <w:style w:type="character" w:styleId="30">
    <w:name w:val="FollowedHyperlink"/>
    <w:basedOn w:val="28"/>
    <w:unhideWhenUsed/>
    <w:qFormat/>
    <w:uiPriority w:val="99"/>
    <w:rPr>
      <w:color w:val="954F72"/>
      <w:u w:val="single"/>
    </w:rPr>
  </w:style>
  <w:style w:type="character" w:styleId="31">
    <w:name w:val="Hyperlink"/>
    <w:basedOn w:val="28"/>
    <w:unhideWhenUsed/>
    <w:qFormat/>
    <w:uiPriority w:val="99"/>
    <w:rPr>
      <w:color w:val="0563C1"/>
      <w:u w:val="single"/>
    </w:rPr>
  </w:style>
  <w:style w:type="character" w:styleId="32">
    <w:name w:val="annotation reference"/>
    <w:basedOn w:val="28"/>
    <w:semiHidden/>
    <w:qFormat/>
    <w:uiPriority w:val="0"/>
    <w:rPr>
      <w:sz w:val="21"/>
    </w:rPr>
  </w:style>
  <w:style w:type="paragraph" w:customStyle="1" w:styleId="33">
    <w:name w:val="样式 正文缩进正文缩进2正文缩进 Char Char正文缩进 Char Char Char Char正文缩进 Char ..."/>
    <w:basedOn w:val="6"/>
    <w:qFormat/>
    <w:uiPriority w:val="0"/>
    <w:pPr>
      <w:spacing w:line="360" w:lineRule="auto"/>
      <w:ind w:firstLine="200"/>
    </w:pPr>
    <w:rPr>
      <w:rFonts w:cs="宋体"/>
      <w:sz w:val="24"/>
    </w:rPr>
  </w:style>
  <w:style w:type="character" w:customStyle="1" w:styleId="34">
    <w:name w:val="页眉 字符"/>
    <w:basedOn w:val="28"/>
    <w:link w:val="18"/>
    <w:qFormat/>
    <w:locked/>
    <w:uiPriority w:val="99"/>
    <w:rPr>
      <w:rFonts w:cs="Times New Roman"/>
      <w:sz w:val="18"/>
      <w:szCs w:val="18"/>
    </w:rPr>
  </w:style>
  <w:style w:type="character" w:customStyle="1" w:styleId="35">
    <w:name w:val="页脚 字符"/>
    <w:basedOn w:val="28"/>
    <w:link w:val="17"/>
    <w:qFormat/>
    <w:locked/>
    <w:uiPriority w:val="99"/>
    <w:rPr>
      <w:rFonts w:cs="Times New Roman"/>
      <w:sz w:val="18"/>
      <w:szCs w:val="18"/>
    </w:rPr>
  </w:style>
  <w:style w:type="character" w:customStyle="1" w:styleId="36">
    <w:name w:val="正文文本 字符"/>
    <w:link w:val="12"/>
    <w:qFormat/>
    <w:locked/>
    <w:uiPriority w:val="0"/>
    <w:rPr>
      <w:sz w:val="18"/>
    </w:rPr>
  </w:style>
  <w:style w:type="character" w:customStyle="1" w:styleId="37">
    <w:name w:val="普通(网站) 字符"/>
    <w:link w:val="21"/>
    <w:qFormat/>
    <w:locked/>
    <w:uiPriority w:val="0"/>
    <w:rPr>
      <w:rFonts w:ascii="宋体" w:hAnsi="宋体" w:eastAsia="宋体"/>
      <w:sz w:val="24"/>
    </w:rPr>
  </w:style>
  <w:style w:type="character" w:customStyle="1" w:styleId="38">
    <w:name w:val="日期 字符1"/>
    <w:link w:val="14"/>
    <w:qFormat/>
    <w:locked/>
    <w:uiPriority w:val="0"/>
    <w:rPr>
      <w:rFonts w:ascii="Times New Roman" w:hAnsi="Times New Roman" w:eastAsia="宋体"/>
      <w:sz w:val="24"/>
    </w:rPr>
  </w:style>
  <w:style w:type="character" w:customStyle="1" w:styleId="39">
    <w:name w:val="日期 字符"/>
    <w:basedOn w:val="28"/>
    <w:semiHidden/>
    <w:qFormat/>
    <w:uiPriority w:val="0"/>
    <w:rPr>
      <w:rFonts w:ascii="Times New Roman" w:hAnsi="Times New Roman" w:eastAsia="宋体" w:cs="Times New Roman"/>
      <w:sz w:val="24"/>
      <w:szCs w:val="24"/>
    </w:rPr>
  </w:style>
  <w:style w:type="character" w:customStyle="1" w:styleId="40">
    <w:name w:val="正文文本 字符1"/>
    <w:basedOn w:val="28"/>
    <w:semiHidden/>
    <w:qFormat/>
    <w:uiPriority w:val="0"/>
    <w:rPr>
      <w:rFonts w:ascii="Times New Roman" w:hAnsi="Times New Roman" w:eastAsia="宋体" w:cs="Times New Roman"/>
      <w:sz w:val="24"/>
      <w:szCs w:val="24"/>
    </w:rPr>
  </w:style>
  <w:style w:type="paragraph" w:customStyle="1" w:styleId="41">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42">
    <w:name w:val="表格 Char"/>
    <w:link w:val="43"/>
    <w:qFormat/>
    <w:locked/>
    <w:uiPriority w:val="0"/>
    <w:rPr>
      <w:rFonts w:ascii="宋体"/>
      <w:sz w:val="21"/>
    </w:rPr>
  </w:style>
  <w:style w:type="paragraph" w:customStyle="1" w:styleId="43">
    <w:name w:val="表格"/>
    <w:basedOn w:val="1"/>
    <w:next w:val="1"/>
    <w:link w:val="42"/>
    <w:qFormat/>
    <w:uiPriority w:val="0"/>
    <w:pPr>
      <w:adjustRightInd w:val="0"/>
      <w:snapToGrid w:val="0"/>
      <w:spacing w:beforeLines="10" w:afterLines="10" w:line="259" w:lineRule="auto"/>
      <w:jc w:val="center"/>
    </w:pPr>
    <w:rPr>
      <w:rFonts w:ascii="宋体"/>
      <w:kern w:val="0"/>
      <w:sz w:val="20"/>
      <w:szCs w:val="21"/>
    </w:rPr>
  </w:style>
  <w:style w:type="character" w:customStyle="1" w:styleId="44">
    <w:name w:val="批注框文本 字符"/>
    <w:basedOn w:val="28"/>
    <w:link w:val="16"/>
    <w:semiHidden/>
    <w:qFormat/>
    <w:locked/>
    <w:uiPriority w:val="0"/>
    <w:rPr>
      <w:rFonts w:ascii="Times New Roman" w:hAnsi="Times New Roman" w:eastAsia="宋体" w:cs="Times New Roman"/>
      <w:sz w:val="18"/>
      <w:szCs w:val="18"/>
    </w:rPr>
  </w:style>
  <w:style w:type="character" w:customStyle="1" w:styleId="45">
    <w:name w:val="批注文字 字符"/>
    <w:link w:val="11"/>
    <w:qFormat/>
    <w:locked/>
    <w:uiPriority w:val="0"/>
    <w:rPr>
      <w:rFonts w:ascii="Times New Roman" w:hAnsi="Times New Roman" w:eastAsia="宋体"/>
      <w:sz w:val="24"/>
    </w:rPr>
  </w:style>
  <w:style w:type="character" w:customStyle="1" w:styleId="46">
    <w:name w:val="批注文字 字符1"/>
    <w:basedOn w:val="28"/>
    <w:semiHidden/>
    <w:qFormat/>
    <w:uiPriority w:val="0"/>
    <w:rPr>
      <w:rFonts w:ascii="Times New Roman" w:hAnsi="Times New Roman" w:eastAsia="宋体" w:cs="Times New Roman"/>
      <w:sz w:val="24"/>
      <w:szCs w:val="24"/>
    </w:rPr>
  </w:style>
  <w:style w:type="character" w:customStyle="1" w:styleId="47">
    <w:name w:val="正文文本缩进 字符"/>
    <w:basedOn w:val="28"/>
    <w:link w:val="8"/>
    <w:semiHidden/>
    <w:qFormat/>
    <w:locked/>
    <w:uiPriority w:val="0"/>
    <w:rPr>
      <w:rFonts w:ascii="Times New Roman" w:hAnsi="Times New Roman" w:eastAsia="宋体" w:cs="Times New Roman"/>
      <w:sz w:val="24"/>
      <w:szCs w:val="24"/>
    </w:rPr>
  </w:style>
  <w:style w:type="character" w:customStyle="1" w:styleId="48">
    <w:name w:val="批注主题 字符"/>
    <w:basedOn w:val="45"/>
    <w:link w:val="24"/>
    <w:semiHidden/>
    <w:qFormat/>
    <w:locked/>
    <w:uiPriority w:val="0"/>
    <w:rPr>
      <w:rFonts w:ascii="Times New Roman" w:hAnsi="Times New Roman" w:eastAsia="宋体" w:cs="Times New Roman"/>
      <w:b/>
      <w:bCs/>
      <w:kern w:val="2"/>
      <w:sz w:val="24"/>
      <w:szCs w:val="24"/>
    </w:rPr>
  </w:style>
  <w:style w:type="character" w:customStyle="1" w:styleId="49">
    <w:name w:val="普通(网站) Char"/>
    <w:qFormat/>
    <w:locked/>
    <w:uiPriority w:val="0"/>
    <w:rPr>
      <w:rFonts w:ascii="宋体" w:hAnsi="宋体" w:eastAsia="宋体"/>
      <w:sz w:val="24"/>
    </w:rPr>
  </w:style>
  <w:style w:type="paragraph" w:customStyle="1" w:styleId="50">
    <w:name w:val="正文（缩进）"/>
    <w:basedOn w:val="1"/>
    <w:qFormat/>
    <w:uiPriority w:val="99"/>
    <w:pPr>
      <w:spacing w:line="360" w:lineRule="auto"/>
      <w:ind w:firstLine="480"/>
    </w:pPr>
    <w:rPr>
      <w:szCs w:val="20"/>
    </w:rPr>
  </w:style>
  <w:style w:type="paragraph" w:customStyle="1" w:styleId="51">
    <w:name w:val="正文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52">
    <w:name w:val="表格样式1"/>
    <w:basedOn w:val="27"/>
    <w:qFormat/>
    <w:uiPriority w:val="0"/>
    <w:pPr>
      <w:spacing w:line="240" w:lineRule="atLeast"/>
    </w:pPr>
    <w:rPr>
      <w:sz w:val="21"/>
    </w:rPr>
    <w:tcPr>
      <w:vAlign w:val="center"/>
    </w:tcPr>
  </w:style>
  <w:style w:type="paragraph" w:styleId="53">
    <w:name w:val="List Paragraph"/>
    <w:basedOn w:val="1"/>
    <w:qFormat/>
    <w:uiPriority w:val="34"/>
    <w:pPr>
      <w:ind w:firstLine="420" w:firstLineChars="200"/>
    </w:pPr>
    <w:rPr>
      <w:sz w:val="24"/>
    </w:rPr>
  </w:style>
  <w:style w:type="paragraph" w:customStyle="1" w:styleId="54">
    <w:name w:val="表格文字"/>
    <w:basedOn w:val="1"/>
    <w:qFormat/>
    <w:uiPriority w:val="0"/>
    <w:pPr>
      <w:adjustRightInd w:val="0"/>
      <w:spacing w:line="360" w:lineRule="auto"/>
      <w:ind w:right="-1" w:firstLine="360" w:firstLineChars="150"/>
    </w:pPr>
    <w:rPr>
      <w:rFonts w:hAnsi="宋体"/>
      <w:sz w:val="24"/>
    </w:rPr>
  </w:style>
  <w:style w:type="paragraph" w:customStyle="1" w:styleId="55">
    <w:name w:val="正文第"/>
    <w:basedOn w:val="8"/>
    <w:qFormat/>
    <w:uiPriority w:val="0"/>
    <w:pPr>
      <w:ind w:firstLine="460" w:firstLineChars="200"/>
    </w:pPr>
    <w:rPr>
      <w:bCs/>
      <w:szCs w:val="21"/>
    </w:rPr>
  </w:style>
  <w:style w:type="paragraph" w:customStyle="1" w:styleId="56">
    <w:name w:val="qq表格文字qq"/>
    <w:basedOn w:val="1"/>
    <w:qFormat/>
    <w:uiPriority w:val="0"/>
    <w:pPr>
      <w:jc w:val="center"/>
    </w:pPr>
  </w:style>
  <w:style w:type="paragraph" w:customStyle="1" w:styleId="57">
    <w:name w:val="小标题 qq"/>
    <w:basedOn w:val="8"/>
    <w:qFormat/>
    <w:uiPriority w:val="0"/>
    <w:pPr>
      <w:spacing w:line="360" w:lineRule="exact"/>
      <w:jc w:val="center"/>
    </w:pPr>
    <w:rPr>
      <w:b/>
      <w:szCs w:val="21"/>
    </w:rPr>
  </w:style>
  <w:style w:type="paragraph" w:customStyle="1" w:styleId="58">
    <w:name w:val="！正文"/>
    <w:next w:val="10"/>
    <w:qFormat/>
    <w:uiPriority w:val="0"/>
    <w:pPr>
      <w:widowControl w:val="0"/>
      <w:spacing w:line="360" w:lineRule="auto"/>
      <w:ind w:firstLine="200" w:firstLineChars="200"/>
      <w:jc w:val="both"/>
    </w:pPr>
    <w:rPr>
      <w:rFonts w:ascii="Times New Roman" w:hAnsi="Times New Roman" w:eastAsia="宋体" w:cs="Times New Roman"/>
      <w:bCs/>
      <w:color w:val="000000"/>
      <w:kern w:val="2"/>
      <w:sz w:val="24"/>
      <w:szCs w:val="28"/>
      <w:lang w:val="zh-CN" w:eastAsia="zh-CN" w:bidi="ar-SA"/>
    </w:rPr>
  </w:style>
  <w:style w:type="paragraph" w:customStyle="1" w:styleId="59">
    <w:name w:val="Table Paragraph"/>
    <w:basedOn w:val="1"/>
    <w:qFormat/>
    <w:uiPriority w:val="1"/>
    <w:rPr>
      <w:rFonts w:ascii="宋体" w:hAnsi="宋体" w:cs="宋体"/>
      <w:lang w:val="zh-CN" w:bidi="zh-CN"/>
    </w:rPr>
  </w:style>
  <w:style w:type="paragraph" w:customStyle="1" w:styleId="60">
    <w:name w:val="样式1"/>
    <w:basedOn w:val="1"/>
    <w:qFormat/>
    <w:uiPriority w:val="0"/>
    <w:pPr>
      <w:widowControl/>
      <w:spacing w:before="50" w:beforeLines="50" w:line="360" w:lineRule="auto"/>
      <w:ind w:firstLine="480" w:firstLineChars="200"/>
    </w:pPr>
    <w:rPr>
      <w:color w:val="FF0000"/>
      <w:kern w:val="24"/>
      <w:sz w:val="24"/>
      <w:szCs w:val="21"/>
    </w:rPr>
  </w:style>
  <w:style w:type="paragraph" w:customStyle="1" w:styleId="61">
    <w:name w:val="12345正文"/>
    <w:basedOn w:val="1"/>
    <w:qFormat/>
    <w:uiPriority w:val="0"/>
    <w:pPr>
      <w:autoSpaceDE w:val="0"/>
      <w:autoSpaceDN w:val="0"/>
      <w:adjustRightInd w:val="0"/>
      <w:spacing w:line="360" w:lineRule="auto"/>
      <w:ind w:firstLine="480" w:firstLineChars="200"/>
      <w:contextualSpacing/>
    </w:pPr>
    <w:rPr>
      <w:rFonts w:cs="宋体"/>
      <w:kern w:val="0"/>
      <w:sz w:val="24"/>
    </w:rPr>
  </w:style>
  <w:style w:type="paragraph" w:customStyle="1" w:styleId="62">
    <w:name w:val="正文qq"/>
    <w:basedOn w:val="1"/>
    <w:qFormat/>
    <w:uiPriority w:val="0"/>
    <w:pPr>
      <w:spacing w:line="360" w:lineRule="auto"/>
      <w:ind w:firstLine="480" w:firstLineChars="200"/>
    </w:pPr>
    <w:rPr>
      <w:bCs/>
      <w:sz w:val="24"/>
    </w:rPr>
  </w:style>
  <w:style w:type="character" w:customStyle="1" w:styleId="63">
    <w:name w:val="标题 4 字符"/>
    <w:basedOn w:val="28"/>
    <w:link w:val="9"/>
    <w:qFormat/>
    <w:uiPriority w:val="0"/>
    <w:rPr>
      <w:rFonts w:asciiTheme="majorHAnsi" w:hAnsiTheme="majorHAnsi" w:eastAsiaTheme="majorEastAsia" w:cstheme="majorBidi"/>
      <w:b/>
      <w:bCs/>
      <w:kern w:val="2"/>
      <w:sz w:val="28"/>
      <w:szCs w:val="28"/>
    </w:rPr>
  </w:style>
  <w:style w:type="paragraph" w:customStyle="1" w:styleId="64">
    <w:name w:val="Char Char1 Char Char Char Char Char Char Char Char Char Char Char Char Char Char Char Char Char Char Char Char1 Char"/>
    <w:basedOn w:val="1"/>
    <w:qFormat/>
    <w:uiPriority w:val="0"/>
    <w:pPr>
      <w:adjustRightInd w:val="0"/>
      <w:snapToGrid w:val="0"/>
      <w:spacing w:line="360" w:lineRule="auto"/>
      <w:ind w:firstLine="200" w:firstLineChars="200"/>
    </w:pPr>
    <w:rPr>
      <w:rFonts w:hint="eastAsia" w:ascii="宋体" w:hAnsi="宋体"/>
      <w:spacing w:val="-2"/>
      <w:kern w:val="0"/>
      <w:sz w:val="24"/>
    </w:rPr>
  </w:style>
  <w:style w:type="paragraph" w:customStyle="1" w:styleId="65">
    <w:name w:val="表中"/>
    <w:basedOn w:val="1"/>
    <w:qFormat/>
    <w:uiPriority w:val="0"/>
    <w:pPr>
      <w:adjustRightInd w:val="0"/>
      <w:snapToGrid w:val="0"/>
      <w:spacing w:line="240" w:lineRule="atLeast"/>
      <w:jc w:val="left"/>
    </w:pPr>
    <w:rPr>
      <w:szCs w:val="21"/>
    </w:rPr>
  </w:style>
  <w:style w:type="character" w:customStyle="1" w:styleId="66">
    <w:name w:val="font61"/>
    <w:basedOn w:val="28"/>
    <w:qFormat/>
    <w:uiPriority w:val="0"/>
    <w:rPr>
      <w:rFonts w:hint="eastAsia" w:ascii="等线" w:hAnsi="等线" w:eastAsia="等线" w:cs="等线"/>
      <w:color w:val="000000"/>
      <w:spacing w:val="-2"/>
      <w:kern w:val="0"/>
      <w:sz w:val="24"/>
      <w:szCs w:val="24"/>
      <w:u w:val="none"/>
      <w:lang w:val="en-US" w:eastAsia="zh-CN" w:bidi="ar"/>
    </w:rPr>
  </w:style>
  <w:style w:type="character" w:customStyle="1" w:styleId="67">
    <w:name w:val="纯文本 字符"/>
    <w:basedOn w:val="28"/>
    <w:link w:val="13"/>
    <w:qFormat/>
    <w:uiPriority w:val="0"/>
    <w:rPr>
      <w:rFonts w:ascii="宋体" w:hAnsi="Courier New"/>
      <w:kern w:val="2"/>
      <w:sz w:val="21"/>
      <w:szCs w:val="24"/>
    </w:rPr>
  </w:style>
  <w:style w:type="paragraph" w:customStyle="1" w:styleId="68">
    <w:name w:val="正文01"/>
    <w:basedOn w:val="1"/>
    <w:qFormat/>
    <w:uiPriority w:val="0"/>
    <w:pPr>
      <w:adjustRightInd w:val="0"/>
      <w:snapToGrid w:val="0"/>
      <w:spacing w:before="60" w:line="460" w:lineRule="exact"/>
      <w:ind w:firstLine="200" w:firstLineChars="200"/>
      <w:jc w:val="left"/>
    </w:pPr>
    <w:rPr>
      <w:rFonts w:ascii="Arial" w:hAnsi="Arial"/>
      <w:sz w:val="24"/>
    </w:rPr>
  </w:style>
  <w:style w:type="paragraph" w:customStyle="1" w:styleId="69">
    <w:name w:val="标准正文"/>
    <w:basedOn w:val="1"/>
    <w:qFormat/>
    <w:uiPriority w:val="0"/>
    <w:pPr>
      <w:spacing w:line="520" w:lineRule="atLeast"/>
      <w:ind w:firstLine="480" w:firstLineChars="200"/>
    </w:pPr>
    <w:rPr>
      <w:sz w:val="24"/>
      <w:szCs w:val="20"/>
    </w:rPr>
  </w:style>
  <w:style w:type="paragraph" w:customStyle="1" w:styleId="70">
    <w:name w:val="body"/>
    <w:basedOn w:val="1"/>
    <w:qFormat/>
    <w:uiPriority w:val="0"/>
    <w:pPr>
      <w:spacing w:line="360" w:lineRule="auto"/>
    </w:pPr>
    <w:rPr>
      <w:rFonts w:ascii="宋体" w:hAnsi="宋体"/>
      <w:sz w:val="24"/>
      <w:szCs w:val="20"/>
    </w:rPr>
  </w:style>
  <w:style w:type="paragraph" w:customStyle="1" w:styleId="71">
    <w:name w:val="表格内容"/>
    <w:basedOn w:val="6"/>
    <w:next w:val="1"/>
    <w:qFormat/>
    <w:uiPriority w:val="0"/>
    <w:pPr>
      <w:ind w:firstLine="0" w:firstLineChars="0"/>
      <w:jc w:val="center"/>
    </w:pPr>
    <w:rPr>
      <w:rFonts w:ascii="Calibri" w:hAnsi="Calibri" w:eastAsia="Calibri"/>
      <w:kern w:val="0"/>
      <w:szCs w:val="20"/>
      <w:lang w:eastAsia="en-US"/>
    </w:rPr>
  </w:style>
  <w:style w:type="paragraph" w:customStyle="1" w:styleId="72">
    <w:name w:val="表格2.0"/>
    <w:basedOn w:val="4"/>
    <w:next w:val="1"/>
    <w:qFormat/>
    <w:uiPriority w:val="0"/>
    <w:pPr>
      <w:spacing w:before="0" w:after="0" w:line="360" w:lineRule="auto"/>
    </w:pPr>
    <w:rPr>
      <w:rFonts w:eastAsia="宋体"/>
      <w:b w:val="0"/>
      <w:bCs w:val="0"/>
      <w:sz w:val="21"/>
      <w:szCs w:val="24"/>
    </w:rPr>
  </w:style>
  <w:style w:type="character" w:customStyle="1" w:styleId="73">
    <w:name w:val="0报告书正文 Char"/>
    <w:link w:val="74"/>
    <w:qFormat/>
    <w:uiPriority w:val="0"/>
    <w:rPr>
      <w:color w:val="000000"/>
      <w:kern w:val="2"/>
      <w:sz w:val="24"/>
      <w:szCs w:val="24"/>
    </w:rPr>
  </w:style>
  <w:style w:type="paragraph" w:customStyle="1" w:styleId="74">
    <w:name w:val="0报告书正文"/>
    <w:basedOn w:val="1"/>
    <w:link w:val="73"/>
    <w:qFormat/>
    <w:uiPriority w:val="0"/>
    <w:pPr>
      <w:spacing w:line="440" w:lineRule="exact"/>
      <w:ind w:firstLine="200" w:firstLineChars="200"/>
    </w:pPr>
    <w:rPr>
      <w:color w:val="000000"/>
      <w:sz w:val="24"/>
    </w:rPr>
  </w:style>
  <w:style w:type="character" w:customStyle="1" w:styleId="75">
    <w:name w:val="fontstyle01"/>
    <w:basedOn w:val="28"/>
    <w:qFormat/>
    <w:uiPriority w:val="0"/>
    <w:rPr>
      <w:rFonts w:hint="eastAsia" w:ascii="宋体" w:hAnsi="宋体" w:eastAsia="宋体"/>
      <w:color w:val="000000"/>
      <w:sz w:val="24"/>
      <w:szCs w:val="24"/>
    </w:rPr>
  </w:style>
  <w:style w:type="character" w:customStyle="1" w:styleId="76">
    <w:name w:val="fontstyle11"/>
    <w:basedOn w:val="28"/>
    <w:qFormat/>
    <w:uiPriority w:val="0"/>
    <w:rPr>
      <w:rFonts w:hint="eastAsia" w:ascii="宋体" w:hAnsi="宋体" w:eastAsia="宋体"/>
      <w:color w:val="000000"/>
      <w:sz w:val="24"/>
      <w:szCs w:val="24"/>
    </w:rPr>
  </w:style>
  <w:style w:type="character" w:customStyle="1" w:styleId="77">
    <w:name w:val="标题 3 字符"/>
    <w:basedOn w:val="28"/>
    <w:link w:val="5"/>
    <w:qFormat/>
    <w:uiPriority w:val="9"/>
    <w:rPr>
      <w:b/>
      <w:bCs/>
      <w:kern w:val="2"/>
      <w:sz w:val="32"/>
      <w:szCs w:val="32"/>
    </w:rPr>
  </w:style>
  <w:style w:type="paragraph" w:customStyle="1" w:styleId="78">
    <w:name w:val="表格1"/>
    <w:basedOn w:val="12"/>
    <w:next w:val="1"/>
    <w:qFormat/>
    <w:uiPriority w:val="0"/>
    <w:pPr>
      <w:spacing w:before="0" w:after="0" w:line="240" w:lineRule="auto"/>
      <w:ind w:right="0"/>
      <w:jc w:val="center"/>
    </w:pPr>
    <w:rPr>
      <w:rFonts w:eastAsia="仿宋"/>
      <w:b/>
      <w:sz w:val="24"/>
    </w:rPr>
  </w:style>
  <w:style w:type="character" w:customStyle="1" w:styleId="79">
    <w:name w:val="标题 1 字符"/>
    <w:basedOn w:val="28"/>
    <w:link w:val="3"/>
    <w:qFormat/>
    <w:uiPriority w:val="0"/>
    <w:rPr>
      <w:rFonts w:eastAsia="黑体"/>
      <w:b/>
      <w:bCs/>
      <w:color w:val="000000"/>
      <w:kern w:val="44"/>
      <w:sz w:val="30"/>
      <w:szCs w:val="30"/>
    </w:rPr>
  </w:style>
  <w:style w:type="character" w:customStyle="1" w:styleId="80">
    <w:name w:val="标题 2 字符"/>
    <w:basedOn w:val="28"/>
    <w:link w:val="4"/>
    <w:qFormat/>
    <w:uiPriority w:val="0"/>
    <w:rPr>
      <w:rFonts w:ascii="Arial" w:hAnsi="Arial" w:eastAsia="黑体"/>
      <w:b/>
      <w:bCs/>
      <w:kern w:val="2"/>
      <w:sz w:val="32"/>
      <w:szCs w:val="32"/>
    </w:rPr>
  </w:style>
  <w:style w:type="paragraph" w:customStyle="1" w:styleId="81">
    <w:name w:val="msonormal"/>
    <w:basedOn w:val="1"/>
    <w:qFormat/>
    <w:uiPriority w:val="0"/>
    <w:pPr>
      <w:widowControl/>
      <w:spacing w:before="100" w:beforeAutospacing="1" w:after="100" w:afterAutospacing="1" w:line="360" w:lineRule="auto"/>
      <w:ind w:firstLine="720" w:firstLineChars="200"/>
      <w:jc w:val="left"/>
    </w:pPr>
    <w:rPr>
      <w:rFonts w:ascii="宋体" w:hAnsi="宋体"/>
      <w:kern w:val="0"/>
      <w:sz w:val="24"/>
    </w:rPr>
  </w:style>
  <w:style w:type="character" w:customStyle="1" w:styleId="82">
    <w:name w:val="正文文本首行缩进 2 字符"/>
    <w:basedOn w:val="47"/>
    <w:link w:val="7"/>
    <w:qFormat/>
    <w:uiPriority w:val="0"/>
    <w:rPr>
      <w:rFonts w:ascii="Times New Roman" w:hAnsi="Times New Roman" w:eastAsia="宋体" w:cs="Times New Roman"/>
      <w:kern w:val="2"/>
      <w:sz w:val="24"/>
      <w:szCs w:val="24"/>
    </w:rPr>
  </w:style>
  <w:style w:type="character" w:customStyle="1" w:styleId="83">
    <w:name w:val="正文文本首行缩进 字符"/>
    <w:basedOn w:val="36"/>
    <w:link w:val="25"/>
    <w:qFormat/>
    <w:uiPriority w:val="0"/>
    <w:rPr>
      <w:kern w:val="2"/>
      <w:sz w:val="21"/>
      <w:szCs w:val="24"/>
    </w:rPr>
  </w:style>
  <w:style w:type="character" w:customStyle="1" w:styleId="84">
    <w:name w:val="正文文本缩进 2 字符"/>
    <w:basedOn w:val="28"/>
    <w:link w:val="15"/>
    <w:qFormat/>
    <w:uiPriority w:val="0"/>
    <w:rPr>
      <w:rFonts w:ascii="宋体"/>
      <w:kern w:val="2"/>
      <w:sz w:val="28"/>
      <w:szCs w:val="24"/>
    </w:rPr>
  </w:style>
  <w:style w:type="paragraph" w:customStyle="1" w:styleId="85">
    <w:name w:val="正文（标准）"/>
    <w:basedOn w:val="1"/>
    <w:qFormat/>
    <w:uiPriority w:val="0"/>
    <w:pPr>
      <w:adjustRightInd w:val="0"/>
      <w:spacing w:line="360" w:lineRule="auto"/>
      <w:ind w:firstLine="200" w:firstLineChars="200"/>
    </w:pPr>
    <w:rPr>
      <w:sz w:val="24"/>
      <w:szCs w:val="30"/>
    </w:rPr>
  </w:style>
  <w:style w:type="paragraph" w:customStyle="1" w:styleId="86">
    <w:name w:val="表头"/>
    <w:basedOn w:val="19"/>
    <w:qFormat/>
    <w:uiPriority w:val="0"/>
    <w:pPr>
      <w:numPr>
        <w:numId w:val="0"/>
      </w:numPr>
      <w:tabs>
        <w:tab w:val="left" w:pos="2600"/>
      </w:tabs>
      <w:adjustRightInd w:val="0"/>
      <w:snapToGrid w:val="0"/>
      <w:jc w:val="center"/>
    </w:pPr>
    <w:rPr>
      <w:b/>
      <w:sz w:val="21"/>
    </w:rPr>
  </w:style>
  <w:style w:type="paragraph" w:customStyle="1" w:styleId="87">
    <w:name w:val="表格正文"/>
    <w:basedOn w:val="43"/>
    <w:qFormat/>
    <w:uiPriority w:val="0"/>
    <w:pPr>
      <w:spacing w:line="360" w:lineRule="auto"/>
    </w:pPr>
    <w:rPr>
      <w:rFonts w:hint="eastAsia" w:hAnsi="宋体"/>
      <w:sz w:val="21"/>
      <w:szCs w:val="20"/>
    </w:rPr>
  </w:style>
  <w:style w:type="paragraph" w:customStyle="1" w:styleId="88">
    <w:name w:val="正文样式1"/>
    <w:basedOn w:val="1"/>
    <w:qFormat/>
    <w:uiPriority w:val="0"/>
    <w:pPr>
      <w:spacing w:line="360" w:lineRule="auto"/>
      <w:ind w:firstLine="200" w:firstLineChars="200"/>
    </w:pPr>
    <w:rPr>
      <w:rFonts w:ascii="宋体"/>
      <w:kern w:val="0"/>
      <w:sz w:val="24"/>
      <w:szCs w:val="20"/>
    </w:rPr>
  </w:style>
  <w:style w:type="paragraph" w:customStyle="1" w:styleId="89">
    <w:name w:val="段落 Char Char Char1"/>
    <w:basedOn w:val="1"/>
    <w:qFormat/>
    <w:uiPriority w:val="0"/>
    <w:pPr>
      <w:topLinePunct/>
      <w:adjustRightInd w:val="0"/>
      <w:snapToGrid w:val="0"/>
      <w:spacing w:line="360" w:lineRule="auto"/>
      <w:ind w:firstLine="200" w:firstLineChars="200"/>
    </w:pPr>
    <w:rPr>
      <w:sz w:val="24"/>
    </w:rPr>
  </w:style>
  <w:style w:type="paragraph" w:customStyle="1" w:styleId="90">
    <w:name w:val="样式 表头 + 小四"/>
    <w:basedOn w:val="20"/>
    <w:qFormat/>
    <w:uiPriority w:val="0"/>
    <w:pPr>
      <w:spacing w:line="360" w:lineRule="auto"/>
      <w:ind w:left="420" w:leftChars="0" w:hanging="420" w:firstLineChars="200"/>
      <w:jc w:val="center"/>
    </w:pPr>
    <w:rPr>
      <w:b/>
      <w:sz w:val="24"/>
    </w:rPr>
  </w:style>
  <w:style w:type="paragraph" w:customStyle="1" w:styleId="91">
    <w:name w:val="！表格"/>
    <w:basedOn w:val="20"/>
    <w:next w:val="58"/>
    <w:qFormat/>
    <w:uiPriority w:val="0"/>
    <w:pPr>
      <w:spacing w:line="320" w:lineRule="exact"/>
      <w:ind w:left="0" w:leftChars="0" w:firstLine="0" w:firstLineChars="200"/>
      <w:jc w:val="center"/>
    </w:pPr>
  </w:style>
  <w:style w:type="paragraph" w:customStyle="1" w:styleId="92">
    <w:name w:val="Body text|1"/>
    <w:basedOn w:val="1"/>
    <w:qFormat/>
    <w:uiPriority w:val="0"/>
    <w:pPr>
      <w:spacing w:after="240" w:line="360" w:lineRule="auto"/>
      <w:ind w:firstLine="720" w:firstLineChars="200"/>
      <w:jc w:val="center"/>
    </w:pPr>
    <w:rPr>
      <w:rFonts w:ascii="宋体" w:hAnsi="宋体" w:cs="宋体"/>
      <w:sz w:val="36"/>
      <w:szCs w:val="36"/>
      <w:lang w:val="zh-TW" w:eastAsia="zh-TW" w:bidi="zh-TW"/>
    </w:rPr>
  </w:style>
  <w:style w:type="paragraph" w:customStyle="1" w:styleId="93">
    <w:name w:val="Other|2"/>
    <w:basedOn w:val="1"/>
    <w:qFormat/>
    <w:uiPriority w:val="0"/>
    <w:pPr>
      <w:spacing w:line="360" w:lineRule="auto"/>
      <w:ind w:firstLine="720" w:firstLineChars="200"/>
    </w:pPr>
    <w:rPr>
      <w:rFonts w:ascii="宋体" w:hAnsi="宋体" w:cs="宋体"/>
      <w:sz w:val="20"/>
      <w:szCs w:val="20"/>
      <w:lang w:val="zh-TW" w:eastAsia="zh-TW" w:bidi="zh-TW"/>
    </w:rPr>
  </w:style>
  <w:style w:type="paragraph" w:customStyle="1" w:styleId="94">
    <w:name w:val="Other|1"/>
    <w:basedOn w:val="1"/>
    <w:qFormat/>
    <w:uiPriority w:val="0"/>
    <w:pPr>
      <w:spacing w:line="360" w:lineRule="auto"/>
      <w:ind w:firstLine="720" w:firstLineChars="200"/>
    </w:pPr>
    <w:rPr>
      <w:sz w:val="18"/>
      <w:szCs w:val="18"/>
      <w:lang w:val="zh-TW" w:eastAsia="zh-TW" w:bidi="zh-TW"/>
    </w:rPr>
  </w:style>
  <w:style w:type="paragraph" w:customStyle="1" w:styleId="95">
    <w:name w:val="正文缩近"/>
    <w:basedOn w:val="1"/>
    <w:qFormat/>
    <w:uiPriority w:val="99"/>
    <w:pPr>
      <w:spacing w:line="360" w:lineRule="auto"/>
      <w:ind w:firstLine="560" w:firstLineChars="200"/>
    </w:pPr>
    <w:rPr>
      <w:sz w:val="28"/>
      <w:szCs w:val="28"/>
    </w:rPr>
  </w:style>
  <w:style w:type="paragraph" w:customStyle="1" w:styleId="96">
    <w:name w:val="正文缩进2字符"/>
    <w:basedOn w:val="1"/>
    <w:qFormat/>
    <w:uiPriority w:val="0"/>
    <w:pPr>
      <w:adjustRightInd w:val="0"/>
      <w:snapToGrid w:val="0"/>
      <w:spacing w:line="360" w:lineRule="auto"/>
      <w:ind w:firstLine="200" w:firstLineChars="200"/>
      <w:jc w:val="left"/>
    </w:pPr>
    <w:rPr>
      <w:b/>
      <w:sz w:val="24"/>
      <w:szCs w:val="21"/>
    </w:rPr>
  </w:style>
  <w:style w:type="character" w:customStyle="1" w:styleId="97">
    <w:name w:val="管线正文 Char"/>
    <w:link w:val="98"/>
    <w:qFormat/>
    <w:locked/>
    <w:uiPriority w:val="0"/>
    <w:rPr>
      <w:sz w:val="24"/>
      <w:szCs w:val="24"/>
    </w:rPr>
  </w:style>
  <w:style w:type="paragraph" w:customStyle="1" w:styleId="98">
    <w:name w:val="管线正文"/>
    <w:basedOn w:val="1"/>
    <w:link w:val="97"/>
    <w:qFormat/>
    <w:uiPriority w:val="0"/>
    <w:pPr>
      <w:widowControl/>
      <w:adjustRightInd w:val="0"/>
      <w:snapToGrid w:val="0"/>
      <w:spacing w:line="360" w:lineRule="auto"/>
      <w:ind w:firstLine="482"/>
    </w:pPr>
    <w:rPr>
      <w:kern w:val="0"/>
      <w:sz w:val="24"/>
    </w:rPr>
  </w:style>
  <w:style w:type="paragraph" w:customStyle="1" w:styleId="99">
    <w:name w:val="font5"/>
    <w:basedOn w:val="1"/>
    <w:qFormat/>
    <w:uiPriority w:val="0"/>
    <w:pPr>
      <w:widowControl/>
      <w:spacing w:before="100" w:beforeAutospacing="1" w:after="100" w:afterAutospacing="1"/>
      <w:jc w:val="left"/>
    </w:pPr>
    <w:rPr>
      <w:rFonts w:ascii="等线" w:hAnsi="等线" w:eastAsia="等线" w:cs="宋体"/>
      <w:kern w:val="0"/>
      <w:sz w:val="18"/>
      <w:szCs w:val="18"/>
    </w:rPr>
  </w:style>
  <w:style w:type="character" w:customStyle="1" w:styleId="100">
    <w:name w:val="font01"/>
    <w:basedOn w:val="28"/>
    <w:qFormat/>
    <w:uiPriority w:val="0"/>
    <w:rPr>
      <w:rFonts w:hint="default" w:ascii="等线" w:hAnsi="等线" w:eastAsia="等线" w:cs="等线"/>
      <w:color w:val="000000"/>
      <w:sz w:val="22"/>
      <w:szCs w:val="22"/>
      <w:u w:val="none"/>
    </w:rPr>
  </w:style>
  <w:style w:type="character" w:customStyle="1" w:styleId="101">
    <w:name w:val="font21"/>
    <w:basedOn w:val="28"/>
    <w:qFormat/>
    <w:uiPriority w:val="0"/>
    <w:rPr>
      <w:rFonts w:hint="default" w:ascii="等线" w:hAnsi="等线" w:eastAsia="等线" w:cs="等线"/>
      <w:color w:val="000000"/>
      <w:sz w:val="22"/>
      <w:szCs w:val="22"/>
      <w:u w:val="none"/>
      <w:vertAlign w:val="superscript"/>
    </w:rPr>
  </w:style>
  <w:style w:type="character" w:customStyle="1" w:styleId="102">
    <w:name w:val="font11"/>
    <w:basedOn w:val="28"/>
    <w:qFormat/>
    <w:uiPriority w:val="0"/>
    <w:rPr>
      <w:rFonts w:hint="default" w:ascii="等线" w:hAnsi="等线" w:eastAsia="等线" w:cs="等线"/>
      <w:color w:val="000000"/>
      <w:sz w:val="22"/>
      <w:szCs w:val="22"/>
      <w:u w:val="none"/>
      <w:vertAlign w:val="superscript"/>
    </w:rPr>
  </w:style>
  <w:style w:type="paragraph" w:customStyle="1" w:styleId="103">
    <w:name w:val="样式 LLJ1 + 首行缩进:  2 字符"/>
    <w:basedOn w:val="1"/>
    <w:qFormat/>
    <w:uiPriority w:val="0"/>
    <w:pPr>
      <w:widowControl/>
      <w:spacing w:before="100" w:beforeAutospacing="1" w:after="100" w:afterAutospacing="1" w:line="360" w:lineRule="auto"/>
      <w:ind w:firstLine="480" w:firstLineChars="200"/>
      <w:jc w:val="left"/>
    </w:pPr>
    <w:rPr>
      <w:rFonts w:cs="宋体"/>
      <w:kern w:val="0"/>
      <w:sz w:val="24"/>
    </w:rPr>
  </w:style>
  <w:style w:type="paragraph" w:customStyle="1" w:styleId="104">
    <w:name w:val="样式 正文缩进（标准） + 首行缩进:  2 字符"/>
    <w:basedOn w:val="105"/>
    <w:qFormat/>
    <w:uiPriority w:val="0"/>
    <w:pPr>
      <w:spacing w:line="360" w:lineRule="auto"/>
      <w:ind w:firstLine="552"/>
    </w:pPr>
  </w:style>
  <w:style w:type="paragraph" w:customStyle="1" w:styleId="105">
    <w:name w:val="正文缩进（标准）"/>
    <w:qFormat/>
    <w:uiPriority w:val="0"/>
    <w:pPr>
      <w:widowControl w:val="0"/>
      <w:spacing w:line="480" w:lineRule="exact"/>
      <w:ind w:firstLine="472" w:firstLineChars="200"/>
    </w:pPr>
    <w:rPr>
      <w:rFonts w:ascii="宋体" w:hAnsi="宋体" w:eastAsia="宋体" w:cs="Times New Roman"/>
      <w:spacing w:val="-2"/>
      <w:sz w:val="24"/>
      <w:szCs w:val="22"/>
      <w:lang w:val="en-US" w:eastAsia="zh-CN" w:bidi="ar-SA"/>
    </w:rPr>
  </w:style>
  <w:style w:type="paragraph" w:customStyle="1" w:styleId="106">
    <w:name w:val="样式 仿宋_GB2312 四号 行距: 1.5 倍行距"/>
    <w:basedOn w:val="1"/>
    <w:qFormat/>
    <w:uiPriority w:val="99"/>
    <w:pPr>
      <w:ind w:firstLine="723"/>
    </w:pPr>
    <w:rPr>
      <w:rFonts w:ascii="仿宋_GB2312" w:hAnsi="仿宋_GB2312" w:cs="宋体"/>
      <w:color w:val="000000"/>
    </w:rPr>
  </w:style>
  <w:style w:type="paragraph" w:customStyle="1" w:styleId="107">
    <w:name w:val="No Spacing"/>
    <w:qFormat/>
    <w:uiPriority w:val="0"/>
    <w:pPr>
      <w:widowControl w:val="0"/>
      <w:jc w:val="center"/>
    </w:pPr>
    <w:rPr>
      <w:rFonts w:ascii="Times New Roman" w:hAnsi="Times New Roman" w:eastAsia="宋体" w:cs="Times New Roman"/>
      <w:kern w:val="2"/>
      <w:sz w:val="21"/>
      <w:szCs w:val="24"/>
      <w:lang w:val="en-US" w:eastAsia="zh-CN" w:bidi="ar-SA"/>
    </w:rPr>
  </w:style>
  <w:style w:type="paragraph" w:customStyle="1" w:styleId="108">
    <w:name w:val="君邦正文"/>
    <w:basedOn w:val="1"/>
    <w:qFormat/>
    <w:uiPriority w:val="0"/>
    <w:pPr>
      <w:widowControl/>
      <w:spacing w:before="120" w:after="120" w:line="360" w:lineRule="auto"/>
      <w:ind w:left="-4" w:leftChars="-2" w:firstLine="480" w:firstLineChars="200"/>
    </w:pPr>
    <w:rPr>
      <w:rFonts w:ascii="宋体" w:hAnsi="宋体"/>
      <w:sz w:val="24"/>
    </w:rPr>
  </w:style>
  <w:style w:type="paragraph" w:customStyle="1" w:styleId="109">
    <w:name w:val="报告"/>
    <w:basedOn w:val="1"/>
    <w:qFormat/>
    <w:uiPriority w:val="0"/>
    <w:pPr>
      <w:spacing w:line="500" w:lineRule="exact"/>
      <w:ind w:firstLine="480" w:firstLineChars="200"/>
    </w:pPr>
    <w:rPr>
      <w:sz w:val="24"/>
      <w:szCs w:val="20"/>
    </w:rPr>
  </w:style>
  <w:style w:type="paragraph" w:customStyle="1" w:styleId="110">
    <w:name w:val="【正文】"/>
    <w:basedOn w:val="1"/>
    <w:qFormat/>
    <w:uiPriority w:val="0"/>
    <w:pPr>
      <w:spacing w:line="360" w:lineRule="auto"/>
      <w:ind w:firstLine="200" w:firstLineChars="200"/>
      <w:jc w:val="left"/>
    </w:pPr>
    <w:rPr>
      <w:rFonts w:ascii="Times New Roman" w:hAnsi="Times New Roman"/>
      <w:sz w:val="24"/>
    </w:rPr>
  </w:style>
  <w:style w:type="paragraph" w:customStyle="1" w:styleId="111">
    <w:name w:val="正文！"/>
    <w:basedOn w:val="1"/>
    <w:qFormat/>
    <w:uiPriority w:val="0"/>
    <w:pPr>
      <w:spacing w:line="360" w:lineRule="auto"/>
      <w:ind w:firstLine="400" w:firstLineChars="200"/>
    </w:pPr>
    <w:rPr>
      <w:kern w:val="0"/>
      <w:sz w:val="24"/>
      <w:szCs w:val="20"/>
    </w:rPr>
  </w:style>
  <w:style w:type="paragraph" w:customStyle="1" w:styleId="112">
    <w:name w:val="道路表头"/>
    <w:basedOn w:val="1"/>
    <w:qFormat/>
    <w:uiPriority w:val="99"/>
    <w:pPr>
      <w:jc w:val="center"/>
    </w:pPr>
    <w:rPr>
      <w:rFonts w:eastAsia="黑体"/>
      <w:spacing w:val="10"/>
      <w:sz w:val="24"/>
      <w:szCs w:val="21"/>
    </w:rPr>
  </w:style>
  <w:style w:type="paragraph" w:customStyle="1" w:styleId="113">
    <w:name w:val="道路正文"/>
    <w:basedOn w:val="1"/>
    <w:qFormat/>
    <w:uiPriority w:val="99"/>
    <w:pPr>
      <w:snapToGrid w:val="0"/>
      <w:spacing w:line="300" w:lineRule="auto"/>
      <w:ind w:firstLine="600" w:firstLineChars="200"/>
    </w:pPr>
    <w:rPr>
      <w:spacing w:val="10"/>
      <w:sz w:val="28"/>
      <w:szCs w:val="28"/>
    </w:rPr>
  </w:style>
  <w:style w:type="paragraph" w:customStyle="1" w:styleId="114">
    <w:name w:val="民武正文"/>
    <w:basedOn w:val="13"/>
    <w:qFormat/>
    <w:uiPriority w:val="99"/>
    <w:pPr>
      <w:spacing w:line="300" w:lineRule="auto"/>
      <w:ind w:firstLine="200" w:firstLineChars="200"/>
    </w:pPr>
  </w:style>
  <w:style w:type="paragraph" w:customStyle="1" w:styleId="115">
    <w:name w:val="样式4"/>
    <w:basedOn w:val="12"/>
    <w:qFormat/>
    <w:uiPriority w:val="0"/>
    <w:pPr>
      <w:spacing w:line="600" w:lineRule="exact"/>
      <w:ind w:firstLine="200" w:firstLineChars="200"/>
    </w:pPr>
    <w:rPr>
      <w:rFonts w:eastAsia="Times New Roman"/>
      <w:szCs w:val="20"/>
    </w:rPr>
  </w:style>
  <w:style w:type="table" w:customStyle="1" w:styleId="116">
    <w:name w:val="Table Normal"/>
    <w:unhideWhenUsed/>
    <w:qFormat/>
    <w:uiPriority w:val="0"/>
    <w:pPr>
      <w:widowControl w:val="0"/>
      <w:autoSpaceDE w:val="0"/>
      <w:autoSpaceDN w:val="0"/>
    </w:pPr>
    <w:rPr>
      <w:rFonts w:ascii="Calibri" w:hAnsi="Calibri"/>
      <w:sz w:val="22"/>
      <w:szCs w:val="22"/>
      <w:lang w:val="en-US" w:eastAsia="en-US" w:bidi="ar-SA"/>
    </w:rPr>
    <w:tblPr>
      <w:tblCellMar>
        <w:top w:w="0" w:type="dxa"/>
        <w:left w:w="0" w:type="dxa"/>
        <w:bottom w:w="0" w:type="dxa"/>
        <w:right w:w="0" w:type="dxa"/>
      </w:tblCellMar>
    </w:tblPr>
  </w:style>
  <w:style w:type="character" w:customStyle="1" w:styleId="117">
    <w:name w:val="标题 3 Char"/>
    <w:link w:val="5"/>
    <w:qFormat/>
    <w:uiPriority w:val="0"/>
    <w:rPr>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wmf"/><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image" Target="media/image9.wmf"/><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oleObject" Target="embeddings/oleObject3.bin"/><Relationship Id="rId14" Type="http://schemas.openxmlformats.org/officeDocument/2006/relationships/image" Target="media/image6.wmf"/><Relationship Id="rId13" Type="http://schemas.openxmlformats.org/officeDocument/2006/relationships/oleObject" Target="embeddings/oleObject2.bin"/><Relationship Id="rId12" Type="http://schemas.openxmlformats.org/officeDocument/2006/relationships/image" Target="media/image5.wmf"/><Relationship Id="rId11" Type="http://schemas.openxmlformats.org/officeDocument/2006/relationships/oleObject" Target="embeddings/oleObject1.bin"/><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7D6392-825C-4034-82EA-4AE9283EE8E2}">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79</Pages>
  <Words>40937</Words>
  <Characters>46794</Characters>
  <Lines>476</Lines>
  <Paragraphs>134</Paragraphs>
  <TotalTime>1</TotalTime>
  <ScaleCrop>false</ScaleCrop>
  <LinksUpToDate>false</LinksUpToDate>
  <CharactersWithSpaces>47563</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2020-12-24T01:42:00Z</dcterms:created>
  <dc:creator>lhj</dc:creator>
  <cp:lastModifiedBy>＠_＠</cp:lastModifiedBy>
  <cp:lastPrinted>2020-12-24T01:50:00Z</cp:lastPrinted>
  <dcterms:modified xsi:type="dcterms:W3CDTF">2023-02-20T01:49:35Z</dcterms:modified>
  <cp:revision>188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8742436093B24689B44DDB2F4F374DB9</vt:lpwstr>
  </property>
</Properties>
</file>