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000000" w:themeColor="text1"/>
          <w:sz w:val="36"/>
          <w:szCs w:val="36"/>
          <w14:textFill>
            <w14:solidFill>
              <w14:schemeClr w14:val="tx1"/>
            </w14:solidFill>
          </w14:textFill>
        </w:rPr>
      </w:pPr>
      <w:bookmarkStart w:id="38" w:name="_GoBack"/>
      <w:bookmarkEnd w:id="38"/>
      <w:bookmarkStart w:id="0" w:name="_Hlk57883707"/>
    </w:p>
    <w:p>
      <w:pPr>
        <w:pStyle w:val="9"/>
        <w:rPr>
          <w:color w:val="000000" w:themeColor="text1"/>
          <w:sz w:val="21"/>
          <w:szCs w:val="21"/>
          <w14:textFill>
            <w14:solidFill>
              <w14:schemeClr w14:val="tx1"/>
            </w14:solidFill>
          </w14:textFill>
        </w:rPr>
      </w:pPr>
    </w:p>
    <w:p>
      <w:pPr>
        <w:rPr>
          <w:color w:val="000000" w:themeColor="text1"/>
          <w14:textFill>
            <w14:solidFill>
              <w14:schemeClr w14:val="tx1"/>
            </w14:solidFill>
          </w14:textFill>
        </w:rPr>
      </w:pPr>
    </w:p>
    <w:p>
      <w:pPr>
        <w:adjustRightInd w:val="0"/>
        <w:snapToGrid w:val="0"/>
        <w:jc w:val="center"/>
        <w:outlineLvl w:val="0"/>
        <w:rPr>
          <w:b/>
          <w:color w:val="000000" w:themeColor="text1"/>
          <w:sz w:val="24"/>
          <w14:textFill>
            <w14:solidFill>
              <w14:schemeClr w14:val="tx1"/>
            </w14:solidFill>
          </w14:textFill>
        </w:rPr>
      </w:pPr>
    </w:p>
    <w:p>
      <w:pPr>
        <w:adjustRightInd w:val="0"/>
        <w:snapToGrid w:val="0"/>
        <w:jc w:val="center"/>
        <w:outlineLvl w:val="0"/>
        <w:rPr>
          <w:b/>
          <w:color w:val="000000" w:themeColor="text1"/>
          <w:sz w:val="72"/>
          <w:szCs w:val="72"/>
          <w14:textFill>
            <w14:solidFill>
              <w14:schemeClr w14:val="tx1"/>
            </w14:solidFill>
          </w14:textFill>
        </w:rPr>
      </w:pPr>
      <w:r>
        <w:rPr>
          <w:b/>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bCs/>
          <w:color w:val="000000" w:themeColor="text1"/>
          <w:sz w:val="48"/>
          <w:szCs w:val="48"/>
          <w14:textFill>
            <w14:solidFill>
              <w14:schemeClr w14:val="tx1"/>
            </w14:solidFill>
          </w14:textFill>
        </w:rPr>
      </w:pPr>
      <w:r>
        <w:rPr>
          <w:bCs/>
          <w:color w:val="000000" w:themeColor="text1"/>
          <w:sz w:val="48"/>
          <w:szCs w:val="48"/>
          <w14:textFill>
            <w14:solidFill>
              <w14:schemeClr w14:val="tx1"/>
            </w14:solidFill>
          </w14:textFill>
        </w:rPr>
        <w:t>（</w:t>
      </w:r>
      <w:r>
        <w:rPr>
          <w:rFonts w:hint="eastAsia"/>
          <w:bCs/>
          <w:color w:val="000000" w:themeColor="text1"/>
          <w:sz w:val="44"/>
          <w:szCs w:val="44"/>
          <w14:textFill>
            <w14:solidFill>
              <w14:schemeClr w14:val="tx1"/>
            </w14:solidFill>
          </w14:textFill>
        </w:rPr>
        <w:t>生态</w:t>
      </w:r>
      <w:r>
        <w:rPr>
          <w:bCs/>
          <w:color w:val="000000" w:themeColor="text1"/>
          <w:sz w:val="44"/>
          <w:szCs w:val="44"/>
          <w14:textFill>
            <w14:solidFill>
              <w14:schemeClr w14:val="tx1"/>
            </w14:solidFill>
          </w14:textFill>
        </w:rPr>
        <w:t>影响类</w:t>
      </w:r>
      <w:r>
        <w:rPr>
          <w:bCs/>
          <w:color w:val="000000" w:themeColor="text1"/>
          <w:sz w:val="48"/>
          <w:szCs w:val="48"/>
          <w14:textFill>
            <w14:solidFill>
              <w14:schemeClr w14:val="tx1"/>
            </w14:solidFill>
          </w14:textFill>
        </w:rPr>
        <w:t>）</w:t>
      </w:r>
    </w:p>
    <w:p>
      <w:pPr>
        <w:adjustRightInd w:val="0"/>
        <w:snapToGrid w:val="0"/>
        <w:spacing w:line="288" w:lineRule="auto"/>
        <w:jc w:val="center"/>
        <w:outlineLvl w:val="0"/>
        <w:rPr>
          <w:color w:val="000000" w:themeColor="text1"/>
          <w:kern w:val="44"/>
          <w:sz w:val="44"/>
          <w:szCs w:val="44"/>
          <w14:textFill>
            <w14:solidFill>
              <w14:schemeClr w14:val="tx1"/>
            </w14:solidFill>
          </w14:textFill>
        </w:rPr>
      </w:pPr>
    </w:p>
    <w:p>
      <w:pPr>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adjustRightInd w:val="0"/>
        <w:snapToGrid w:val="0"/>
        <w:spacing w:line="480" w:lineRule="auto"/>
        <w:ind w:firstLine="300" w:firstLineChars="100"/>
        <w:jc w:val="left"/>
        <w:rPr>
          <w:color w:val="000000" w:themeColor="text1"/>
          <w:sz w:val="30"/>
          <w:szCs w:val="30"/>
          <w:u w:val="single"/>
          <w14:textFill>
            <w14:solidFill>
              <w14:schemeClr w14:val="tx1"/>
            </w14:solidFill>
          </w14:textFill>
        </w:rPr>
      </w:pPr>
      <w:r>
        <w:rPr>
          <w:color w:val="000000" w:themeColor="text1"/>
          <w:sz w:val="30"/>
          <w:szCs w:val="30"/>
          <w14:textFill>
            <w14:solidFill>
              <w14:schemeClr w14:val="tx1"/>
            </w14:solidFill>
          </w14:textFill>
        </w:rPr>
        <w:t>项目名称：</w:t>
      </w:r>
      <w:r>
        <w:rPr>
          <w:rFonts w:hint="eastAsia"/>
          <w:color w:val="000000" w:themeColor="text1"/>
          <w:sz w:val="30"/>
          <w:szCs w:val="30"/>
          <w:u w:val="single"/>
          <w14:textFill>
            <w14:solidFill>
              <w14:schemeClr w14:val="tx1"/>
            </w14:solidFill>
          </w14:textFill>
        </w:rPr>
        <w:t xml:space="preserve">  S504宁县至湘乐（古城至石鼓段）公路改建工程        </w:t>
      </w:r>
    </w:p>
    <w:p>
      <w:pPr>
        <w:adjustRightInd w:val="0"/>
        <w:snapToGrid w:val="0"/>
        <w:spacing w:line="480" w:lineRule="auto"/>
        <w:ind w:firstLine="300" w:firstLineChars="100"/>
        <w:jc w:val="left"/>
        <w:rPr>
          <w:color w:val="000000" w:themeColor="text1"/>
          <w:sz w:val="30"/>
          <w:szCs w:val="30"/>
          <w:u w:val="single"/>
          <w14:textFill>
            <w14:solidFill>
              <w14:schemeClr w14:val="tx1"/>
            </w14:solidFill>
          </w14:textFill>
        </w:rPr>
      </w:pPr>
      <w:r>
        <w:rPr>
          <w:color w:val="000000" w:themeColor="text1"/>
          <w:sz w:val="30"/>
          <w:szCs w:val="30"/>
          <w14:textFill>
            <w14:solidFill>
              <w14:schemeClr w14:val="tx1"/>
            </w14:solidFill>
          </w14:textFill>
        </w:rPr>
        <w:t>建设单位（盖章）：</w:t>
      </w:r>
      <w:r>
        <w:rPr>
          <w:rFonts w:hint="eastAsia"/>
          <w:color w:val="000000" w:themeColor="text1"/>
          <w:sz w:val="30"/>
          <w:szCs w:val="30"/>
          <w:u w:val="single"/>
          <w14:textFill>
            <w14:solidFill>
              <w14:schemeClr w14:val="tx1"/>
            </w14:solidFill>
          </w14:textFill>
        </w:rPr>
        <w:t xml:space="preserve">        宁县</w:t>
      </w:r>
      <w:r>
        <w:rPr>
          <w:color w:val="000000" w:themeColor="text1"/>
          <w:sz w:val="30"/>
          <w:szCs w:val="30"/>
          <w:u w:val="single"/>
          <w14:textFill>
            <w14:solidFill>
              <w14:schemeClr w14:val="tx1"/>
            </w14:solidFill>
          </w14:textFill>
        </w:rPr>
        <w:t>交通运输局</w:t>
      </w:r>
      <w:r>
        <w:rPr>
          <w:rFonts w:hint="eastAsia"/>
          <w:color w:val="000000" w:themeColor="text1"/>
          <w:sz w:val="30"/>
          <w:szCs w:val="30"/>
          <w:u w:val="single"/>
          <w14:textFill>
            <w14:solidFill>
              <w14:schemeClr w14:val="tx1"/>
            </w14:solidFill>
          </w14:textFill>
        </w:rPr>
        <w:t xml:space="preserve">            </w:t>
      </w:r>
    </w:p>
    <w:p>
      <w:pPr>
        <w:adjustRightInd w:val="0"/>
        <w:snapToGrid w:val="0"/>
        <w:spacing w:line="480" w:lineRule="auto"/>
        <w:ind w:firstLine="300" w:firstLineChars="100"/>
        <w:jc w:val="left"/>
        <w:rPr>
          <w:color w:val="000000" w:themeColor="text1"/>
          <w:sz w:val="30"/>
          <w:szCs w:val="30"/>
          <w:u w:val="single"/>
          <w14:textFill>
            <w14:solidFill>
              <w14:schemeClr w14:val="tx1"/>
            </w14:solidFill>
          </w14:textFill>
        </w:rPr>
      </w:pPr>
      <w:r>
        <w:rPr>
          <w:color w:val="000000" w:themeColor="text1"/>
          <w:sz w:val="30"/>
          <w:szCs w:val="30"/>
          <w14:textFill>
            <w14:solidFill>
              <w14:schemeClr w14:val="tx1"/>
            </w14:solidFill>
          </w14:textFill>
        </w:rPr>
        <w:t>编制日期：</w:t>
      </w:r>
      <w:r>
        <w:rPr>
          <w:color w:val="000000" w:themeColor="text1"/>
          <w:sz w:val="30"/>
          <w:szCs w:val="30"/>
          <w:u w:val="single"/>
          <w14:textFill>
            <w14:solidFill>
              <w14:schemeClr w14:val="tx1"/>
            </w14:solidFill>
          </w14:textFill>
        </w:rPr>
        <w:t xml:space="preserve">         </w:t>
      </w:r>
      <w:r>
        <w:rPr>
          <w:rFonts w:hint="eastAsia"/>
          <w:color w:val="000000" w:themeColor="text1"/>
          <w:sz w:val="30"/>
          <w:szCs w:val="30"/>
          <w:u w:val="single"/>
          <w14:textFill>
            <w14:solidFill>
              <w14:schemeClr w14:val="tx1"/>
            </w14:solidFill>
          </w14:textFill>
        </w:rPr>
        <w:t xml:space="preserve">      </w:t>
      </w:r>
      <w:r>
        <w:rPr>
          <w:color w:val="000000" w:themeColor="text1"/>
          <w:sz w:val="30"/>
          <w:szCs w:val="30"/>
          <w:u w:val="single"/>
          <w14:textFill>
            <w14:solidFill>
              <w14:schemeClr w14:val="tx1"/>
            </w14:solidFill>
          </w14:textFill>
        </w:rPr>
        <w:t>二〇二</w:t>
      </w:r>
      <w:r>
        <w:rPr>
          <w:rFonts w:hint="eastAsia"/>
          <w:color w:val="000000" w:themeColor="text1"/>
          <w:sz w:val="30"/>
          <w:szCs w:val="30"/>
          <w:u w:val="single"/>
          <w14:textFill>
            <w14:solidFill>
              <w14:schemeClr w14:val="tx1"/>
            </w14:solidFill>
          </w14:textFill>
        </w:rPr>
        <w:t>三</w:t>
      </w:r>
      <w:r>
        <w:rPr>
          <w:color w:val="000000" w:themeColor="text1"/>
          <w:sz w:val="30"/>
          <w:szCs w:val="30"/>
          <w:u w:val="single"/>
          <w14:textFill>
            <w14:solidFill>
              <w14:schemeClr w14:val="tx1"/>
            </w14:solidFill>
          </w14:textFill>
        </w:rPr>
        <w:t>年</w:t>
      </w:r>
      <w:r>
        <w:rPr>
          <w:rFonts w:hint="eastAsia"/>
          <w:color w:val="000000" w:themeColor="text1"/>
          <w:sz w:val="30"/>
          <w:szCs w:val="30"/>
          <w:u w:val="single"/>
          <w:lang w:val="en-US" w:eastAsia="zh-CN"/>
          <w14:textFill>
            <w14:solidFill>
              <w14:schemeClr w14:val="tx1"/>
            </w14:solidFill>
          </w14:textFill>
        </w:rPr>
        <w:t>五</w:t>
      </w:r>
      <w:r>
        <w:rPr>
          <w:color w:val="000000" w:themeColor="text1"/>
          <w:sz w:val="30"/>
          <w:szCs w:val="30"/>
          <w:u w:val="single"/>
          <w14:textFill>
            <w14:solidFill>
              <w14:schemeClr w14:val="tx1"/>
            </w14:solidFill>
          </w14:textFill>
        </w:rPr>
        <w:t xml:space="preserve">月        </w:t>
      </w:r>
      <w:r>
        <w:rPr>
          <w:rFonts w:hint="eastAsia"/>
          <w:color w:val="000000" w:themeColor="text1"/>
          <w:sz w:val="30"/>
          <w:szCs w:val="30"/>
          <w:u w:val="single"/>
          <w14:textFill>
            <w14:solidFill>
              <w14:schemeClr w14:val="tx1"/>
            </w14:solidFill>
          </w14:textFill>
        </w:rPr>
        <w:t xml:space="preserve">   </w:t>
      </w:r>
      <w:r>
        <w:rPr>
          <w:color w:val="000000" w:themeColor="text1"/>
          <w:sz w:val="30"/>
          <w:szCs w:val="30"/>
          <w:u w:val="single"/>
          <w14:textFill>
            <w14:solidFill>
              <w14:schemeClr w14:val="tx1"/>
            </w14:solidFill>
          </w14:textFill>
        </w:rPr>
        <w:t xml:space="preserve">  </w:t>
      </w:r>
      <w:r>
        <w:rPr>
          <w:rFonts w:hint="eastAsia"/>
          <w:color w:val="000000" w:themeColor="text1"/>
          <w:sz w:val="30"/>
          <w:szCs w:val="30"/>
          <w:u w:val="single"/>
          <w14:textFill>
            <w14:solidFill>
              <w14:schemeClr w14:val="tx1"/>
            </w14:solidFill>
          </w14:textFill>
        </w:rPr>
        <w:t xml:space="preserve">  </w:t>
      </w:r>
    </w:p>
    <w:p>
      <w:pPr>
        <w:adjustRightInd w:val="0"/>
        <w:snapToGrid w:val="0"/>
        <w:spacing w:line="480" w:lineRule="auto"/>
        <w:ind w:firstLine="1040"/>
        <w:rPr>
          <w:color w:val="000000" w:themeColor="text1"/>
          <w:sz w:val="36"/>
          <w:szCs w:val="36"/>
          <w:u w:val="single"/>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pStyle w:val="9"/>
        <w:rPr>
          <w:color w:val="000000" w:themeColor="text1"/>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r>
        <w:rPr>
          <w:b/>
          <w:bCs/>
          <w:color w:val="000000" w:themeColor="text1"/>
          <w:sz w:val="36"/>
          <w:szCs w:val="36"/>
          <w14:textFill>
            <w14:solidFill>
              <w14:schemeClr w14:val="tx1"/>
            </w14:solidFill>
          </w14:textFill>
        </w:rPr>
        <w:t>中华人民共和国生态环境部制</w:t>
      </w: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pStyle w:val="11"/>
        <w:ind w:left="2940" w:firstLine="480"/>
        <w:rPr>
          <w:color w:val="000000" w:themeColor="text1"/>
          <w14:textFill>
            <w14:solidFill>
              <w14:schemeClr w14:val="tx1"/>
            </w14:solidFill>
          </w14:textFill>
        </w:rPr>
      </w:pPr>
    </w:p>
    <w:bookmarkEnd w:id="0"/>
    <w:p>
      <w:pPr>
        <w:pStyle w:val="59"/>
        <w:ind w:firstLine="480"/>
        <w:rPr>
          <w:color w:val="000000" w:themeColor="text1"/>
          <w:lang w:val="en-US"/>
          <w14:textFill>
            <w14:solidFill>
              <w14:schemeClr w14:val="tx1"/>
            </w14:solidFill>
          </w14:textFill>
        </w:rPr>
      </w:pPr>
    </w:p>
    <w:p>
      <w:pPr>
        <w:pStyle w:val="11"/>
        <w:ind w:left="2940" w:firstLine="48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adjustRightInd w:val="0"/>
        <w:snapToGrid w:val="0"/>
        <w:spacing w:line="288" w:lineRule="auto"/>
        <w:jc w:val="center"/>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b/>
          <w:snapToGrid w:val="0"/>
          <w:color w:val="000000" w:themeColor="text1"/>
          <w:sz w:val="30"/>
          <w:szCs w:val="30"/>
          <w14:textFill>
            <w14:solidFill>
              <w14:schemeClr w14:val="tx1"/>
            </w14:solidFill>
          </w14:textFill>
        </w:rPr>
        <w:t>一、建设项目基本情况</w:t>
      </w:r>
    </w:p>
    <w:tbl>
      <w:tblPr>
        <w:tblStyle w:val="30"/>
        <w:tblW w:w="90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42"/>
        <w:gridCol w:w="2353"/>
        <w:gridCol w:w="571"/>
        <w:gridCol w:w="1338"/>
        <w:gridCol w:w="23"/>
        <w:gridCol w:w="1528"/>
        <w:gridCol w:w="20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建设项目名称</w:t>
            </w:r>
          </w:p>
        </w:tc>
        <w:tc>
          <w:tcPr>
            <w:tcW w:w="7868" w:type="dxa"/>
            <w:gridSpan w:val="6"/>
            <w:vAlign w:val="center"/>
          </w:tcPr>
          <w:p>
            <w:pPr>
              <w:adjustRightInd w:val="0"/>
              <w:snapToGrid w:val="0"/>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S504宁县至湘乐（古城至石鼓段）公路改建工程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项目代码</w:t>
            </w:r>
          </w:p>
        </w:tc>
        <w:tc>
          <w:tcPr>
            <w:tcW w:w="7868" w:type="dxa"/>
            <w:gridSpan w:val="6"/>
            <w:vAlign w:val="center"/>
          </w:tcPr>
          <w:p>
            <w:pPr>
              <w:adjustRightInd w:val="0"/>
              <w:snapToGrid w:val="0"/>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2111-621000-04-01-319384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42" w:type="dxa"/>
            <w:tcMar>
              <w:top w:w="16" w:type="dxa"/>
              <w:left w:w="16" w:type="dxa"/>
              <w:right w:w="16" w:type="dxa"/>
            </w:tcMar>
            <w:vAlign w:val="center"/>
          </w:tcPr>
          <w:p>
            <w:pPr>
              <w:adjustRightInd w:val="0"/>
              <w:snapToGrid w:val="0"/>
              <w:jc w:val="center"/>
              <w:rPr>
                <w:sz w:val="24"/>
                <w:szCs w:val="21"/>
              </w:rPr>
            </w:pPr>
            <w:r>
              <w:rPr>
                <w:sz w:val="24"/>
                <w:szCs w:val="21"/>
              </w:rPr>
              <w:t>建设单位联系人</w:t>
            </w:r>
          </w:p>
        </w:tc>
        <w:tc>
          <w:tcPr>
            <w:tcW w:w="2353" w:type="dxa"/>
            <w:vAlign w:val="center"/>
          </w:tcPr>
          <w:p>
            <w:pPr>
              <w:adjustRightInd w:val="0"/>
              <w:snapToGrid w:val="0"/>
              <w:jc w:val="center"/>
              <w:rPr>
                <w:sz w:val="24"/>
                <w:szCs w:val="21"/>
              </w:rPr>
            </w:pPr>
            <w:r>
              <w:rPr>
                <w:sz w:val="24"/>
                <w:szCs w:val="21"/>
              </w:rPr>
              <w:t>任娜娜</w:t>
            </w:r>
          </w:p>
        </w:tc>
        <w:tc>
          <w:tcPr>
            <w:tcW w:w="1932" w:type="dxa"/>
            <w:gridSpan w:val="3"/>
            <w:vAlign w:val="center"/>
          </w:tcPr>
          <w:p>
            <w:pPr>
              <w:adjustRightInd w:val="0"/>
              <w:snapToGrid w:val="0"/>
              <w:jc w:val="center"/>
              <w:rPr>
                <w:sz w:val="24"/>
                <w:szCs w:val="21"/>
              </w:rPr>
            </w:pPr>
            <w:r>
              <w:rPr>
                <w:sz w:val="24"/>
                <w:szCs w:val="21"/>
              </w:rPr>
              <w:t>联系方式</w:t>
            </w:r>
          </w:p>
        </w:tc>
        <w:tc>
          <w:tcPr>
            <w:tcW w:w="3583" w:type="dxa"/>
            <w:gridSpan w:val="2"/>
            <w:vAlign w:val="center"/>
          </w:tcPr>
          <w:p>
            <w:pPr>
              <w:adjustRightInd w:val="0"/>
              <w:snapToGrid w:val="0"/>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18719729894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建设地点</w:t>
            </w:r>
          </w:p>
        </w:tc>
        <w:tc>
          <w:tcPr>
            <w:tcW w:w="7868" w:type="dxa"/>
            <w:gridSpan w:val="6"/>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甘肃省庆阳市</w:t>
            </w:r>
            <w:r>
              <w:rPr>
                <w:rFonts w:hint="eastAsia"/>
                <w:color w:val="000000" w:themeColor="text1"/>
                <w:sz w:val="24"/>
                <w:szCs w:val="21"/>
                <w14:textFill>
                  <w14:solidFill>
                    <w14:schemeClr w14:val="tx1"/>
                  </w14:solidFill>
                </w14:textFill>
              </w:rPr>
              <w:t>宁县</w:t>
            </w:r>
            <w:r>
              <w:rPr>
                <w:rFonts w:hint="eastAsia"/>
                <w:color w:val="000000" w:themeColor="text1"/>
                <w:sz w:val="24"/>
                <w:szCs w:val="21"/>
                <w:lang w:eastAsia="zh-CN"/>
                <w14:textFill>
                  <w14:solidFill>
                    <w14:schemeClr w14:val="tx1"/>
                  </w14:solidFill>
                </w14:textFill>
              </w:rPr>
              <w:t>春荣</w:t>
            </w:r>
            <w:r>
              <w:rPr>
                <w:rFonts w:hint="eastAsia"/>
                <w:color w:val="000000" w:themeColor="text1"/>
                <w:sz w:val="24"/>
                <w:szCs w:val="21"/>
                <w14:textFill>
                  <w14:solidFill>
                    <w14:schemeClr w14:val="tx1"/>
                  </w14:solidFill>
                </w14:textFill>
              </w:rPr>
              <w:t>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地理坐标</w:t>
            </w:r>
          </w:p>
        </w:tc>
        <w:tc>
          <w:tcPr>
            <w:tcW w:w="7868" w:type="dxa"/>
            <w:gridSpan w:val="6"/>
            <w:vAlign w:val="center"/>
          </w:tcPr>
          <w:p>
            <w:pPr>
              <w:pStyle w:val="15"/>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起点1：（北纬：35°44′36.072″，东经：108°14′21.326″）</w:t>
            </w:r>
          </w:p>
          <w:p>
            <w:pPr>
              <w:pStyle w:val="15"/>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终点1：（北纬：35°42′56.307″，东经：108°08′42.596″）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建设项目</w:t>
            </w:r>
          </w:p>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行业类别</w:t>
            </w:r>
          </w:p>
        </w:tc>
        <w:tc>
          <w:tcPr>
            <w:tcW w:w="2353" w:type="dxa"/>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130等级公路（不含维护；不含生命救援、应急保通工程以及国防交通保障项目；不含改扩建四级公路）中的其他（配套设施除外；不涉及环境敏感区的三级、四级公路除外）</w:t>
            </w:r>
          </w:p>
        </w:tc>
        <w:tc>
          <w:tcPr>
            <w:tcW w:w="571" w:type="dxa"/>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14:textFill>
                  <w14:solidFill>
                    <w14:schemeClr w14:val="tx1"/>
                  </w14:solidFill>
                </w14:textFill>
              </w:rPr>
              <w:t>行业类别及代码</w:t>
            </w:r>
          </w:p>
        </w:tc>
        <w:tc>
          <w:tcPr>
            <w:tcW w:w="1338" w:type="dxa"/>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14:textFill>
                  <w14:solidFill>
                    <w14:schemeClr w14:val="tx1"/>
                  </w14:solidFill>
                </w14:textFill>
              </w:rPr>
              <w:t>E4812公路工程建筑</w:t>
            </w:r>
          </w:p>
        </w:tc>
        <w:tc>
          <w:tcPr>
            <w:tcW w:w="1551" w:type="dxa"/>
            <w:gridSpan w:val="2"/>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用地（用海）面积（m</w:t>
            </w:r>
            <w:r>
              <w:rPr>
                <w:color w:val="000000" w:themeColor="text1"/>
                <w:sz w:val="24"/>
                <w:szCs w:val="21"/>
                <w:vertAlign w:val="superscript"/>
                <w14:textFill>
                  <w14:solidFill>
                    <w14:schemeClr w14:val="tx1"/>
                  </w14:solidFill>
                </w14:textFill>
              </w:rPr>
              <w:t>2</w:t>
            </w:r>
            <w:r>
              <w:rPr>
                <w:color w:val="000000" w:themeColor="text1"/>
                <w:sz w:val="24"/>
                <w:szCs w:val="21"/>
                <w14:textFill>
                  <w14:solidFill>
                    <w14:schemeClr w14:val="tx1"/>
                  </w14:solidFill>
                </w14:textFill>
              </w:rPr>
              <w:t>）/长度（km）</w:t>
            </w:r>
          </w:p>
        </w:tc>
        <w:tc>
          <w:tcPr>
            <w:tcW w:w="2055" w:type="dxa"/>
            <w:vAlign w:val="center"/>
          </w:tcPr>
          <w:p>
            <w:pPr>
              <w:adjustRightInd w:val="0"/>
              <w:snapToGrid w:val="0"/>
              <w:jc w:val="center"/>
              <w:rPr>
                <w:color w:val="000000" w:themeColor="text1"/>
                <w:sz w:val="24"/>
                <w:szCs w:val="21"/>
                <w14:textFill>
                  <w14:solidFill>
                    <w14:schemeClr w14:val="tx1"/>
                  </w14:solidFill>
                </w14:textFill>
              </w:rPr>
            </w:pPr>
            <w:r>
              <w:rPr>
                <w:rFonts w:hint="eastAsia"/>
                <w:color w:val="FF0000"/>
                <w:spacing w:val="10"/>
                <w:sz w:val="24"/>
                <w:szCs w:val="21"/>
                <w:highlight w:val="none"/>
              </w:rPr>
              <w:t>25.</w:t>
            </w:r>
            <w:r>
              <w:rPr>
                <w:rFonts w:hint="eastAsia"/>
                <w:color w:val="FF0000"/>
                <w:spacing w:val="10"/>
                <w:sz w:val="24"/>
                <w:szCs w:val="21"/>
                <w:highlight w:val="none"/>
                <w:lang w:val="en-US" w:eastAsia="zh-CN"/>
              </w:rPr>
              <w:t>111</w:t>
            </w:r>
            <w:r>
              <w:rPr>
                <w:color w:val="FF0000"/>
                <w:spacing w:val="10"/>
                <w:sz w:val="24"/>
                <w:szCs w:val="21"/>
                <w:highlight w:val="none"/>
              </w:rPr>
              <w:t>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建设性质</w:t>
            </w:r>
          </w:p>
        </w:tc>
        <w:tc>
          <w:tcPr>
            <w:tcW w:w="2353" w:type="dxa"/>
            <w:vAlign w:val="center"/>
          </w:tcPr>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□新建（迁建）</w:t>
            </w:r>
          </w:p>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sym w:font="Wingdings 2" w:char="0052"/>
            </w:r>
            <w:r>
              <w:rPr>
                <w:color w:val="000000" w:themeColor="text1"/>
                <w:sz w:val="24"/>
                <w:szCs w:val="21"/>
                <w14:textFill>
                  <w14:solidFill>
                    <w14:schemeClr w14:val="tx1"/>
                  </w14:solidFill>
                </w14:textFill>
              </w:rPr>
              <w:t>改建</w:t>
            </w:r>
          </w:p>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□扩建</w:t>
            </w:r>
          </w:p>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□技术改造</w:t>
            </w:r>
          </w:p>
        </w:tc>
        <w:tc>
          <w:tcPr>
            <w:tcW w:w="1909" w:type="dxa"/>
            <w:gridSpan w:val="2"/>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建设项目</w:t>
            </w:r>
          </w:p>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申报情形</w:t>
            </w:r>
          </w:p>
        </w:tc>
        <w:tc>
          <w:tcPr>
            <w:tcW w:w="3606" w:type="dxa"/>
            <w:gridSpan w:val="3"/>
            <w:vAlign w:val="center"/>
          </w:tcPr>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sym w:font="Wingdings 2" w:char="0052"/>
            </w:r>
            <w:r>
              <w:rPr>
                <w:color w:val="000000" w:themeColor="text1"/>
                <w:sz w:val="24"/>
                <w:szCs w:val="21"/>
                <w14:textFill>
                  <w14:solidFill>
                    <w14:schemeClr w14:val="tx1"/>
                  </w14:solidFill>
                </w14:textFill>
              </w:rPr>
              <w:t>首次申报项目</w:t>
            </w:r>
          </w:p>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□不予批准后再次申报项目</w:t>
            </w:r>
          </w:p>
          <w:p>
            <w:pPr>
              <w:adjustRightInd w:val="0"/>
              <w:snapToGrid w:val="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□超五年重新审核项目</w:t>
            </w:r>
          </w:p>
          <w:p>
            <w:pPr>
              <w:adjustRightInd w:val="0"/>
              <w:snapToGrid w:val="0"/>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项目审批（核准/</w:t>
            </w:r>
          </w:p>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备案）部门（选填）</w:t>
            </w:r>
          </w:p>
        </w:tc>
        <w:tc>
          <w:tcPr>
            <w:tcW w:w="2353" w:type="dxa"/>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w:t>
            </w:r>
          </w:p>
        </w:tc>
        <w:tc>
          <w:tcPr>
            <w:tcW w:w="1909" w:type="dxa"/>
            <w:gridSpan w:val="2"/>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项目审批（核准/</w:t>
            </w:r>
          </w:p>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备案）文号（选填）</w:t>
            </w:r>
          </w:p>
        </w:tc>
        <w:tc>
          <w:tcPr>
            <w:tcW w:w="3606" w:type="dxa"/>
            <w:gridSpan w:val="3"/>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总投资（万元）</w:t>
            </w:r>
          </w:p>
        </w:tc>
        <w:tc>
          <w:tcPr>
            <w:tcW w:w="2353" w:type="dxa"/>
            <w:vAlign w:val="center"/>
          </w:tcPr>
          <w:p>
            <w:pPr>
              <w:adjustRightInd w:val="0"/>
              <w:snapToGrid w:val="0"/>
              <w:jc w:val="center"/>
              <w:rPr>
                <w:rFonts w:hint="default" w:eastAsia="宋体"/>
                <w:color w:val="000000" w:themeColor="text1"/>
                <w:sz w:val="24"/>
                <w:szCs w:val="21"/>
                <w:lang w:val="en-US" w:eastAsia="zh-CN"/>
                <w14:textFill>
                  <w14:solidFill>
                    <w14:schemeClr w14:val="tx1"/>
                  </w14:solidFill>
                </w14:textFill>
              </w:rPr>
            </w:pPr>
            <w:r>
              <w:rPr>
                <w:rFonts w:hint="eastAsia"/>
                <w:color w:val="FF0000"/>
                <w:spacing w:val="10"/>
                <w:sz w:val="24"/>
                <w:szCs w:val="21"/>
                <w:lang w:val="en-US" w:eastAsia="zh-CN"/>
              </w:rPr>
              <w:t>8474.262</w:t>
            </w:r>
          </w:p>
        </w:tc>
        <w:tc>
          <w:tcPr>
            <w:tcW w:w="1909" w:type="dxa"/>
            <w:gridSpan w:val="2"/>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环保投资（万元）</w:t>
            </w:r>
          </w:p>
        </w:tc>
        <w:tc>
          <w:tcPr>
            <w:tcW w:w="3606" w:type="dxa"/>
            <w:gridSpan w:val="3"/>
            <w:vAlign w:val="center"/>
          </w:tcPr>
          <w:p>
            <w:pPr>
              <w:adjustRightInd w:val="0"/>
              <w:snapToGrid w:val="0"/>
              <w:jc w:val="center"/>
              <w:rPr>
                <w:color w:val="000000" w:themeColor="text1"/>
                <w:sz w:val="24"/>
                <w:szCs w:val="21"/>
                <w14:textFill>
                  <w14:solidFill>
                    <w14:schemeClr w14:val="tx1"/>
                  </w14:solidFill>
                </w14:textFill>
              </w:rPr>
            </w:pPr>
            <w:r>
              <w:rPr>
                <w:rFonts w:hint="eastAsia"/>
                <w:color w:val="000000" w:themeColor="text1"/>
                <w:spacing w:val="10"/>
                <w:sz w:val="24"/>
                <w:szCs w:val="21"/>
                <w14:textFill>
                  <w14:solidFill>
                    <w14:schemeClr w14:val="tx1"/>
                  </w14:solidFill>
                </w14:textFill>
              </w:rPr>
              <w:t>160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环保投资占比（%）</w:t>
            </w:r>
          </w:p>
        </w:tc>
        <w:tc>
          <w:tcPr>
            <w:tcW w:w="2353" w:type="dxa"/>
            <w:vAlign w:val="center"/>
          </w:tcPr>
          <w:p>
            <w:pPr>
              <w:adjustRightInd w:val="0"/>
              <w:snapToGrid w:val="0"/>
              <w:jc w:val="center"/>
              <w:rPr>
                <w:rFonts w:hint="eastAsia" w:eastAsia="宋体"/>
                <w:color w:val="000000" w:themeColor="text1"/>
                <w:sz w:val="24"/>
                <w:szCs w:val="21"/>
                <w:lang w:eastAsia="zh-CN"/>
                <w14:textFill>
                  <w14:solidFill>
                    <w14:schemeClr w14:val="tx1"/>
                  </w14:solidFill>
                </w14:textFill>
              </w:rPr>
            </w:pPr>
            <w:r>
              <w:rPr>
                <w:rFonts w:hint="eastAsia"/>
                <w:color w:val="FF0000"/>
                <w:spacing w:val="10"/>
                <w:sz w:val="24"/>
                <w:szCs w:val="21"/>
              </w:rPr>
              <w:t>1.8</w:t>
            </w:r>
            <w:r>
              <w:rPr>
                <w:rFonts w:hint="eastAsia"/>
                <w:color w:val="FF0000"/>
                <w:spacing w:val="10"/>
                <w:sz w:val="24"/>
                <w:szCs w:val="21"/>
                <w:lang w:val="en-US" w:eastAsia="zh-CN"/>
              </w:rPr>
              <w:t>9</w:t>
            </w:r>
          </w:p>
        </w:tc>
        <w:tc>
          <w:tcPr>
            <w:tcW w:w="1909" w:type="dxa"/>
            <w:gridSpan w:val="2"/>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施工工期</w:t>
            </w:r>
          </w:p>
        </w:tc>
        <w:tc>
          <w:tcPr>
            <w:tcW w:w="3606" w:type="dxa"/>
            <w:gridSpan w:val="3"/>
            <w:vAlign w:val="center"/>
          </w:tcPr>
          <w:p>
            <w:pPr>
              <w:adjustRightInd w:val="0"/>
              <w:snapToGrid w:val="0"/>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18</w:t>
            </w:r>
            <w:r>
              <w:rPr>
                <w:color w:val="000000" w:themeColor="text1"/>
                <w:sz w:val="24"/>
                <w:szCs w:val="21"/>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8" w:hRule="atLeast"/>
          <w:jc w:val="center"/>
        </w:trPr>
        <w:tc>
          <w:tcPr>
            <w:tcW w:w="1142" w:type="dxa"/>
            <w:tcMar>
              <w:top w:w="16" w:type="dxa"/>
              <w:left w:w="16" w:type="dxa"/>
              <w:right w:w="16" w:type="dxa"/>
            </w:tcMar>
            <w:vAlign w:val="center"/>
          </w:tcPr>
          <w:p>
            <w:pPr>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是否开工建设</w:t>
            </w:r>
          </w:p>
        </w:tc>
        <w:tc>
          <w:tcPr>
            <w:tcW w:w="7868" w:type="dxa"/>
            <w:gridSpan w:val="6"/>
            <w:vAlign w:val="center"/>
          </w:tcPr>
          <w:p>
            <w:pPr>
              <w:adjustRightInd w:val="0"/>
              <w:snapToGrid w:val="0"/>
              <w:ind w:firstLine="105"/>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sym w:font="Wingdings 2" w:char="0052"/>
            </w:r>
            <w:r>
              <w:rPr>
                <w:color w:val="000000" w:themeColor="text1"/>
                <w:sz w:val="24"/>
                <w:szCs w:val="21"/>
                <w14:textFill>
                  <w14:solidFill>
                    <w14:schemeClr w14:val="tx1"/>
                  </w14:solidFill>
                </w14:textFill>
              </w:rPr>
              <w:t>否</w:t>
            </w:r>
          </w:p>
          <w:p>
            <w:pPr>
              <w:adjustRightInd w:val="0"/>
              <w:snapToGrid w:val="0"/>
              <w:ind w:firstLine="92"/>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□是：</w:t>
            </w:r>
            <w:r>
              <w:rPr>
                <w:color w:val="000000" w:themeColor="text1"/>
                <w:sz w:val="24"/>
                <w:szCs w:val="21"/>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1142" w:type="dxa"/>
            <w:tcMar>
              <w:top w:w="16" w:type="dxa"/>
              <w:left w:w="16" w:type="dxa"/>
              <w:right w:w="16" w:type="dxa"/>
            </w:tcMar>
            <w:vAlign w:val="center"/>
          </w:tcPr>
          <w:p>
            <w:pPr>
              <w:autoSpaceDE w:val="0"/>
              <w:autoSpaceDN w:val="0"/>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专项评价设置情况</w:t>
            </w:r>
          </w:p>
        </w:tc>
        <w:tc>
          <w:tcPr>
            <w:tcW w:w="7868" w:type="dxa"/>
            <w:gridSpan w:val="6"/>
            <w:tcMar>
              <w:top w:w="16" w:type="dxa"/>
              <w:left w:w="16" w:type="dxa"/>
              <w:right w:w="16" w:type="dxa"/>
            </w:tcMar>
            <w:vAlign w:val="center"/>
          </w:tcPr>
          <w:tbl>
            <w:tblPr>
              <w:tblStyle w:val="30"/>
              <w:tblW w:w="78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71"/>
              <w:gridCol w:w="4691"/>
              <w:gridCol w:w="15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专项评价类别</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涉及项目类别</w:t>
                  </w:r>
                </w:p>
              </w:tc>
              <w:tc>
                <w:tcPr>
                  <w:tcW w:w="1555" w:type="dxa"/>
                  <w:tcBorders>
                    <w:tl2br w:val="nil"/>
                    <w:tr2bl w:val="nil"/>
                  </w:tcBorders>
                  <w:vAlign w:val="center"/>
                </w:tcPr>
                <w:p>
                  <w:pPr>
                    <w:pStyle w:val="71"/>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项目实际情况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地表水</w:t>
                  </w:r>
                </w:p>
              </w:tc>
              <w:tc>
                <w:tcPr>
                  <w:tcW w:w="4691" w:type="dxa"/>
                  <w:tcBorders>
                    <w:tl2br w:val="nil"/>
                    <w:tr2bl w:val="nil"/>
                  </w:tcBorders>
                  <w:vAlign w:val="center"/>
                </w:tcPr>
                <w:p>
                  <w:pPr>
                    <w:pStyle w:val="71"/>
                    <w:jc w:val="both"/>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水力发电：引水式发电、涉及调峰发电的项目；人工湖、人工湿地：全部；</w:t>
                  </w:r>
                </w:p>
                <w:p>
                  <w:pPr>
                    <w:pStyle w:val="71"/>
                    <w:jc w:val="both"/>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水库：全部；</w:t>
                  </w:r>
                </w:p>
                <w:p>
                  <w:pPr>
                    <w:pStyle w:val="71"/>
                    <w:jc w:val="both"/>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引水工程：全部（配套的管线工程等除外）；防洪除涝工程：包含水库的项目；</w:t>
                  </w:r>
                </w:p>
                <w:p>
                  <w:pPr>
                    <w:pStyle w:val="71"/>
                    <w:jc w:val="both"/>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河湖整治：涉及清淤且底泥存在重金属污染的项目</w:t>
                  </w:r>
                </w:p>
              </w:tc>
              <w:tc>
                <w:tcPr>
                  <w:tcW w:w="1555"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地下水</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陆地石油和天然气开采：全部；</w:t>
                  </w:r>
                </w:p>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地下水（含矿泉水）开采：全部；</w:t>
                  </w:r>
                </w:p>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水利、水电、交通等：含穿越可溶岩地层隧道的项目</w:t>
                  </w:r>
                </w:p>
              </w:tc>
              <w:tc>
                <w:tcPr>
                  <w:tcW w:w="1555"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生态</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涉及环境敏感区（不包括饮用水水源保护区，以居住、医疗卫生、文化教育、科研、行政办公为主要功能的区域，以及文物保护单位）的项目</w:t>
                  </w:r>
                </w:p>
              </w:tc>
              <w:tc>
                <w:tcPr>
                  <w:tcW w:w="1555"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大气</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油气、液体化工码头：全部；干散货（含煤炭、矿石）、件杂、多用途、通用码头：涉及粉尘、挥发性有机物排放的项目</w:t>
                  </w:r>
                </w:p>
              </w:tc>
              <w:tc>
                <w:tcPr>
                  <w:tcW w:w="1555"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噪声</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公路、铁路、机场等交通运输业涉及环境敏感区（以居住、医疗卫生、文化教育、科研、行政办公为主要功能的区域）的项目；城市道路（不含维护，不含支路、人行天桥、人行地道）：全部</w:t>
                  </w:r>
                </w:p>
              </w:tc>
              <w:tc>
                <w:tcPr>
                  <w:tcW w:w="1555" w:type="dxa"/>
                  <w:tcBorders>
                    <w:tl2br w:val="nil"/>
                    <w:tr2bl w:val="nil"/>
                  </w:tcBorders>
                  <w:vAlign w:val="center"/>
                </w:tcPr>
                <w:p>
                  <w:pPr>
                    <w:pStyle w:val="71"/>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FF0000"/>
                      <w:szCs w:val="21"/>
                      <w:lang w:val="en-US" w:eastAsia="zh-CN"/>
                    </w:rPr>
                    <w:t>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7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环境风险</w:t>
                  </w:r>
                </w:p>
              </w:tc>
              <w:tc>
                <w:tcPr>
                  <w:tcW w:w="4691"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石油和天然气开采：全部；油气、液体化工码头：全部；原油、 成品油、天然气管线（不含城镇天然气管线、企业厂区内管线），危 险化学品输送管线（不含企业厂区内管线）：全部</w:t>
                  </w:r>
                </w:p>
              </w:tc>
              <w:tc>
                <w:tcPr>
                  <w:tcW w:w="1555" w:type="dxa"/>
                  <w:tcBorders>
                    <w:tl2br w:val="nil"/>
                    <w:tr2bl w:val="nil"/>
                  </w:tcBorders>
                  <w:vAlign w:val="center"/>
                </w:tcPr>
                <w:p>
                  <w:pPr>
                    <w:pStyle w:val="71"/>
                    <w:rPr>
                      <w:rFonts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lang w:eastAsia="zh-CN"/>
                      <w14:textFill>
                        <w14:solidFill>
                          <w14:schemeClr w14:val="tx1"/>
                        </w14:solidFill>
                      </w14:textFill>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817" w:type="dxa"/>
                  <w:gridSpan w:val="3"/>
                  <w:tcBorders>
                    <w:tl2br w:val="nil"/>
                    <w:tr2bl w:val="nil"/>
                  </w:tcBorders>
                  <w:vAlign w:val="center"/>
                </w:tcPr>
                <w:p>
                  <w:pPr>
                    <w:pStyle w:val="9"/>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eastAsia" w:cs="Times New Roman"/>
                      <w:b w:val="0"/>
                      <w:bCs w:val="0"/>
                      <w:color w:val="000000" w:themeColor="text1"/>
                      <w:kern w:val="0"/>
                      <w:sz w:val="24"/>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1"/>
                      <w:lang w:val="en-US" w:eastAsia="zh-CN" w:bidi="ar-SA"/>
                      <w14:textFill>
                        <w14:solidFill>
                          <w14:schemeClr w14:val="tx1"/>
                        </w14:solidFill>
                      </w14:textFill>
                    </w:rPr>
                    <w:t>生态专项评价：根据建设项目环境影响报告表（生态影响类）要求涉及环境敏感区（不包括饮用水水源保护区， 以居住、 医疗卫生、 文化教育、科研、 行政办公为主要功能的区域，以及文物保护单位）的项目需要设置生态专项评价，本项目所在地</w:t>
                  </w:r>
                  <w:r>
                    <w:rPr>
                      <w:rFonts w:hint="eastAsia" w:cs="Times New Roman"/>
                      <w:b w:val="0"/>
                      <w:bCs w:val="0"/>
                      <w:color w:val="000000" w:themeColor="text1"/>
                      <w:kern w:val="0"/>
                      <w:sz w:val="24"/>
                      <w:szCs w:val="21"/>
                      <w:lang w:val="en-US" w:eastAsia="zh-CN" w:bidi="ar-SA"/>
                      <w14:textFill>
                        <w14:solidFill>
                          <w14:schemeClr w14:val="tx1"/>
                        </w14:solidFill>
                      </w14:textFill>
                    </w:rPr>
                    <w:t>宁县春荣镇，</w:t>
                  </w:r>
                  <w:r>
                    <w:rPr>
                      <w:rFonts w:hint="eastAsia" w:ascii="Times New Roman" w:hAnsi="Times New Roman" w:eastAsia="宋体" w:cs="Times New Roman"/>
                      <w:b w:val="0"/>
                      <w:bCs w:val="0"/>
                      <w:color w:val="000000" w:themeColor="text1"/>
                      <w:kern w:val="0"/>
                      <w:sz w:val="24"/>
                      <w:szCs w:val="21"/>
                      <w:lang w:val="en-US" w:eastAsia="zh-CN" w:bidi="ar-SA"/>
                      <w14:textFill>
                        <w14:solidFill>
                          <w14:schemeClr w14:val="tx1"/>
                        </w14:solidFill>
                      </w14:textFill>
                    </w:rPr>
                    <w:t>属于甘肃省水土流失重点治理区，因此需要设置生态专项评价</w:t>
                  </w:r>
                  <w:r>
                    <w:rPr>
                      <w:rFonts w:hint="eastAsia" w:cs="Times New Roman"/>
                      <w:b w:val="0"/>
                      <w:bCs w:val="0"/>
                      <w:color w:val="000000" w:themeColor="text1"/>
                      <w:kern w:val="0"/>
                      <w:sz w:val="24"/>
                      <w:szCs w:val="21"/>
                      <w:lang w:val="en-US" w:eastAsia="zh-CN" w:bidi="ar-SA"/>
                      <w14:textFill>
                        <w14:solidFill>
                          <w14:schemeClr w14:val="tx1"/>
                        </w14:solidFill>
                      </w14:textFill>
                    </w:rPr>
                    <w:t>。</w:t>
                  </w:r>
                </w:p>
                <w:p>
                  <w:pPr>
                    <w:pStyle w:val="71"/>
                    <w:jc w:val="both"/>
                    <w:rPr>
                      <w:rFonts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s="Times New Roman"/>
                      <w:b w:val="0"/>
                      <w:bCs w:val="0"/>
                      <w:color w:val="FF0000"/>
                      <w:kern w:val="0"/>
                      <w:sz w:val="24"/>
                      <w:szCs w:val="21"/>
                      <w:lang w:val="en-US" w:eastAsia="zh-CN" w:bidi="ar-SA"/>
                    </w:rPr>
                    <w:t>噪声专项评价：根据《建设项目环境影响报告表编制技术指南（生态影响类）（试行）》，公路、铁路、机场等交通运输业涉及环境敏感区（以居住、医疗卫生、文化教育、科研、行政办公为主要功能的区域）的项目，全部项目应编制声环境影响评价专项。本项目属于公路、项目涉及环境敏感区。因此本项目设置声环境影响评价专项。</w:t>
                  </w:r>
                </w:p>
              </w:tc>
            </w:tr>
          </w:tbl>
          <w:p>
            <w:pPr>
              <w:pStyle w:val="9"/>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142" w:type="dxa"/>
            <w:tcMar>
              <w:top w:w="16" w:type="dxa"/>
              <w:left w:w="16" w:type="dxa"/>
              <w:right w:w="16" w:type="dxa"/>
            </w:tcMar>
            <w:vAlign w:val="center"/>
          </w:tcPr>
          <w:p>
            <w:pPr>
              <w:autoSpaceDE w:val="0"/>
              <w:autoSpaceDN w:val="0"/>
              <w:adjustRightInd w:val="0"/>
              <w:snapToGrid w:val="0"/>
              <w:jc w:val="center"/>
              <w:rPr>
                <w:color w:val="000000" w:themeColor="text1"/>
                <w:kern w:val="0"/>
                <w:sz w:val="24"/>
                <w:szCs w:val="21"/>
                <w14:textFill>
                  <w14:solidFill>
                    <w14:schemeClr w14:val="tx1"/>
                  </w14:solidFill>
                </w14:textFill>
              </w:rPr>
            </w:pPr>
            <w:r>
              <w:rPr>
                <w:color w:val="000000" w:themeColor="text1"/>
                <w:sz w:val="24"/>
                <w:szCs w:val="21"/>
                <w14:textFill>
                  <w14:solidFill>
                    <w14:schemeClr w14:val="tx1"/>
                  </w14:solidFill>
                </w14:textFill>
              </w:rPr>
              <w:t>规划情况</w:t>
            </w:r>
          </w:p>
        </w:tc>
        <w:tc>
          <w:tcPr>
            <w:tcW w:w="7868" w:type="dxa"/>
            <w:gridSpan w:val="6"/>
            <w:tcMar>
              <w:top w:w="16" w:type="dxa"/>
              <w:left w:w="16" w:type="dxa"/>
              <w:right w:w="16" w:type="dxa"/>
            </w:tcMar>
            <w:vAlign w:val="center"/>
          </w:tcPr>
          <w:p>
            <w:pPr>
              <w:autoSpaceDE w:val="0"/>
              <w:autoSpaceDN w:val="0"/>
              <w:adjustRightInd w:val="0"/>
              <w:snapToGrid w:val="0"/>
              <w:spacing w:line="360" w:lineRule="auto"/>
              <w:ind w:firstLine="480" w:firstLineChars="200"/>
              <w:rPr>
                <w:color w:val="000000" w:themeColor="text1"/>
                <w:kern w:val="0"/>
                <w:sz w:val="24"/>
                <w:szCs w:val="21"/>
                <w14:textFill>
                  <w14:solidFill>
                    <w14:schemeClr w14:val="tx1"/>
                  </w14:solidFill>
                </w14:textFill>
              </w:rPr>
            </w:pPr>
            <w:r>
              <w:rPr>
                <w:rFonts w:hint="eastAsia"/>
                <w:color w:val="000000" w:themeColor="text1"/>
                <w:kern w:val="0"/>
                <w:sz w:val="24"/>
                <w:szCs w:val="21"/>
                <w14:textFill>
                  <w14:solidFill>
                    <w14:schemeClr w14:val="tx1"/>
                  </w14:solidFill>
                </w14:textFill>
              </w:rPr>
              <w:t>2022年该段公路由庆阳市发展和改革委员会庆市发改（2022）262号文件批准了工程可行性研究报告，S504宁县至湘乐(古城至石鼓段)公路改造工程(项目代码:2111-621000-04-01-319384)为普通省道网“6射40纵32横96联”共174条路线中的1条联络线，该项目作为规划普通省道的组成部分，也是宁县县城通往石鼓的重要通道。该项目的实施对改善石鼓对外交通联系，加块当地交通基础设施建设，推动乡村振兴，改善群众出行具有十分重要的意义。</w:t>
            </w:r>
          </w:p>
          <w:p>
            <w:pPr>
              <w:autoSpaceDE w:val="0"/>
              <w:autoSpaceDN w:val="0"/>
              <w:adjustRightInd w:val="0"/>
              <w:snapToGrid w:val="0"/>
              <w:spacing w:line="360" w:lineRule="auto"/>
              <w:ind w:firstLine="480" w:firstLineChars="200"/>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因此，本项目建设符合《庆阳市“十四五”交通运输发展规划》。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1142" w:type="dxa"/>
            <w:tcMar>
              <w:top w:w="16" w:type="dxa"/>
              <w:left w:w="16" w:type="dxa"/>
              <w:right w:w="16" w:type="dxa"/>
            </w:tcMar>
            <w:vAlign w:val="center"/>
          </w:tcPr>
          <w:p>
            <w:pPr>
              <w:autoSpaceDE w:val="0"/>
              <w:autoSpaceDN w:val="0"/>
              <w:adjustRightInd w:val="0"/>
              <w:snapToGrid w:val="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规划环境影响</w:t>
            </w:r>
          </w:p>
          <w:p>
            <w:pPr>
              <w:autoSpaceDE w:val="0"/>
              <w:autoSpaceDN w:val="0"/>
              <w:adjustRightInd w:val="0"/>
              <w:snapToGrid w:val="0"/>
              <w:jc w:val="center"/>
              <w:rPr>
                <w:color w:val="000000" w:themeColor="text1"/>
                <w:kern w:val="0"/>
                <w:sz w:val="24"/>
                <w:szCs w:val="21"/>
                <w14:textFill>
                  <w14:solidFill>
                    <w14:schemeClr w14:val="tx1"/>
                  </w14:solidFill>
                </w14:textFill>
              </w:rPr>
            </w:pPr>
            <w:r>
              <w:rPr>
                <w:color w:val="000000" w:themeColor="text1"/>
                <w:sz w:val="24"/>
                <w:szCs w:val="21"/>
                <w14:textFill>
                  <w14:solidFill>
                    <w14:schemeClr w14:val="tx1"/>
                  </w14:solidFill>
                </w14:textFill>
              </w:rPr>
              <w:t>评价情况</w:t>
            </w:r>
          </w:p>
        </w:tc>
        <w:tc>
          <w:tcPr>
            <w:tcW w:w="7868" w:type="dxa"/>
            <w:gridSpan w:val="6"/>
            <w:tcMar>
              <w:top w:w="16" w:type="dxa"/>
              <w:left w:w="16" w:type="dxa"/>
              <w:right w:w="16" w:type="dxa"/>
            </w:tcMar>
            <w:vAlign w:val="center"/>
          </w:tcPr>
          <w:p>
            <w:pPr>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1142" w:type="dxa"/>
            <w:tcMar>
              <w:top w:w="16" w:type="dxa"/>
              <w:left w:w="16" w:type="dxa"/>
              <w:right w:w="16" w:type="dxa"/>
            </w:tcMar>
            <w:vAlign w:val="center"/>
          </w:tcPr>
          <w:p>
            <w:pPr>
              <w:autoSpaceDE w:val="0"/>
              <w:autoSpaceDN w:val="0"/>
              <w:adjustRightInd w:val="0"/>
              <w:snapToGrid w:val="0"/>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规划及</w:t>
            </w:r>
            <w:r>
              <w:rPr>
                <w:color w:val="000000" w:themeColor="text1"/>
                <w:sz w:val="24"/>
                <w:szCs w:val="21"/>
                <w14:textFill>
                  <w14:solidFill>
                    <w14:schemeClr w14:val="tx1"/>
                  </w14:solidFill>
                </w14:textFill>
              </w:rPr>
              <w:t>规划环境影响评价</w:t>
            </w:r>
            <w:r>
              <w:rPr>
                <w:color w:val="000000" w:themeColor="text1"/>
                <w:kern w:val="0"/>
                <w:sz w:val="24"/>
                <w:szCs w:val="21"/>
                <w14:textFill>
                  <w14:solidFill>
                    <w14:schemeClr w14:val="tx1"/>
                  </w14:solidFill>
                </w14:textFill>
              </w:rPr>
              <w:t>符合性分析</w:t>
            </w:r>
          </w:p>
        </w:tc>
        <w:tc>
          <w:tcPr>
            <w:tcW w:w="7868" w:type="dxa"/>
            <w:gridSpan w:val="6"/>
            <w:tcMar>
              <w:top w:w="16" w:type="dxa"/>
              <w:left w:w="16" w:type="dxa"/>
              <w:right w:w="16" w:type="dxa"/>
            </w:tcMar>
            <w:vAlign w:val="center"/>
          </w:tcPr>
          <w:p>
            <w:pPr>
              <w:pStyle w:val="51"/>
              <w:ind w:firstLine="0"/>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39" w:hRule="atLeast"/>
          <w:jc w:val="center"/>
        </w:trPr>
        <w:tc>
          <w:tcPr>
            <w:tcW w:w="1142"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bookmarkStart w:id="1" w:name="_Hlk56690880"/>
            <w:r>
              <w:rPr>
                <w:color w:val="000000" w:themeColor="text1"/>
                <w:kern w:val="0"/>
                <w:sz w:val="24"/>
                <w14:textFill>
                  <w14:solidFill>
                    <w14:schemeClr w14:val="tx1"/>
                  </w14:solidFill>
                </w14:textFill>
              </w:rPr>
              <w:t>其他符合性分析</w:t>
            </w:r>
            <w:bookmarkEnd w:id="1"/>
          </w:p>
        </w:tc>
        <w:tc>
          <w:tcPr>
            <w:tcW w:w="7868" w:type="dxa"/>
            <w:gridSpan w:val="6"/>
            <w:tcMar>
              <w:top w:w="16" w:type="dxa"/>
              <w:left w:w="16" w:type="dxa"/>
              <w:right w:w="16" w:type="dxa"/>
            </w:tcMar>
          </w:tcPr>
          <w:p>
            <w:pPr>
              <w:spacing w:line="360" w:lineRule="auto"/>
              <w:outlineLvl w:val="2"/>
            </w:pPr>
            <w:r>
              <w:t>产业政策符合性分析</w:t>
            </w:r>
          </w:p>
          <w:p>
            <w:pPr>
              <w:spacing w:line="360" w:lineRule="auto"/>
              <w:ind w:right="-1" w:firstLine="420" w:firstLineChars="200"/>
              <w:contextualSpacing/>
            </w:pPr>
            <w:r>
              <w:t>本项目为农村公路建设，对照《产业结构调整指导目录（2019年本）》，本项目属于鼓励类中“二十四、公路及道路运输（含城市客运）：</w:t>
            </w:r>
            <w:r>
              <w:rPr>
                <w:rFonts w:hint="eastAsia"/>
              </w:rPr>
              <w:t>2</w:t>
            </w:r>
            <w:r>
              <w:t>、</w:t>
            </w:r>
            <w:r>
              <w:rPr>
                <w:rFonts w:hint="eastAsia"/>
              </w:rPr>
              <w:t>国省干线升级改造</w:t>
            </w:r>
            <w:r>
              <w:t>”，符合国家产业政策要求。</w:t>
            </w:r>
          </w:p>
          <w:p>
            <w:pPr>
              <w:spacing w:line="360" w:lineRule="auto"/>
              <w:outlineLvl w:val="2"/>
            </w:pPr>
            <w:r>
              <w:t>“三线一单”环境管控单元</w:t>
            </w:r>
          </w:p>
          <w:p>
            <w:pPr>
              <w:pStyle w:val="98"/>
              <w:ind w:firstLine="480"/>
            </w:pPr>
            <w:r>
              <w:t>根据《甘肃省人民政府关于实施“三线一单”生态环境分区管控的意见》（甘政发〔2020〕68号）及《庆阳市人民政府关于印发庆阳市“三线一单”生态环境分区管控实施方案的通知》（庆政发〔2021〕29号）和《庆阳市区域空间生态环境评价“三线一单”研究报告》相关要求，项目相符性分析如下：</w:t>
            </w:r>
          </w:p>
          <w:p>
            <w:pPr>
              <w:pStyle w:val="98"/>
              <w:ind w:firstLine="480"/>
            </w:pPr>
            <w:r>
              <w:t>根据《庆阳市人民政府关于印发庆阳市“三线一单”生态环境分区管控实施方案的通知》（庆政发〔2021〕29号），全市共划定环境管控单元72个，分为优先保护单元、重点管控单元和一般管控单元三类，实施分类管控。</w:t>
            </w:r>
          </w:p>
          <w:p>
            <w:pPr>
              <w:pStyle w:val="98"/>
              <w:ind w:firstLine="480"/>
            </w:pPr>
            <w:r>
              <w:t>优先保护单元。共42个，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pPr>
              <w:pStyle w:val="98"/>
              <w:ind w:firstLine="480"/>
            </w:pPr>
            <w:r>
              <w:t>重点管控单元。共22个，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pPr>
              <w:pStyle w:val="98"/>
              <w:ind w:firstLine="480"/>
            </w:pPr>
            <w:r>
              <w:t>―般管控单元。共8个，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p>
            <w:pPr>
              <w:pStyle w:val="98"/>
              <w:ind w:firstLine="480"/>
            </w:pPr>
            <w:r>
              <w:t>生态环境分区管控单元根据生态保护红线和相关生态功能区域评估调整进行优化。</w:t>
            </w:r>
          </w:p>
          <w:p>
            <w:pPr>
              <w:pStyle w:val="98"/>
              <w:ind w:firstLine="480"/>
              <w:rPr>
                <w:color w:val="0000FF"/>
              </w:rPr>
            </w:pPr>
            <w:r>
              <w:t>本项目属于</w:t>
            </w:r>
            <w:r>
              <w:rPr>
                <w:rFonts w:hint="eastAsia"/>
              </w:rPr>
              <w:t>宁县</w:t>
            </w:r>
            <w:r>
              <w:t>优先保护单元中一般生态空间和</w:t>
            </w:r>
            <w:r>
              <w:rPr>
                <w:rFonts w:hint="eastAsia"/>
              </w:rPr>
              <w:t>重点</w:t>
            </w:r>
            <w:r>
              <w:t>管控单元，根据要求，</w:t>
            </w:r>
            <w:r>
              <w:rPr>
                <w:rFonts w:hint="eastAsia"/>
              </w:rPr>
              <w:t>重点</w:t>
            </w:r>
            <w:r>
              <w:t>管控单元主要推进产业结构和能源结构调整，优化交通结构和用地结构，不断提高资源能源利用效率，加强污染物排放控制和环境风险防控，解决突出生态环境问题。</w:t>
            </w:r>
            <w:r>
              <w:rPr>
                <w:color w:val="0000FF"/>
              </w:rPr>
              <w:t>本项目</w:t>
            </w:r>
            <w:r>
              <w:rPr>
                <w:rFonts w:hint="eastAsia"/>
                <w:color w:val="0000FF"/>
              </w:rPr>
              <w:t>为医疗服务</w:t>
            </w:r>
            <w:r>
              <w:rPr>
                <w:color w:val="0000FF"/>
              </w:rPr>
              <w:t>，项目的建设符合</w:t>
            </w:r>
            <w:r>
              <w:rPr>
                <w:rFonts w:hint="eastAsia"/>
                <w:color w:val="0000FF"/>
              </w:rPr>
              <w:t>重点</w:t>
            </w:r>
            <w:r>
              <w:rPr>
                <w:color w:val="0000FF"/>
              </w:rPr>
              <w:t>管控单元要求。本项目在</w:t>
            </w:r>
            <w:r>
              <w:rPr>
                <w:rFonts w:hint="eastAsia"/>
                <w:color w:val="0000FF"/>
              </w:rPr>
              <w:t>庆阳市</w:t>
            </w:r>
            <w:r>
              <w:rPr>
                <w:color w:val="0000FF"/>
              </w:rPr>
              <w:t>生态环境管控单元分布图中位置见附图。</w:t>
            </w:r>
          </w:p>
          <w:p>
            <w:pPr>
              <w:pStyle w:val="98"/>
              <w:ind w:firstLine="480"/>
            </w:pPr>
            <w:r>
              <w:t>⑴生态保护红线</w:t>
            </w:r>
          </w:p>
          <w:p>
            <w:pPr>
              <w:pStyle w:val="98"/>
              <w:ind w:firstLine="480"/>
            </w:pPr>
            <w:r>
              <w:rPr>
                <w:rFonts w:hint="eastAsia"/>
              </w:rPr>
              <w:t>根据项目的设计资料，项目路线穿越宁县春荣镇路户村安头组2#机井水源地二级保护区，本次环评要求建设单位</w:t>
            </w:r>
            <w:r>
              <w:t>在与饮用水水源二级保护区边界交叉的公路的两侧，分别设置进入、驶离饮用水水源二级保护区的道路警示牌；在穿越饮用水水源保护区的路段的两侧建设防撞护栏和事故导流槽，在地势较低处建设</w:t>
            </w:r>
            <w:r>
              <w:rPr>
                <w:rFonts w:hint="eastAsia"/>
              </w:rPr>
              <w:t>蒸发池</w:t>
            </w:r>
            <w:r>
              <w:t>，确保事故污水能全部收集并自流进入</w:t>
            </w:r>
            <w:r>
              <w:rPr>
                <w:rFonts w:hint="eastAsia"/>
              </w:rPr>
              <w:t>蒸发池</w:t>
            </w:r>
            <w:r>
              <w:t>；在驶入饮用水水源保护区的路口设置禁止危险化学品运输车辆通行标志牌</w:t>
            </w:r>
            <w:r>
              <w:rPr>
                <w:rFonts w:hint="eastAsia"/>
              </w:rPr>
              <w:t>，保护饮用水源，项目建设能够满足生态保护红线、环境质量底线、资源利用上线要求，符合环境准入要求。因此，项目能够满足环境准入标准和要求。本项目与水源保护区位置关系图见附图。</w:t>
            </w:r>
          </w:p>
          <w:p>
            <w:pPr>
              <w:pStyle w:val="98"/>
              <w:ind w:firstLine="480"/>
            </w:pPr>
            <w:r>
              <w:t>⑵环境质量底线</w:t>
            </w:r>
          </w:p>
          <w:p>
            <w:pPr>
              <w:pStyle w:val="98"/>
              <w:ind w:firstLine="480"/>
            </w:pPr>
            <w:r>
              <w:t>1）大气环境质量底线</w:t>
            </w:r>
          </w:p>
          <w:p>
            <w:pPr>
              <w:pStyle w:val="98"/>
              <w:ind w:firstLine="480"/>
            </w:pPr>
            <w:r>
              <w:t>本项目位于</w:t>
            </w:r>
            <w:r>
              <w:rPr>
                <w:rFonts w:hint="eastAsia"/>
              </w:rPr>
              <w:t>宁县</w:t>
            </w:r>
            <w:r>
              <w:t>，根据《庆阳市202</w:t>
            </w:r>
            <w:r>
              <w:rPr>
                <w:rFonts w:hint="eastAsia"/>
              </w:rPr>
              <w:t>1</w:t>
            </w:r>
            <w:r>
              <w:t>年环境空气质量月报》</w:t>
            </w:r>
            <w:r>
              <w:rPr>
                <w:rFonts w:hint="eastAsia"/>
              </w:rPr>
              <w:t>中宁县数据</w:t>
            </w:r>
            <w:r>
              <w:t>，项目评价区域环境空气中SO2、NO2、PM10、PM2.5、CO、O3、TSP均满足《环境空气质量标准》（GB3095-2012）及其2018年修改单中二级标准，评价区域环境空气质量良好。本项目实施后对区域环境大气环境等影响较小，不会改变评价区大气环境功能区划要求，符合环境质量底线要求。</w:t>
            </w:r>
          </w:p>
          <w:p>
            <w:pPr>
              <w:pStyle w:val="98"/>
              <w:ind w:firstLine="480"/>
            </w:pPr>
            <w:r>
              <w:t>2）水环境质量底线</w:t>
            </w:r>
          </w:p>
          <w:p>
            <w:pPr>
              <w:pStyle w:val="98"/>
              <w:ind w:firstLine="480"/>
            </w:pPr>
            <w:r>
              <w:t>根据地表水监测数据，项目所在区域因子能够满足《地表水环境质量标准》（GB3838-2002）中</w:t>
            </w:r>
            <w:r>
              <w:fldChar w:fldCharType="begin"/>
            </w:r>
            <w:r>
              <w:instrText xml:space="preserve"> = 4 \* ROMAN \* MERGEFORMAT </w:instrText>
            </w:r>
            <w:r>
              <w:fldChar w:fldCharType="separate"/>
            </w:r>
            <w:r>
              <w:t>IV</w:t>
            </w:r>
            <w:r>
              <w:fldChar w:fldCharType="end"/>
            </w:r>
            <w:r>
              <w:t>类标准限值。项目运行期</w:t>
            </w:r>
            <w:r>
              <w:rPr>
                <w:rFonts w:hint="eastAsia"/>
              </w:rPr>
              <w:t>不排放废水，</w:t>
            </w:r>
            <w:r>
              <w:t>对区域地表水环境影响较小，不会改变评价区水环境功能区划要求。</w:t>
            </w:r>
          </w:p>
          <w:p>
            <w:pPr>
              <w:pStyle w:val="98"/>
              <w:ind w:firstLine="480"/>
            </w:pPr>
            <w:r>
              <w:t>综上所述，本项目的建设符合当地环境质量底线。</w:t>
            </w:r>
          </w:p>
          <w:p>
            <w:pPr>
              <w:pStyle w:val="98"/>
              <w:ind w:firstLine="480"/>
            </w:pPr>
            <w:r>
              <w:t>（3）资源利用上线</w:t>
            </w:r>
          </w:p>
          <w:p>
            <w:pPr>
              <w:pStyle w:val="98"/>
              <w:ind w:firstLine="480"/>
            </w:pPr>
            <w:r>
              <w:t>本项目运营过程中消耗一定量的电源、水资源等，项目消耗量相对区域资源利用总量较少，符合资源利用上限要求。</w:t>
            </w:r>
          </w:p>
          <w:p>
            <w:pPr>
              <w:widowControl/>
              <w:spacing w:line="360" w:lineRule="auto"/>
              <w:ind w:firstLine="420" w:firstLineChars="200"/>
              <w:jc w:val="left"/>
            </w:pPr>
            <w:r>
              <w:t>（4）与生态环境准入清单的对照</w:t>
            </w:r>
          </w:p>
          <w:p>
            <w:pPr>
              <w:widowControl/>
              <w:spacing w:line="360" w:lineRule="auto"/>
              <w:ind w:firstLine="420" w:firstLineChars="200"/>
              <w:jc w:val="left"/>
            </w:pPr>
            <w:r>
              <w:t>本项目建设地点位于甘肃省庆阳市</w:t>
            </w:r>
            <w:r>
              <w:rPr>
                <w:rFonts w:hint="eastAsia"/>
              </w:rPr>
              <w:t>宁县</w:t>
            </w:r>
            <w:r>
              <w:t>，属于</w:t>
            </w:r>
            <w:r>
              <w:rPr>
                <w:rFonts w:hint="eastAsia"/>
              </w:rPr>
              <w:t>宁县</w:t>
            </w:r>
            <w:r>
              <w:t>优先保护单元中一般生态空间和</w:t>
            </w:r>
            <w:r>
              <w:rPr>
                <w:rFonts w:hint="eastAsia"/>
              </w:rPr>
              <w:t>重点</w:t>
            </w:r>
            <w:r>
              <w:t>管控单元。本项目与《庆阳市生态环境准入清单（试行）》（庆环委办发〔2022〕2号）</w:t>
            </w:r>
            <w:r>
              <w:rPr>
                <w:rFonts w:hint="eastAsia"/>
              </w:rPr>
              <w:t>中管控要求符合性分析内容详见表1-1。</w:t>
            </w:r>
          </w:p>
          <w:p>
            <w:pPr>
              <w:adjustRightInd w:val="0"/>
              <w:snapToGrid w:val="0"/>
              <w:spacing w:line="360" w:lineRule="exact"/>
              <w:ind w:firstLine="480"/>
              <w:jc w:val="center"/>
            </w:pPr>
            <w:r>
              <w:t xml:space="preserve">表1-1 </w:t>
            </w:r>
            <w:r>
              <w:rPr>
                <w:rFonts w:hint="eastAsia"/>
              </w:rPr>
              <w:t xml:space="preserve"> 生态环境准入清单</w:t>
            </w:r>
          </w:p>
          <w:tbl>
            <w:tblPr>
              <w:tblStyle w:val="30"/>
              <w:tblW w:w="78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4"/>
              <w:gridCol w:w="695"/>
              <w:gridCol w:w="559"/>
              <w:gridCol w:w="759"/>
              <w:gridCol w:w="2122"/>
              <w:gridCol w:w="2307"/>
              <w:gridCol w:w="6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7"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pPr>
                    <w:widowControl/>
                    <w:ind w:left="-90" w:leftChars="-43" w:right="-105" w:rightChars="-50"/>
                    <w:jc w:val="center"/>
                  </w:pPr>
                  <w:r>
                    <w:t>环境管控单元编码</w:t>
                  </w:r>
                </w:p>
              </w:tc>
              <w:tc>
                <w:tcPr>
                  <w:tcW w:w="695" w:type="dxa"/>
                  <w:tcBorders>
                    <w:top w:val="single" w:color="auto" w:sz="4" w:space="0"/>
                    <w:left w:val="single" w:color="auto" w:sz="4" w:space="0"/>
                    <w:bottom w:val="single" w:color="auto" w:sz="4" w:space="0"/>
                    <w:right w:val="single" w:color="auto" w:sz="4" w:space="0"/>
                  </w:tcBorders>
                  <w:vAlign w:val="center"/>
                </w:tcPr>
                <w:p>
                  <w:pPr>
                    <w:widowControl/>
                    <w:ind w:left="-42" w:leftChars="-20" w:right="-105" w:rightChars="-50"/>
                    <w:jc w:val="center"/>
                  </w:pPr>
                  <w:r>
                    <w:t>环境管控单元名称</w:t>
                  </w:r>
                </w:p>
              </w:tc>
              <w:tc>
                <w:tcPr>
                  <w:tcW w:w="559" w:type="dxa"/>
                  <w:tcBorders>
                    <w:top w:val="single" w:color="auto" w:sz="4" w:space="0"/>
                    <w:left w:val="single" w:color="auto" w:sz="4" w:space="0"/>
                    <w:bottom w:val="single" w:color="auto" w:sz="4" w:space="0"/>
                    <w:right w:val="single" w:color="auto" w:sz="4" w:space="0"/>
                  </w:tcBorders>
                  <w:vAlign w:val="center"/>
                </w:tcPr>
                <w:p>
                  <w:pPr>
                    <w:widowControl/>
                    <w:ind w:left="-105" w:leftChars="-50" w:right="-69" w:rightChars="-33"/>
                    <w:jc w:val="center"/>
                  </w:pPr>
                  <w:r>
                    <w:t>环境管控单元类别</w:t>
                  </w:r>
                </w:p>
              </w:tc>
              <w:tc>
                <w:tcPr>
                  <w:tcW w:w="2881" w:type="dxa"/>
                  <w:gridSpan w:val="2"/>
                  <w:tcBorders>
                    <w:top w:val="single" w:color="auto" w:sz="4" w:space="0"/>
                    <w:left w:val="single" w:color="auto" w:sz="4" w:space="0"/>
                    <w:bottom w:val="single" w:color="auto" w:sz="4" w:space="0"/>
                    <w:right w:val="single" w:color="auto" w:sz="4" w:space="0"/>
                  </w:tcBorders>
                  <w:vAlign w:val="center"/>
                </w:tcPr>
                <w:p>
                  <w:pPr>
                    <w:widowControl/>
                    <w:jc w:val="center"/>
                  </w:pPr>
                  <w:r>
                    <w:t>管控要求</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center"/>
                  </w:pPr>
                  <w:r>
                    <w:t>本项目情况</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center"/>
                  </w:pPr>
                  <w:r>
                    <w:t>符合性分析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81" w:hRule="atLeast"/>
                <w:jc w:val="center"/>
              </w:trPr>
              <w:tc>
                <w:tcPr>
                  <w:tcW w:w="754" w:type="dxa"/>
                  <w:vMerge w:val="restart"/>
                  <w:tcBorders>
                    <w:top w:val="single" w:color="auto" w:sz="4" w:space="0"/>
                    <w:left w:val="single" w:color="auto" w:sz="4" w:space="0"/>
                    <w:right w:val="single" w:color="auto" w:sz="4" w:space="0"/>
                  </w:tcBorders>
                  <w:vAlign w:val="center"/>
                </w:tcPr>
                <w:p>
                  <w:pPr>
                    <w:widowControl/>
                    <w:ind w:left="-63" w:leftChars="-30" w:right="-105" w:rightChars="-50"/>
                    <w:rPr>
                      <w:rFonts w:hint="default"/>
                      <w:lang w:val="en-US" w:eastAsia="zh-CN"/>
                    </w:rPr>
                  </w:pPr>
                  <w:r>
                    <w:t>ZH62102</w:t>
                  </w:r>
                  <w:r>
                    <w:rPr>
                      <w:rFonts w:hint="eastAsia"/>
                      <w:lang w:val="en-US" w:eastAsia="zh-CN"/>
                    </w:rPr>
                    <w:t>620004</w:t>
                  </w:r>
                </w:p>
              </w:tc>
              <w:tc>
                <w:tcPr>
                  <w:tcW w:w="695" w:type="dxa"/>
                  <w:vMerge w:val="restart"/>
                  <w:tcBorders>
                    <w:top w:val="single" w:color="auto" w:sz="4" w:space="0"/>
                    <w:left w:val="single" w:color="auto" w:sz="4" w:space="0"/>
                    <w:right w:val="single" w:color="auto" w:sz="4" w:space="0"/>
                  </w:tcBorders>
                  <w:vAlign w:val="center"/>
                </w:tcPr>
                <w:p>
                  <w:pPr>
                    <w:widowControl/>
                    <w:jc w:val="center"/>
                  </w:pPr>
                  <w:r>
                    <w:rPr>
                      <w:rFonts w:hint="eastAsia"/>
                    </w:rPr>
                    <w:t>宁县重点管控单元02</w:t>
                  </w:r>
                </w:p>
              </w:tc>
              <w:tc>
                <w:tcPr>
                  <w:tcW w:w="559" w:type="dxa"/>
                  <w:vMerge w:val="restart"/>
                  <w:tcBorders>
                    <w:top w:val="single" w:color="auto" w:sz="4" w:space="0"/>
                    <w:left w:val="single" w:color="auto" w:sz="4" w:space="0"/>
                    <w:right w:val="single" w:color="auto" w:sz="4" w:space="0"/>
                  </w:tcBorders>
                  <w:vAlign w:val="center"/>
                </w:tcPr>
                <w:p>
                  <w:pPr>
                    <w:widowControl/>
                    <w:jc w:val="center"/>
                    <w:rPr>
                      <w:rFonts w:hint="eastAsia"/>
                      <w:lang w:eastAsia="zh-CN"/>
                    </w:rPr>
                  </w:pPr>
                  <w:r>
                    <w:rPr>
                      <w:rFonts w:hint="eastAsia"/>
                    </w:rPr>
                    <w:t>重点</w:t>
                  </w:r>
                  <w:r>
                    <w:t>管控单元</w:t>
                  </w:r>
                  <w:r>
                    <w:rPr>
                      <w:rFonts w:hint="eastAsia"/>
                    </w:rPr>
                    <w:t>0</w:t>
                  </w:r>
                  <w:r>
                    <w:rPr>
                      <w:rFonts w:hint="eastAsia"/>
                      <w:lang w:val="en-US" w:eastAsia="zh-CN"/>
                    </w:rPr>
                    <w:t>4</w:t>
                  </w:r>
                </w:p>
              </w:tc>
              <w:tc>
                <w:tcPr>
                  <w:tcW w:w="759"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空间布局约束</w:t>
                  </w:r>
                </w:p>
              </w:tc>
              <w:tc>
                <w:tcPr>
                  <w:tcW w:w="2122"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严格执行国家相关法律法规以及《关于深入打好污染防治攻坚战的意见》《关于加强高耗能、高排放建设项目生态环境源头防控的指导意见》《甘肃省大气污染防治条例》《甘肃省土壤污染防治条例》《甘肃省水污染防治条例》等要求。</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本项目公路改建项目，不会对污染土壤，符合要求</w:t>
                  </w:r>
                </w:p>
              </w:tc>
              <w:tc>
                <w:tcPr>
                  <w:tcW w:w="662" w:type="dxa"/>
                  <w:tcBorders>
                    <w:top w:val="single" w:color="auto" w:sz="4" w:space="0"/>
                    <w:left w:val="single" w:color="auto" w:sz="4" w:space="0"/>
                    <w:bottom w:val="single" w:color="auto" w:sz="4" w:space="0"/>
                    <w:right w:val="single" w:color="auto" w:sz="4" w:space="0"/>
                  </w:tcBorders>
                  <w:vAlign w:val="center"/>
                </w:tcPr>
                <w:p>
                  <w:pPr>
                    <w:pStyle w:val="60"/>
                    <w:jc w:val="center"/>
                    <w:rPr>
                      <w:lang w:val="en-US"/>
                    </w:rPr>
                  </w:pPr>
                  <w:r>
                    <w:rPr>
                      <w:rFonts w:hint="eastAsia"/>
                      <w:lang w:val="en-US"/>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20"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vMerge w:val="restart"/>
                  <w:tcBorders>
                    <w:top w:val="single" w:color="auto" w:sz="4" w:space="0"/>
                    <w:left w:val="single" w:color="auto" w:sz="4" w:space="0"/>
                    <w:right w:val="single" w:color="auto" w:sz="4" w:space="0"/>
                  </w:tcBorders>
                  <w:vAlign w:val="center"/>
                </w:tcPr>
                <w:p>
                  <w:pPr>
                    <w:pStyle w:val="60"/>
                    <w:rPr>
                      <w:lang w:val="en-US"/>
                    </w:rPr>
                  </w:pPr>
                  <w:r>
                    <w:rPr>
                      <w:rFonts w:hint="eastAsia"/>
                      <w:lang w:val="en-US"/>
                    </w:rPr>
                    <w:t>污染物排放管控</w:t>
                  </w:r>
                </w:p>
                <w:p>
                  <w:pPr>
                    <w:widowControl/>
                    <w:jc w:val="center"/>
                  </w:pPr>
                </w:p>
              </w:tc>
              <w:tc>
                <w:tcPr>
                  <w:tcW w:w="2122"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严格执行《关于加强高耗能、高排放建设项目生态环境源头防控的指导意见》（环环评〔2021〕45 号）的有关要求。</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本项目不属于两高项目</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vMerge w:val="continue"/>
                  <w:tcBorders>
                    <w:left w:val="single" w:color="auto" w:sz="4" w:space="0"/>
                    <w:bottom w:val="single" w:color="auto" w:sz="4" w:space="0"/>
                    <w:right w:val="single" w:color="auto" w:sz="4" w:space="0"/>
                  </w:tcBorders>
                  <w:vAlign w:val="center"/>
                </w:tcPr>
                <w:p>
                  <w:pPr>
                    <w:widowControl/>
                    <w:jc w:val="center"/>
                  </w:pPr>
                </w:p>
              </w:tc>
              <w:tc>
                <w:tcPr>
                  <w:tcW w:w="2122" w:type="dxa"/>
                  <w:tcBorders>
                    <w:top w:val="single" w:color="auto" w:sz="4" w:space="0"/>
                    <w:left w:val="single" w:color="auto" w:sz="4" w:space="0"/>
                    <w:bottom w:val="single" w:color="auto" w:sz="4" w:space="0"/>
                    <w:right w:val="single" w:color="auto" w:sz="4" w:space="0"/>
                  </w:tcBorders>
                  <w:vAlign w:val="center"/>
                </w:tcPr>
                <w:p>
                  <w:pPr>
                    <w:pStyle w:val="60"/>
                    <w:jc w:val="center"/>
                    <w:rPr>
                      <w:lang w:val="en-US"/>
                    </w:rPr>
                  </w:pPr>
                  <w:r>
                    <w:rPr>
                      <w:rFonts w:hint="eastAsia"/>
                      <w:lang w:val="en-US"/>
                    </w:rPr>
                    <w:t>控制温室气体排放</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本项目不产生和排放二氧化碳气体，符合要求</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3"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vMerge w:val="continue"/>
                  <w:tcBorders>
                    <w:left w:val="single" w:color="auto" w:sz="4" w:space="0"/>
                    <w:bottom w:val="single" w:color="auto" w:sz="4" w:space="0"/>
                    <w:right w:val="single" w:color="auto" w:sz="4" w:space="0"/>
                  </w:tcBorders>
                  <w:vAlign w:val="center"/>
                </w:tcPr>
                <w:p>
                  <w:pPr>
                    <w:widowControl/>
                    <w:jc w:val="center"/>
                  </w:pPr>
                </w:p>
              </w:tc>
              <w:tc>
                <w:tcPr>
                  <w:tcW w:w="2122"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推进工业水污染防治，严格做好化工等高耗水、高污染项目管控。</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本项目不产生和排放废水</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77"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环境风险防控</w:t>
                  </w:r>
                </w:p>
              </w:tc>
              <w:tc>
                <w:tcPr>
                  <w:tcW w:w="2122"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企业应完善包括有效防止泄漏物质、消防水、污染雨水等扩散至外环境的收集、导流、拦截、降污等突发环境事件风险防控措施。</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项目设置8座蒸发池，路两侧设置雨水导排渠</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1" w:hRule="atLeast"/>
                <w:jc w:val="center"/>
              </w:trPr>
              <w:tc>
                <w:tcPr>
                  <w:tcW w:w="754" w:type="dxa"/>
                  <w:vMerge w:val="continue"/>
                  <w:tcBorders>
                    <w:left w:val="single" w:color="auto" w:sz="4" w:space="0"/>
                    <w:bottom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bottom w:val="single" w:color="auto" w:sz="4" w:space="0"/>
                    <w:right w:val="single" w:color="auto" w:sz="4" w:space="0"/>
                  </w:tcBorders>
                  <w:vAlign w:val="center"/>
                </w:tcPr>
                <w:p>
                  <w:pPr>
                    <w:widowControl/>
                    <w:jc w:val="center"/>
                  </w:pPr>
                </w:p>
              </w:tc>
              <w:tc>
                <w:tcPr>
                  <w:tcW w:w="559" w:type="dxa"/>
                  <w:vMerge w:val="continue"/>
                  <w:tcBorders>
                    <w:left w:val="single" w:color="auto" w:sz="4" w:space="0"/>
                    <w:bottom w:val="single" w:color="auto" w:sz="4" w:space="0"/>
                    <w:right w:val="single" w:color="auto" w:sz="4" w:space="0"/>
                  </w:tcBorders>
                  <w:vAlign w:val="center"/>
                </w:tcPr>
                <w:p>
                  <w:pPr>
                    <w:widowControl/>
                    <w:jc w:val="center"/>
                  </w:pPr>
                </w:p>
              </w:tc>
              <w:tc>
                <w:tcPr>
                  <w:tcW w:w="759"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资源利用率要求</w:t>
                  </w:r>
                </w:p>
              </w:tc>
              <w:tc>
                <w:tcPr>
                  <w:tcW w:w="2122" w:type="dxa"/>
                  <w:tcBorders>
                    <w:top w:val="single" w:color="auto" w:sz="4" w:space="0"/>
                    <w:left w:val="single" w:color="auto" w:sz="4" w:space="0"/>
                    <w:bottom w:val="single" w:color="auto" w:sz="4" w:space="0"/>
                    <w:right w:val="single" w:color="auto" w:sz="4" w:space="0"/>
                  </w:tcBorders>
                  <w:vAlign w:val="center"/>
                </w:tcPr>
                <w:p>
                  <w:pPr>
                    <w:pStyle w:val="60"/>
                    <w:rPr>
                      <w:lang w:val="en-US"/>
                    </w:rPr>
                  </w:pPr>
                  <w:r>
                    <w:rPr>
                      <w:rFonts w:hint="eastAsia"/>
                      <w:lang w:val="en-US"/>
                    </w:rPr>
                    <w:t>全市用水总量等水资源利用指标完成省上下达的目标。实行水资源消耗总量和强度双控。着力提高工业用水循环利用率，促进水资源可持续利用</w:t>
                  </w:r>
                </w:p>
              </w:tc>
              <w:tc>
                <w:tcPr>
                  <w:tcW w:w="2307" w:type="dxa"/>
                  <w:tcBorders>
                    <w:top w:val="single" w:color="auto" w:sz="4" w:space="0"/>
                    <w:left w:val="single" w:color="auto" w:sz="4" w:space="0"/>
                    <w:bottom w:val="single" w:color="auto" w:sz="4" w:space="0"/>
                    <w:right w:val="single" w:color="auto" w:sz="4" w:space="0"/>
                  </w:tcBorders>
                  <w:vAlign w:val="center"/>
                </w:tcPr>
                <w:p>
                  <w:pPr>
                    <w:pStyle w:val="60"/>
                    <w:jc w:val="center"/>
                    <w:rPr>
                      <w:lang w:val="en-US"/>
                    </w:rPr>
                  </w:pPr>
                  <w:r>
                    <w:rPr>
                      <w:rFonts w:hint="eastAsia"/>
                      <w:lang w:val="en-US"/>
                    </w:rPr>
                    <w:t>项目建成后不消耗资源</w:t>
                  </w:r>
                </w:p>
              </w:tc>
              <w:tc>
                <w:tcPr>
                  <w:tcW w:w="66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4" w:type="dxa"/>
                  <w:vMerge w:val="restart"/>
                  <w:tcBorders>
                    <w:top w:val="single" w:color="auto" w:sz="4" w:space="0"/>
                    <w:left w:val="single" w:color="auto" w:sz="4" w:space="0"/>
                    <w:bottom w:val="single" w:color="auto" w:sz="4" w:space="0"/>
                    <w:right w:val="single" w:color="auto" w:sz="4" w:space="0"/>
                  </w:tcBorders>
                  <w:vAlign w:val="center"/>
                </w:tcPr>
                <w:p>
                  <w:pPr>
                    <w:widowControl/>
                    <w:ind w:left="-63" w:leftChars="-30" w:right="-105" w:rightChars="-50"/>
                    <w:rPr>
                      <w:rFonts w:hint="default"/>
                      <w:lang w:val="en-US" w:eastAsia="zh-CN"/>
                    </w:rPr>
                  </w:pPr>
                  <w:r>
                    <w:t>ZH62102</w:t>
                  </w:r>
                  <w:r>
                    <w:rPr>
                      <w:rFonts w:hint="eastAsia"/>
                      <w:lang w:val="en-US" w:eastAsia="zh-CN"/>
                    </w:rPr>
                    <w:t>61006</w:t>
                  </w:r>
                </w:p>
              </w:tc>
              <w:tc>
                <w:tcPr>
                  <w:tcW w:w="69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pPr>
                  <w:r>
                    <w:rPr>
                      <w:rFonts w:hint="eastAsia"/>
                    </w:rPr>
                    <w:t>一般生态空间</w:t>
                  </w:r>
                </w:p>
                <w:p>
                  <w:pPr>
                    <w:widowControl/>
                    <w:jc w:val="center"/>
                  </w:pPr>
                </w:p>
              </w:tc>
              <w:tc>
                <w:tcPr>
                  <w:tcW w:w="5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pPr>
                  <w:r>
                    <w:rPr>
                      <w:rFonts w:hint="eastAsia"/>
                    </w:rPr>
                    <w:t>优先保护单元6</w:t>
                  </w:r>
                </w:p>
                <w:p>
                  <w:pPr>
                    <w:widowControl/>
                    <w:jc w:val="center"/>
                  </w:pPr>
                </w:p>
              </w:tc>
              <w:tc>
                <w:tcPr>
                  <w:tcW w:w="759" w:type="dxa"/>
                  <w:vMerge w:val="restart"/>
                  <w:tcBorders>
                    <w:top w:val="single" w:color="auto" w:sz="4" w:space="0"/>
                    <w:left w:val="single" w:color="auto" w:sz="4" w:space="0"/>
                    <w:right w:val="single" w:color="auto" w:sz="4" w:space="0"/>
                  </w:tcBorders>
                  <w:vAlign w:val="center"/>
                </w:tcPr>
                <w:p>
                  <w:pPr>
                    <w:widowControl/>
                    <w:jc w:val="center"/>
                  </w:pPr>
                  <w:r>
                    <w:t>空间布局约束</w:t>
                  </w: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t>执行甘肃省和庆阳市生态环境总体准入清单中关于一般生态空间的管控要求以及《中华人民共和国水土保持法》《甘肃省水土保持条例》等文件中关于水土流失预防、水土流失治理相关要求。因地制宜发展不影响主体功能定位的适宜产业，限制大规模开发建设活动。</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both"/>
                  </w:pPr>
                  <w:r>
                    <w:rPr>
                      <w:rFonts w:hint="default"/>
                    </w:rPr>
                    <w:t>本项目不属于禁止开发建设和限制开发建设活动，本项目不属于《甘肃省国家重点生态功能区产业准入负面清单（试行）》限值准入行业</w:t>
                  </w:r>
                  <w:r>
                    <w:rPr>
                      <w:rFonts w:hint="eastAsia"/>
                      <w:lang w:eastAsia="zh-CN"/>
                    </w:rPr>
                    <w:t>；</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vMerge w:val="continue"/>
                  <w:tcBorders>
                    <w:left w:val="single" w:color="auto" w:sz="4" w:space="0"/>
                    <w:right w:val="single" w:color="auto" w:sz="4" w:space="0"/>
                  </w:tcBorders>
                  <w:vAlign w:val="center"/>
                </w:tcPr>
                <w:p>
                  <w:pPr>
                    <w:widowControl/>
                    <w:jc w:val="center"/>
                  </w:pP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rPr>
                      <w:rFonts w:hint="eastAsia"/>
                      <w:lang w:eastAsia="zh-CN"/>
                    </w:rPr>
                    <w:t>该区域以促进生活、生态、生产功能的协调融合为主要目标，主要落实生态环境保护基本要求，加强生活污染和农业面源污染治理，推动区域生态环境质量持续改善和区域经济社会可持续发展。</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both"/>
                    <w:rPr>
                      <w:rFonts w:hint="default"/>
                    </w:rPr>
                  </w:pPr>
                  <w:r>
                    <w:rPr>
                      <w:rFonts w:hint="eastAsia"/>
                      <w:lang w:val="en-US" w:eastAsia="zh-CN"/>
                    </w:rPr>
                    <w:t>本项目为公路建设工程，项目选线沿既有道路布设，不新增占地，施工期间采取相应的水土保持措施，项目建成后对区域主体功能发展具有促进作用</w:t>
                  </w:r>
                  <w:r>
                    <w:rPr>
                      <w:rFonts w:hint="default"/>
                    </w:rPr>
                    <w:t>。</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rPr>
                      <w:rFonts w:hint="eastAsia"/>
                    </w:rPr>
                  </w:pPr>
                  <w:r>
                    <w:rPr>
                      <w:rFonts w:hint="eastAsia"/>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4" w:type="dxa"/>
                  <w:vMerge w:val="continue"/>
                  <w:tcBorders>
                    <w:left w:val="single" w:color="auto" w:sz="4" w:space="0"/>
                    <w:right w:val="single" w:color="auto" w:sz="4" w:space="0"/>
                  </w:tcBorders>
                  <w:vAlign w:val="center"/>
                </w:tcPr>
                <w:p>
                  <w:pPr>
                    <w:widowControl/>
                    <w:ind w:left="-63" w:leftChars="-30" w:right="-105" w:rightChars="-50"/>
                  </w:pPr>
                </w:p>
              </w:tc>
              <w:tc>
                <w:tcPr>
                  <w:tcW w:w="695" w:type="dxa"/>
                  <w:vMerge w:val="continue"/>
                  <w:tcBorders>
                    <w:left w:val="single" w:color="auto" w:sz="4" w:space="0"/>
                    <w:right w:val="single" w:color="auto" w:sz="4" w:space="0"/>
                  </w:tcBorders>
                  <w:vAlign w:val="center"/>
                </w:tcPr>
                <w:p>
                  <w:pPr>
                    <w:widowControl/>
                    <w:jc w:val="center"/>
                  </w:pPr>
                </w:p>
              </w:tc>
              <w:tc>
                <w:tcPr>
                  <w:tcW w:w="559" w:type="dxa"/>
                  <w:vMerge w:val="continue"/>
                  <w:tcBorders>
                    <w:left w:val="single" w:color="auto" w:sz="4" w:space="0"/>
                    <w:right w:val="single" w:color="auto" w:sz="4" w:space="0"/>
                  </w:tcBorders>
                  <w:vAlign w:val="center"/>
                </w:tcPr>
                <w:p>
                  <w:pPr>
                    <w:widowControl/>
                    <w:jc w:val="center"/>
                  </w:pPr>
                </w:p>
              </w:tc>
              <w:tc>
                <w:tcPr>
                  <w:tcW w:w="759" w:type="dxa"/>
                  <w:vMerge w:val="continue"/>
                  <w:tcBorders>
                    <w:left w:val="single" w:color="auto" w:sz="4" w:space="0"/>
                    <w:bottom w:val="single" w:color="auto" w:sz="4" w:space="0"/>
                    <w:right w:val="single" w:color="auto" w:sz="4" w:space="0"/>
                  </w:tcBorders>
                  <w:vAlign w:val="center"/>
                </w:tcPr>
                <w:p>
                  <w:pPr>
                    <w:widowControl/>
                    <w:jc w:val="center"/>
                  </w:pP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rPr>
                      <w:rFonts w:hint="default"/>
                    </w:rPr>
                    <w:t>对列入国家和省级规划的重大民生项目、重大基础设施项目，涉及一般生态空间的，应优化空间布局、主动避让；确定无法避让的，应采取无害化方式，依法依规履行手续，强化减缓生态环境影响和生态补偿措施。</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both"/>
                    <w:rPr>
                      <w:rFonts w:hint="default"/>
                    </w:rPr>
                  </w:pPr>
                  <w:r>
                    <w:rPr>
                      <w:rFonts w:hint="eastAsia"/>
                      <w:lang w:val="en-US" w:eastAsia="zh-CN"/>
                    </w:rPr>
                    <w:t>本项目为道路工程，属于一般生态空间允许进行的活动，应依法采取避让措施，本项目选线为旧路，对当地扰动为最小，项目选线已为最优方案，项目实施期间严格按照相关要求采取水土保持措施，在一般生态空间区域内不设置临时工程，工程实施期间对区域影响在可接受范围内。</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rPr>
                      <w:rFonts w:hint="eastAsia"/>
                    </w:rPr>
                  </w:pPr>
                  <w:r>
                    <w:rPr>
                      <w:rFonts w:hint="eastAsia"/>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69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759" w:type="dxa"/>
                  <w:tcBorders>
                    <w:top w:val="single" w:color="auto" w:sz="4" w:space="0"/>
                    <w:left w:val="single" w:color="auto" w:sz="4" w:space="0"/>
                    <w:bottom w:val="single" w:color="auto" w:sz="4" w:space="0"/>
                    <w:right w:val="single" w:color="auto" w:sz="4" w:space="0"/>
                  </w:tcBorders>
                  <w:vAlign w:val="center"/>
                </w:tcPr>
                <w:p>
                  <w:pPr>
                    <w:widowControl/>
                    <w:jc w:val="center"/>
                  </w:pPr>
                  <w:r>
                    <w:t>污染物排放管控</w:t>
                  </w: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t>一般生态空间内的生产经营活动不得有损生态服务功能或进一步加剧生态敏感性，不得影响区域环境质量，污染物排放必须满足相应的污染物排放标准要求。</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ind w:left="-59" w:leftChars="-28" w:right="-113" w:rightChars="-54"/>
                    <w:jc w:val="left"/>
                  </w:pPr>
                  <w:r>
                    <w:t>本项目</w:t>
                  </w:r>
                  <w:r>
                    <w:rPr>
                      <w:rFonts w:hint="eastAsia"/>
                    </w:rPr>
                    <w:t>不属于生产开发项目，施工期建设期土方开挖辅以洒水，土方、物料堆场苫盖防尘网，土方、物料运输苫盖蓬布，路面经常清扫、洒水，大风、尘暴天气停止施工，所用水泥混凝土和沥青混凝土均外购成品，现场不进行拌和作业；沥青烟气随着铺路的结束此类影响将消失；运行期做好道路养护维修，加强路面清扫保洁，减少道路扬尘的产生，项目施工过程中不会用影响区域环境质量</w:t>
                  </w:r>
                  <w:r>
                    <w:t>。</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8"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69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759" w:type="dxa"/>
                  <w:tcBorders>
                    <w:top w:val="single" w:color="auto" w:sz="4" w:space="0"/>
                    <w:left w:val="single" w:color="auto" w:sz="4" w:space="0"/>
                    <w:bottom w:val="single" w:color="auto" w:sz="4" w:space="0"/>
                    <w:right w:val="single" w:color="auto" w:sz="4" w:space="0"/>
                  </w:tcBorders>
                  <w:vAlign w:val="center"/>
                </w:tcPr>
                <w:p>
                  <w:pPr>
                    <w:widowControl/>
                    <w:jc w:val="center"/>
                  </w:pPr>
                  <w:r>
                    <w:t>环境风险防控</w:t>
                  </w: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t>加强区域内环境风险防控，开发建设活动不得损害生态功能或加剧生态敏感性。企业应编制并完善突发环境事件应急预案并加强演练，加强环境风险防控体系建设。</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left"/>
                  </w:pPr>
                  <w:r>
                    <w:t>项目设置</w:t>
                  </w:r>
                  <w:r>
                    <w:rPr>
                      <w:rFonts w:hint="eastAsia"/>
                    </w:rPr>
                    <w:t>8座</w:t>
                  </w:r>
                  <w:r>
                    <w:t>蒸发池，路两侧设置雨水导排渠</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pPr>
                  <w:r>
                    <w:rPr>
                      <w:rFonts w:hint="eastAsi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6"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69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55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pPr>
                </w:p>
              </w:tc>
              <w:tc>
                <w:tcPr>
                  <w:tcW w:w="759" w:type="dxa"/>
                  <w:tcBorders>
                    <w:top w:val="single" w:color="auto" w:sz="4" w:space="0"/>
                    <w:left w:val="single" w:color="auto" w:sz="4" w:space="0"/>
                    <w:bottom w:val="single" w:color="auto" w:sz="4" w:space="0"/>
                    <w:right w:val="single" w:color="auto" w:sz="4" w:space="0"/>
                  </w:tcBorders>
                  <w:vAlign w:val="center"/>
                </w:tcPr>
                <w:p>
                  <w:pPr>
                    <w:widowControl/>
                    <w:jc w:val="center"/>
                  </w:pPr>
                  <w:r>
                    <w:t>资源开发效率要求</w:t>
                  </w:r>
                </w:p>
              </w:tc>
              <w:tc>
                <w:tcPr>
                  <w:tcW w:w="2122" w:type="dxa"/>
                  <w:tcBorders>
                    <w:top w:val="single" w:color="auto" w:sz="4" w:space="0"/>
                    <w:left w:val="single" w:color="auto" w:sz="4" w:space="0"/>
                    <w:bottom w:val="single" w:color="auto" w:sz="4" w:space="0"/>
                    <w:right w:val="single" w:color="auto" w:sz="4" w:space="0"/>
                  </w:tcBorders>
                  <w:vAlign w:val="center"/>
                </w:tcPr>
                <w:p>
                  <w:pPr>
                    <w:widowControl/>
                    <w:jc w:val="center"/>
                  </w:pPr>
                  <w:r>
                    <w:t>鼓励使用清洁能源，提高水资源综合利用效率，推进污水资源化利用。</w:t>
                  </w:r>
                </w:p>
              </w:tc>
              <w:tc>
                <w:tcPr>
                  <w:tcW w:w="2307" w:type="dxa"/>
                  <w:tcBorders>
                    <w:top w:val="single" w:color="auto" w:sz="4" w:space="0"/>
                    <w:left w:val="single" w:color="auto" w:sz="4" w:space="0"/>
                    <w:bottom w:val="single" w:color="auto" w:sz="4" w:space="0"/>
                    <w:right w:val="single" w:color="auto" w:sz="4" w:space="0"/>
                  </w:tcBorders>
                  <w:vAlign w:val="center"/>
                </w:tcPr>
                <w:p>
                  <w:pPr>
                    <w:widowControl/>
                    <w:jc w:val="left"/>
                  </w:pPr>
                  <w:r>
                    <w:t>本项目在施工过程中严格落实废水、废气、噪声、固体废物等各项污染防治措施，减少污染物排放。</w:t>
                  </w:r>
                </w:p>
              </w:tc>
              <w:tc>
                <w:tcPr>
                  <w:tcW w:w="662" w:type="dxa"/>
                  <w:tcBorders>
                    <w:top w:val="single" w:color="auto" w:sz="4" w:space="0"/>
                    <w:left w:val="single" w:color="auto" w:sz="4" w:space="0"/>
                    <w:bottom w:val="single" w:color="auto" w:sz="4" w:space="0"/>
                    <w:right w:val="single" w:color="auto" w:sz="4" w:space="0"/>
                  </w:tcBorders>
                  <w:vAlign w:val="center"/>
                </w:tcPr>
                <w:p>
                  <w:pPr>
                    <w:widowControl/>
                    <w:ind w:left="-59" w:leftChars="-28" w:right="-80" w:rightChars="-38"/>
                    <w:jc w:val="left"/>
                  </w:pPr>
                  <w:r>
                    <w:rPr>
                      <w:rFonts w:hint="eastAsia"/>
                    </w:rPr>
                    <w:t>符合</w:t>
                  </w:r>
                </w:p>
              </w:tc>
            </w:tr>
          </w:tbl>
          <w:p>
            <w:pPr>
              <w:adjustRightInd w:val="0"/>
              <w:spacing w:line="360" w:lineRule="auto"/>
              <w:ind w:firstLine="420" w:firstLineChars="200"/>
            </w:pPr>
            <w:r>
              <w:rPr>
                <w:rFonts w:hint="eastAsia"/>
              </w:rPr>
              <w:t xml:space="preserve">本项目局部占用少量的一般生态空间，评价要求强化减缓生态环境影响和生态补偿措施，措施如下： </w:t>
            </w:r>
          </w:p>
          <w:p>
            <w:pPr>
              <w:adjustRightInd w:val="0"/>
              <w:spacing w:line="360" w:lineRule="auto"/>
              <w:ind w:firstLine="420" w:firstLineChars="200"/>
            </w:pPr>
            <w:r>
              <w:rPr>
                <w:rFonts w:hint="eastAsia"/>
              </w:rPr>
              <w:t>（1）施工管理措施</w:t>
            </w:r>
          </w:p>
          <w:p>
            <w:pPr>
              <w:adjustRightInd w:val="0"/>
              <w:spacing w:line="360" w:lineRule="auto"/>
              <w:ind w:firstLine="420" w:firstLineChars="200"/>
            </w:pPr>
            <w:r>
              <w:rPr>
                <w:rFonts w:hint="eastAsia"/>
              </w:rPr>
              <w:t>对于位于优先保护单元一般生态空间内的路段严格控制施工场地，优化施工布局，场地外禁止施工和设置临时施工场地，减少施工扰动；对于位于优先保护单元一般生态空间边界上的</w:t>
            </w:r>
            <w:r>
              <w:rPr>
                <w:rFonts w:hint="eastAsia"/>
                <w:lang w:val="en-US" w:eastAsia="zh-CN"/>
              </w:rPr>
              <w:t>项目</w:t>
            </w:r>
            <w:r>
              <w:rPr>
                <w:rFonts w:hint="eastAsia"/>
              </w:rPr>
              <w:t>在施工过程中优化施工场地布局，可将临时施工场地布置在优先保护单元一般生态空间边界外，优先保护单元一般生态空间内严格控制作业范围，减少施工扰动。</w:t>
            </w:r>
          </w:p>
          <w:p>
            <w:pPr>
              <w:adjustRightInd w:val="0"/>
              <w:spacing w:line="360" w:lineRule="auto"/>
              <w:ind w:firstLine="420" w:firstLineChars="200"/>
            </w:pPr>
            <w:r>
              <w:rPr>
                <w:rFonts w:hint="eastAsia"/>
              </w:rPr>
              <w:t>（2）水土保持保护措施</w:t>
            </w:r>
          </w:p>
          <w:p>
            <w:pPr>
              <w:adjustRightInd w:val="0"/>
              <w:spacing w:line="360" w:lineRule="auto"/>
              <w:ind w:firstLine="420" w:firstLineChars="200"/>
            </w:pPr>
            <w:r>
              <w:rPr>
                <w:rFonts w:hint="eastAsia"/>
              </w:rPr>
              <w:t>涉及庆阳市“三线一单”优先保护单元一般生态空间的</w:t>
            </w:r>
            <w:r>
              <w:rPr>
                <w:rFonts w:hint="eastAsia"/>
                <w:lang w:val="en-US" w:eastAsia="zh-CN"/>
              </w:rPr>
              <w:t>项目</w:t>
            </w:r>
            <w:r>
              <w:rPr>
                <w:rFonts w:hint="eastAsia"/>
              </w:rPr>
              <w:t>应强化水土流失保护措施，本次评价提出以下措施：</w:t>
            </w:r>
          </w:p>
          <w:p>
            <w:pPr>
              <w:topLinePunct/>
              <w:adjustRightInd w:val="0"/>
              <w:snapToGrid w:val="0"/>
              <w:spacing w:line="360" w:lineRule="auto"/>
              <w:ind w:firstLine="420" w:firstLineChars="200"/>
            </w:pPr>
            <w:r>
              <w:rPr>
                <w:rFonts w:hint="eastAsia"/>
              </w:rPr>
              <w:t>①</w:t>
            </w:r>
            <w:r>
              <w:t>为使本项目达到与主体工程</w:t>
            </w:r>
            <w:r>
              <w:rPr>
                <w:rFonts w:hint="eastAsia"/>
              </w:rPr>
              <w:t>“</w:t>
            </w:r>
            <w:r>
              <w:t>同时设计、同时施工、同时竣工验收</w:t>
            </w:r>
            <w:r>
              <w:rPr>
                <w:rFonts w:hint="eastAsia"/>
              </w:rPr>
              <w:t>”</w:t>
            </w:r>
            <w:r>
              <w:t>的要求，应在组织领导、技术力量和资金上予以保证，同时，应将水土保持措施落实于初步设计，同时加紧落实施工设计单位、监测单位，保证水土保持方案设计的各项措施顺利实施。</w:t>
            </w:r>
          </w:p>
          <w:p>
            <w:pPr>
              <w:topLinePunct/>
              <w:adjustRightInd w:val="0"/>
              <w:snapToGrid w:val="0"/>
              <w:spacing w:line="360" w:lineRule="auto"/>
              <w:ind w:firstLine="420" w:firstLineChars="200"/>
            </w:pPr>
            <w:r>
              <w:rPr>
                <w:rFonts w:hint="eastAsia"/>
              </w:rPr>
              <w:t>②</w:t>
            </w:r>
            <w:r>
              <w:t>为减少工程建设扰动原地表面积，建议施工单位施工时，在满足工程建设设计指标的前提下，要严格控制作业范围，工程建设尽量避开项目区大风季节</w:t>
            </w:r>
            <w:r>
              <w:rPr>
                <w:rFonts w:hint="eastAsia"/>
              </w:rPr>
              <w:t>、</w:t>
            </w:r>
            <w:r>
              <w:t>主汛期</w:t>
            </w:r>
            <w:r>
              <w:rPr>
                <w:rFonts w:hint="eastAsia"/>
              </w:rPr>
              <w:t>、雨季</w:t>
            </w:r>
            <w:r>
              <w:t>，以减少项目建设造成的水土流失，同时做到对临时堆土按水保方案设计要求堆放，严格执行水土保持工程施工顺序和临时防护措施，对临时用地</w:t>
            </w:r>
            <w:r>
              <w:rPr>
                <w:rFonts w:hint="eastAsia"/>
              </w:rPr>
              <w:t>（优先保护单元一般生态空间边界外）</w:t>
            </w:r>
            <w:r>
              <w:t>待工程竣工后及时平整恢复植被。</w:t>
            </w:r>
          </w:p>
          <w:p>
            <w:pPr>
              <w:topLinePunct/>
              <w:adjustRightInd w:val="0"/>
              <w:snapToGrid w:val="0"/>
              <w:spacing w:line="360" w:lineRule="auto"/>
              <w:ind w:firstLine="420" w:firstLineChars="200"/>
            </w:pPr>
            <w:r>
              <w:rPr>
                <w:rFonts w:hint="eastAsia"/>
              </w:rPr>
              <w:t>③</w:t>
            </w:r>
            <w:r>
              <w:t>为了保证施工质量和施工进度，依据国家有关法规、技术规范、规程和质量标准，</w:t>
            </w:r>
            <w:r>
              <w:rPr>
                <w:rFonts w:hint="eastAsia"/>
              </w:rPr>
              <w:t>管理</w:t>
            </w:r>
            <w:r>
              <w:t>单位应严格</w:t>
            </w:r>
            <w:r>
              <w:rPr>
                <w:rFonts w:hint="eastAsia"/>
              </w:rPr>
              <w:t>管理</w:t>
            </w:r>
            <w:r>
              <w:t>程序，实行跟踪</w:t>
            </w:r>
            <w:r>
              <w:rPr>
                <w:rFonts w:hint="eastAsia"/>
              </w:rPr>
              <w:t>监管</w:t>
            </w:r>
            <w:r>
              <w:t>。</w:t>
            </w:r>
          </w:p>
          <w:p>
            <w:pPr>
              <w:topLinePunct/>
              <w:adjustRightInd w:val="0"/>
              <w:snapToGrid w:val="0"/>
              <w:spacing w:line="360" w:lineRule="auto"/>
              <w:ind w:firstLine="420" w:firstLineChars="200"/>
            </w:pPr>
            <w:r>
              <w:rPr>
                <w:rFonts w:hint="eastAsia"/>
              </w:rPr>
              <w:t>④</w:t>
            </w:r>
            <w:r>
              <w:t>监测单位在整个工程施工期以及植被恢复期，应按照水保方案设计的监测内容，制定切实可行的监测实施细则，做到监测准时到位、监测数据可靠，并及时向项目所在地水行政主管部门报告监测结果。</w:t>
            </w:r>
          </w:p>
          <w:p>
            <w:pPr>
              <w:topLinePunct/>
              <w:adjustRightInd w:val="0"/>
              <w:snapToGrid w:val="0"/>
              <w:spacing w:line="360" w:lineRule="auto"/>
              <w:ind w:firstLine="420" w:firstLineChars="200"/>
            </w:pPr>
            <w:r>
              <w:rPr>
                <w:rFonts w:hint="eastAsia"/>
              </w:rPr>
              <w:t>⑤</w:t>
            </w:r>
            <w:r>
              <w:t>选择最佳时段进行工程建设。在黄土丘陵沟壑区施工，避开主汛期（7～9月），</w:t>
            </w:r>
            <w:r>
              <w:rPr>
                <w:rFonts w:hint="eastAsia"/>
              </w:rPr>
              <w:t>雨天禁止施工，</w:t>
            </w:r>
            <w:r>
              <w:t>既便于</w:t>
            </w:r>
            <w:r>
              <w:rPr>
                <w:rFonts w:hint="eastAsia"/>
              </w:rPr>
              <w:t>工程建设</w:t>
            </w:r>
            <w:r>
              <w:t>，又利于</w:t>
            </w:r>
            <w:r>
              <w:rPr>
                <w:rFonts w:hint="eastAsia"/>
              </w:rPr>
              <w:t>防止水土流失</w:t>
            </w:r>
            <w:r>
              <w:t>。</w:t>
            </w:r>
          </w:p>
          <w:p>
            <w:pPr>
              <w:topLinePunct/>
              <w:adjustRightInd w:val="0"/>
              <w:snapToGrid w:val="0"/>
              <w:spacing w:line="360" w:lineRule="auto"/>
              <w:ind w:firstLine="420" w:firstLineChars="200"/>
            </w:pPr>
            <w:r>
              <w:rPr>
                <w:rFonts w:hint="eastAsia"/>
              </w:rPr>
              <w:t>⑥施工期</w:t>
            </w:r>
            <w:r>
              <w:t>应尽量减少机械、人员的活动范围，以尽量减少破坏各种具有水保功能的地表物质和水保设施。</w:t>
            </w:r>
          </w:p>
          <w:p>
            <w:pPr>
              <w:topLinePunct/>
              <w:adjustRightInd w:val="0"/>
              <w:snapToGrid w:val="0"/>
              <w:spacing w:line="360" w:lineRule="auto"/>
              <w:ind w:firstLine="420" w:firstLineChars="200"/>
            </w:pPr>
            <w:r>
              <w:rPr>
                <w:rFonts w:hint="eastAsia"/>
              </w:rPr>
              <w:t>⑦占地范围内</w:t>
            </w:r>
            <w:r>
              <w:t>施工占用土地的</w:t>
            </w:r>
            <w:r>
              <w:rPr>
                <w:rFonts w:hint="eastAsia"/>
              </w:rPr>
              <w:t>土方及时清运</w:t>
            </w:r>
            <w:r>
              <w:t>，</w:t>
            </w:r>
            <w:r>
              <w:rPr>
                <w:rFonts w:hint="eastAsia"/>
              </w:rPr>
              <w:t>施工结束后弃方及时运至弃土场</w:t>
            </w:r>
            <w:r>
              <w:t>，</w:t>
            </w:r>
            <w:r>
              <w:rPr>
                <w:rFonts w:hint="eastAsia"/>
              </w:rPr>
              <w:t>弃土场做雨水导排，并进行绿化</w:t>
            </w:r>
            <w:r>
              <w:t>，减轻因植被减少而引起的水土流失。</w:t>
            </w:r>
          </w:p>
          <w:p>
            <w:pPr>
              <w:topLinePunct/>
              <w:adjustRightInd w:val="0"/>
              <w:snapToGrid w:val="0"/>
              <w:spacing w:line="360" w:lineRule="auto"/>
              <w:ind w:firstLine="420" w:firstLineChars="200"/>
            </w:pPr>
            <w:r>
              <w:rPr>
                <w:rFonts w:hint="eastAsia"/>
              </w:rPr>
              <w:t>⑧</w:t>
            </w:r>
            <w:r>
              <w:t>建设单位、设计单位、施工单位应与沿线环保、水保部门密切配合，认真听取主管部门对水土保持工作的建议及要求，不断完善设计施工中的水土保持设施。</w:t>
            </w:r>
          </w:p>
          <w:p>
            <w:pPr>
              <w:topLinePunct/>
              <w:adjustRightInd w:val="0"/>
              <w:snapToGrid w:val="0"/>
              <w:spacing w:line="360" w:lineRule="auto"/>
              <w:ind w:firstLine="420" w:firstLineChars="200"/>
            </w:pPr>
            <w:r>
              <w:rPr>
                <w:rFonts w:hint="eastAsia"/>
              </w:rPr>
              <w:t>⑨</w:t>
            </w:r>
            <w:r>
              <w:t>建设单位与施工方签订的合同中，应有水土保持责任方面的内容；对施工人员应首先进行水土保持方面的业务培训；施工中控制作业带范围，不得破坏作业带外围树木等植被；应加强工程的环境监控，及时恢复植被</w:t>
            </w:r>
            <w:r>
              <w:rPr>
                <w:rFonts w:hint="eastAsia"/>
              </w:rPr>
              <w:t>。</w:t>
            </w:r>
          </w:p>
          <w:p>
            <w:pPr>
              <w:autoSpaceDE w:val="0"/>
              <w:autoSpaceDN w:val="0"/>
              <w:adjustRightInd w:val="0"/>
              <w:snapToGrid w:val="0"/>
              <w:spacing w:line="360" w:lineRule="auto"/>
              <w:ind w:firstLine="420" w:firstLineChars="200"/>
            </w:pPr>
            <w:r>
              <w:rPr>
                <w:rFonts w:hint="eastAsia"/>
              </w:rPr>
              <w:t>采取上述措施后，涉及优先保护单元的路段基本符合优先保护单元的管控要求。总体分析，项目基本符合</w:t>
            </w:r>
            <w:r>
              <w:t>“</w:t>
            </w:r>
            <w:r>
              <w:rPr>
                <w:rFonts w:hint="eastAsia"/>
              </w:rPr>
              <w:t>三线一单</w:t>
            </w:r>
            <w:r>
              <w:t>”</w:t>
            </w:r>
            <w:r>
              <w:rPr>
                <w:rFonts w:hint="eastAsia"/>
              </w:rPr>
              <w:t>要求。</w:t>
            </w:r>
          </w:p>
          <w:p>
            <w:pPr>
              <w:adjustRightInd w:val="0"/>
              <w:snapToGrid w:val="0"/>
              <w:spacing w:line="360" w:lineRule="auto"/>
              <w:ind w:firstLine="420" w:firstLineChars="200"/>
            </w:pPr>
            <w:r>
              <w:rPr>
                <w:rFonts w:hint="eastAsia"/>
              </w:rPr>
              <w:t>综上分析，本项目的建设不违背庆阳市</w:t>
            </w:r>
            <w:r>
              <w:t>“</w:t>
            </w:r>
            <w:r>
              <w:rPr>
                <w:rFonts w:hint="eastAsia"/>
              </w:rPr>
              <w:t>三线一单</w:t>
            </w:r>
            <w:r>
              <w:t>”</w:t>
            </w:r>
            <w:r>
              <w:rPr>
                <w:rFonts w:hint="eastAsia"/>
              </w:rPr>
              <w:t>环境管控要求</w:t>
            </w:r>
            <w:r>
              <w:t>。</w:t>
            </w:r>
          </w:p>
          <w:p>
            <w:pPr>
              <w:adjustRightInd w:val="0"/>
              <w:snapToGrid w:val="0"/>
              <w:spacing w:line="360" w:lineRule="auto"/>
            </w:pPr>
            <w:r>
              <w:t>与《甘肃省主体功能区规划》的符合性分析</w:t>
            </w:r>
          </w:p>
          <w:p>
            <w:pPr>
              <w:adjustRightInd w:val="0"/>
              <w:snapToGrid w:val="0"/>
              <w:spacing w:line="360" w:lineRule="auto"/>
              <w:ind w:firstLine="420" w:firstLineChars="200"/>
            </w:pPr>
            <w:r>
              <w:t>根据《甘肃省主体功能区规划》，本项目所在地</w:t>
            </w:r>
            <w:r>
              <w:rPr>
                <w:rFonts w:hint="eastAsia"/>
              </w:rPr>
              <w:t>宁县</w:t>
            </w:r>
            <w:r>
              <w:t>位于甘肃省限制开发区-重点生态功能区范围里面陇东黄土高原丘陵沟壑水土保持生态功能区，项目属于基础设施建设，项目的建设符合甘肃省限制开发区的相关功能定位。</w:t>
            </w:r>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tc>
      </w:tr>
    </w:tbl>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b/>
          <w:snapToGrid w:val="0"/>
          <w:color w:val="000000" w:themeColor="text1"/>
          <w:sz w:val="30"/>
          <w:szCs w:val="30"/>
          <w14:textFill>
            <w14:solidFill>
              <w14:schemeClr w14:val="tx1"/>
            </w14:solidFill>
          </w14:textFill>
        </w:rPr>
        <w:t>二、建设内容</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78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地理位置</w:t>
            </w:r>
          </w:p>
        </w:tc>
        <w:tc>
          <w:tcPr>
            <w:tcW w:w="7844" w:type="dxa"/>
            <w:vAlign w:val="center"/>
          </w:tcPr>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FF0000"/>
                <w:sz w:val="24"/>
              </w:rPr>
              <w:t>项目起点位于宁县县城东侧与人民路顺接</w:t>
            </w:r>
            <w:r>
              <w:rPr>
                <w:rFonts w:hint="eastAsia"/>
                <w:color w:val="FF0000"/>
                <w:sz w:val="24"/>
                <w:lang w:eastAsia="zh-CN"/>
              </w:rPr>
              <w:t>，</w:t>
            </w:r>
            <w:r>
              <w:rPr>
                <w:rFonts w:hint="eastAsia"/>
                <w:color w:val="FF0000"/>
                <w:sz w:val="24"/>
              </w:rPr>
              <w:t>后利用旧路展线上山</w:t>
            </w:r>
            <w:r>
              <w:rPr>
                <w:rFonts w:hint="eastAsia"/>
                <w:color w:val="FF0000"/>
                <w:sz w:val="24"/>
                <w:lang w:eastAsia="zh-CN"/>
              </w:rPr>
              <w:t>，</w:t>
            </w:r>
            <w:r>
              <w:rPr>
                <w:rFonts w:hint="eastAsia"/>
                <w:color w:val="FF0000"/>
                <w:sz w:val="24"/>
              </w:rPr>
              <w:t>下穿G69甜永高速后经东源畔</w:t>
            </w:r>
            <w:r>
              <w:rPr>
                <w:rFonts w:hint="eastAsia"/>
                <w:color w:val="FF0000"/>
                <w:sz w:val="24"/>
                <w:lang w:eastAsia="zh-CN"/>
              </w:rPr>
              <w:t>、</w:t>
            </w:r>
            <w:r>
              <w:rPr>
                <w:rFonts w:hint="eastAsia"/>
                <w:color w:val="FF0000"/>
                <w:sz w:val="24"/>
              </w:rPr>
              <w:t>杨店至下官庄接旧路后向东行至古城再向东北经南头咀、春荣镇、孙家堡子</w:t>
            </w:r>
            <w:r>
              <w:rPr>
                <w:rFonts w:hint="eastAsia"/>
                <w:color w:val="FF0000"/>
                <w:sz w:val="24"/>
                <w:lang w:eastAsia="zh-CN"/>
              </w:rPr>
              <w:t>，</w:t>
            </w:r>
            <w:r>
              <w:rPr>
                <w:rFonts w:hint="eastAsia"/>
                <w:color w:val="FF0000"/>
                <w:sz w:val="24"/>
              </w:rPr>
              <w:t>终点位于石鼓村顺接宁五公路，路线全长 25.111</w:t>
            </w:r>
            <w:r>
              <w:rPr>
                <w:rFonts w:hint="eastAsia"/>
                <w:color w:val="FF0000"/>
                <w:sz w:val="24"/>
                <w:lang w:val="en-US" w:eastAsia="zh-CN"/>
              </w:rPr>
              <w:t>k</w:t>
            </w:r>
            <w:r>
              <w:rPr>
                <w:rFonts w:hint="eastAsia"/>
                <w:color w:val="FF0000"/>
                <w:sz w:val="24"/>
              </w:rPr>
              <w:t>m。</w:t>
            </w:r>
            <w:r>
              <w:rPr>
                <w:color w:val="000000" w:themeColor="text1"/>
                <w:sz w:val="24"/>
                <w14:textFill>
                  <w14:solidFill>
                    <w14:schemeClr w14:val="tx1"/>
                  </w14:solidFill>
                </w14:textFill>
              </w:rPr>
              <w:t>项目线路走向见附图</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，项目地理位置详见附图</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。沿线分布有居民。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项目组成及规模</w:t>
            </w:r>
          </w:p>
        </w:tc>
        <w:tc>
          <w:tcPr>
            <w:tcW w:w="7844" w:type="dxa"/>
            <w:vAlign w:val="center"/>
          </w:tcPr>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1、工程内容及规模</w:t>
            </w:r>
          </w:p>
          <w:p>
            <w:pPr>
              <w:widowControl/>
              <w:spacing w:line="360" w:lineRule="auto"/>
              <w:ind w:firstLine="480" w:firstLineChars="200"/>
              <w:rPr>
                <w:color w:val="FF0000"/>
                <w:sz w:val="24"/>
              </w:rPr>
            </w:pPr>
            <w:bookmarkStart w:id="2" w:name="_Hlk73974139"/>
            <w:r>
              <w:rPr>
                <w:color w:val="FF0000"/>
                <w:sz w:val="24"/>
              </w:rPr>
              <w:t>本项目公路</w:t>
            </w:r>
            <w:r>
              <w:rPr>
                <w:rFonts w:hint="eastAsia"/>
                <w:color w:val="FF0000"/>
                <w:sz w:val="24"/>
              </w:rPr>
              <w:t>采用双向二车道三级公路标准，设计行车速度30km/h，路基宽度为7.5m，路面宽度为7.0米。路面结构</w:t>
            </w:r>
            <w:r>
              <w:rPr>
                <w:rFonts w:hint="eastAsia"/>
                <w:color w:val="FF0000"/>
                <w:sz w:val="24"/>
                <w:lang w:eastAsia="zh-CN"/>
              </w:rPr>
              <w:t>：</w:t>
            </w:r>
            <w:r>
              <w:rPr>
                <w:rFonts w:hint="eastAsia"/>
                <w:color w:val="FF0000"/>
                <w:sz w:val="24"/>
              </w:rPr>
              <w:t>5cm厚AC-13沥青混凝土面层+18cm厚水泥稳定碎石基层+18cm厚冷再生底基层，春荣镇街道路面维持现有宽度采用5cm厚AC-13沥青混凝土面处理，部分达不到冷再生要求路段采用18cm厚3.5%水泥稳定砂砾铺筑底基层。路基设计洪水频率1/25，小桥涵设计洪水频率1/25，桥涵设计荷载公路-II级。</w:t>
            </w:r>
          </w:p>
          <w:bookmarkEnd w:id="2"/>
          <w:p>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本项目主要技术指标见表2-1。</w:t>
            </w:r>
          </w:p>
          <w:p>
            <w:pPr>
              <w:pStyle w:val="52"/>
              <w:ind w:right="-1" w:firstLine="723" w:firstLineChars="3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表2-1  主要技术指标表</w:t>
            </w:r>
          </w:p>
          <w:tbl>
            <w:tblPr>
              <w:tblStyle w:val="30"/>
              <w:tblW w:w="76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91"/>
              <w:gridCol w:w="1085"/>
              <w:gridCol w:w="1092"/>
              <w:gridCol w:w="2233"/>
              <w:gridCol w:w="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5"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bookmarkStart w:id="3" w:name="_Hlk73974146"/>
                  <w:r>
                    <w:rPr>
                      <w:color w:val="000000" w:themeColor="text1"/>
                      <w:szCs w:val="21"/>
                      <w14:textFill>
                        <w14:solidFill>
                          <w14:schemeClr w14:val="tx1"/>
                        </w14:solidFill>
                      </w14:textFill>
                    </w:rPr>
                    <w:t>指标名称</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标准值</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采用值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设计速度</w:t>
                  </w:r>
                  <w:r>
                    <w:rPr>
                      <w:rFonts w:hint="eastAsia"/>
                      <w:color w:val="000000" w:themeColor="text1"/>
                      <w:szCs w:val="21"/>
                      <w14:textFill>
                        <w14:solidFill>
                          <w14:schemeClr w14:val="tx1"/>
                        </w14:solidFill>
                      </w14:textFill>
                    </w:rPr>
                    <w:t>（km/h）</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路基宽度</w:t>
                  </w:r>
                  <w:r>
                    <w:rPr>
                      <w:rFonts w:hint="eastAsia"/>
                      <w:color w:val="000000" w:themeColor="text1"/>
                      <w:szCs w:val="21"/>
                      <w14:textFill>
                        <w14:solidFill>
                          <w14:schemeClr w14:val="tx1"/>
                        </w14:solidFill>
                      </w14:textFill>
                    </w:rPr>
                    <w:t>（m）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行车道宽度</w:t>
                  </w:r>
                  <w:r>
                    <w:rPr>
                      <w:rFonts w:hint="eastAsia"/>
                      <w:color w:val="000000" w:themeColor="text1"/>
                      <w:szCs w:val="21"/>
                      <w14:textFill>
                        <w14:solidFill>
                          <w14:schemeClr w14:val="tx1"/>
                        </w14:solidFill>
                      </w14:textFill>
                    </w:rPr>
                    <w:t>（m）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停车视距</w:t>
                  </w:r>
                  <w:r>
                    <w:rPr>
                      <w:rFonts w:hint="eastAsia"/>
                      <w:color w:val="000000" w:themeColor="text1"/>
                      <w:szCs w:val="21"/>
                      <w14:textFill>
                        <w14:solidFill>
                          <w14:schemeClr w14:val="tx1"/>
                        </w14:solidFill>
                      </w14:textFill>
                    </w:rPr>
                    <w:t>（m）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会车视距（m）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超车视距（m）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圆曲线</w:t>
                  </w:r>
                  <w:r>
                    <w:rPr>
                      <w:color w:val="000000" w:themeColor="text1"/>
                      <w:szCs w:val="21"/>
                      <w14:textFill>
                        <w14:solidFill>
                          <w14:schemeClr w14:val="tx1"/>
                        </w14:solidFill>
                      </w14:textFill>
                    </w:rPr>
                    <w:t>极限最小半径</w:t>
                  </w:r>
                  <w:r>
                    <w:rPr>
                      <w:rFonts w:hint="eastAsia"/>
                      <w:color w:val="000000" w:themeColor="text1"/>
                      <w:szCs w:val="21"/>
                      <w14:textFill>
                        <w14:solidFill>
                          <w14:schemeClr w14:val="tx1"/>
                        </w14:solidFill>
                      </w14:textFill>
                    </w:rPr>
                    <w:t>（m）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回旋线最小长度</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平曲线最小半径（m）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最大纵坡</w:t>
                  </w:r>
                  <w:r>
                    <w:rPr>
                      <w:rFonts w:hint="eastAsia"/>
                      <w:color w:val="000000" w:themeColor="text1"/>
                      <w:szCs w:val="21"/>
                      <w14:textFill>
                        <w14:solidFill>
                          <w14:schemeClr w14:val="tx1"/>
                        </w14:solidFill>
                      </w14:textFill>
                    </w:rPr>
                    <w:t>（%）</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最小坡长</w:t>
                  </w:r>
                  <w:r>
                    <w:rPr>
                      <w:rFonts w:hint="eastAsia"/>
                      <w:color w:val="000000" w:themeColor="text1"/>
                      <w:szCs w:val="21"/>
                      <w14:textFill>
                        <w14:solidFill>
                          <w14:schemeClr w14:val="tx1"/>
                        </w14:solidFill>
                      </w14:textFill>
                    </w:rPr>
                    <w:t>（m）</w:t>
                  </w:r>
                </w:p>
              </w:tc>
              <w:tc>
                <w:tcPr>
                  <w:tcW w:w="1085"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1092" w:type="dxa"/>
                  <w:tcBorders>
                    <w:tl2br w:val="nil"/>
                    <w:tr2bl w:val="nil"/>
                  </w:tcBorders>
                  <w:vAlign w:val="center"/>
                </w:tcPr>
                <w:p>
                  <w:pPr>
                    <w:widowControl/>
                    <w:jc w:val="center"/>
                    <w:rPr>
                      <w:color w:val="000000" w:themeColor="text1"/>
                      <w:szCs w:val="21"/>
                      <w14:textFill>
                        <w14:solidFill>
                          <w14:schemeClr w14:val="tx1"/>
                        </w14:solidFill>
                      </w14:textFill>
                    </w:rPr>
                  </w:pPr>
                </w:p>
              </w:tc>
              <w:tc>
                <w:tcPr>
                  <w:tcW w:w="2233" w:type="dxa"/>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新建桥涵</w:t>
                  </w:r>
                  <w:r>
                    <w:rPr>
                      <w:color w:val="000000" w:themeColor="text1"/>
                      <w:szCs w:val="21"/>
                      <w14:textFill>
                        <w14:solidFill>
                          <w14:schemeClr w14:val="tx1"/>
                        </w14:solidFill>
                      </w14:textFill>
                    </w:rPr>
                    <w:t>设计洪水频率</w:t>
                  </w:r>
                </w:p>
              </w:tc>
              <w:tc>
                <w:tcPr>
                  <w:tcW w:w="4416" w:type="dxa"/>
                  <w:gridSpan w:val="4"/>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pacing w:val="10"/>
                      <w:sz w:val="24"/>
                      <w:szCs w:val="21"/>
                      <w14:textFill>
                        <w14:solidFill>
                          <w14:schemeClr w14:val="tx1"/>
                        </w14:solidFill>
                      </w14:textFill>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新建涵洞</w:t>
                  </w:r>
                  <w:r>
                    <w:rPr>
                      <w:color w:val="000000" w:themeColor="text1"/>
                      <w:szCs w:val="21"/>
                      <w14:textFill>
                        <w14:solidFill>
                          <w14:schemeClr w14:val="tx1"/>
                        </w14:solidFill>
                      </w14:textFill>
                    </w:rPr>
                    <w:t>设计载荷等级</w:t>
                  </w:r>
                </w:p>
              </w:tc>
              <w:tc>
                <w:tcPr>
                  <w:tcW w:w="4416" w:type="dxa"/>
                  <w:gridSpan w:val="4"/>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II级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91" w:type="dxa"/>
                  <w:tcBorders>
                    <w:tl2br w:val="nil"/>
                    <w:tr2bl w:val="nil"/>
                  </w:tcBorders>
                  <w:vAlign w:val="center"/>
                </w:tcPr>
                <w:p>
                  <w:pPr>
                    <w:autoSpaceDE w:val="0"/>
                    <w:autoSpaceDN w:val="0"/>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路面设计使用年限</w:t>
                  </w:r>
                </w:p>
              </w:tc>
              <w:tc>
                <w:tcPr>
                  <w:tcW w:w="4416" w:type="dxa"/>
                  <w:gridSpan w:val="4"/>
                  <w:tcBorders>
                    <w:tl2br w:val="nil"/>
                    <w:tr2bl w:val="nil"/>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10年</w:t>
                  </w:r>
                </w:p>
              </w:tc>
            </w:tr>
            <w:bookmarkEnd w:id="3"/>
          </w:tbl>
          <w:p>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项目工程量一览表2-2。</w:t>
            </w:r>
          </w:p>
          <w:p>
            <w:pPr>
              <w:pStyle w:val="52"/>
              <w:ind w:right="-1" w:firstLine="723" w:firstLineChars="3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表2-2   项目工程量一览表</w:t>
            </w:r>
          </w:p>
          <w:tbl>
            <w:tblPr>
              <w:tblStyle w:val="30"/>
              <w:tblW w:w="78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416"/>
              <w:gridCol w:w="3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工程项目</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单 位</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数 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路线长度</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k</w:t>
                  </w:r>
                  <w:r>
                    <w:rPr>
                      <w:color w:val="000000" w:themeColor="text1"/>
                      <w:kern w:val="0"/>
                      <w:szCs w:val="21"/>
                      <w14:textFill>
                        <w14:solidFill>
                          <w14:schemeClr w14:val="tx1"/>
                        </w14:solidFill>
                      </w14:textFill>
                    </w:rPr>
                    <w:t>m</w:t>
                  </w:r>
                </w:p>
              </w:tc>
              <w:tc>
                <w:tcPr>
                  <w:tcW w:w="3712" w:type="dxa"/>
                  <w:tcBorders>
                    <w:tl2br w:val="nil"/>
                    <w:tr2bl w:val="nil"/>
                  </w:tcBorders>
                  <w:shd w:val="clear" w:color="auto" w:fill="auto"/>
                  <w:vAlign w:val="center"/>
                </w:tcPr>
                <w:p>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25.</w:t>
                  </w:r>
                  <w:r>
                    <w:rPr>
                      <w:rFonts w:hint="eastAsia"/>
                      <w:color w:val="000000" w:themeColor="text1"/>
                      <w:kern w:val="0"/>
                      <w:szCs w:val="21"/>
                      <w:lang w:val="en-US" w:eastAsia="zh-CN"/>
                      <w14:textFill>
                        <w14:solidFill>
                          <w14:schemeClr w14:val="tx1"/>
                        </w14:solidFill>
                      </w14:textFill>
                    </w:rPr>
                    <w:t>111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挖方</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填方</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7215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路基宽度</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m</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蒸发池</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个</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排水沟</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边沟涵</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m</w:t>
                  </w:r>
                </w:p>
              </w:tc>
              <w:tc>
                <w:tcPr>
                  <w:tcW w:w="3712"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涵洞工程</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m/道</w:t>
                  </w:r>
                </w:p>
              </w:tc>
              <w:tc>
                <w:tcPr>
                  <w:tcW w:w="3712" w:type="dxa"/>
                  <w:tcBorders>
                    <w:tl2br w:val="nil"/>
                    <w:tr2bl w:val="nil"/>
                  </w:tcBorders>
                  <w:shd w:val="clear" w:color="auto" w:fill="auto"/>
                  <w:vAlign w:val="center"/>
                </w:tcPr>
                <w:p>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91"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平面交叉</w:t>
                  </w:r>
                </w:p>
              </w:tc>
              <w:tc>
                <w:tcPr>
                  <w:tcW w:w="2416" w:type="dxa"/>
                  <w:tcBorders>
                    <w:tl2br w:val="nil"/>
                    <w:tr2bl w:val="nil"/>
                  </w:tcBorders>
                  <w:shd w:val="clear" w:color="auto" w:fill="auto"/>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处</w:t>
                  </w:r>
                </w:p>
              </w:tc>
              <w:tc>
                <w:tcPr>
                  <w:tcW w:w="3712" w:type="dxa"/>
                  <w:tcBorders>
                    <w:tl2br w:val="nil"/>
                    <w:tr2bl w:val="nil"/>
                  </w:tcBorders>
                  <w:shd w:val="clear" w:color="auto" w:fill="auto"/>
                  <w:vAlign w:val="center"/>
                </w:tcPr>
                <w:p>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r>
          </w:tbl>
          <w:p>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项目工程组成一览表2-3。</w:t>
            </w:r>
          </w:p>
          <w:p>
            <w:pPr>
              <w:pStyle w:val="52"/>
              <w:ind w:right="-1" w:firstLine="723" w:firstLineChars="3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表2-3   项目建设内容及规模一览表</w:t>
            </w:r>
          </w:p>
          <w:tbl>
            <w:tblPr>
              <w:tblStyle w:val="30"/>
              <w:tblW w:w="781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651"/>
              <w:gridCol w:w="652"/>
              <w:gridCol w:w="1083"/>
              <w:gridCol w:w="4127"/>
              <w:gridCol w:w="68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21"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651"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1735"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工程内容</w:t>
                  </w:r>
                </w:p>
              </w:tc>
              <w:tc>
                <w:tcPr>
                  <w:tcW w:w="412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建设规模</w:t>
                  </w:r>
                </w:p>
              </w:tc>
              <w:tc>
                <w:tcPr>
                  <w:tcW w:w="683"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2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5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652"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路基工程</w:t>
                  </w:r>
                </w:p>
              </w:tc>
              <w:tc>
                <w:tcPr>
                  <w:tcW w:w="10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横断面设置</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rFonts w:hint="eastAsia"/>
                      <w:color w:val="FF0000"/>
                      <w:szCs w:val="21"/>
                    </w:rPr>
                    <w:t>全线路基宽7.5m，行车道宽2x3.25m，土路肩0.5m，路面结构:采用5cm AC-13沥青混凝土面层+18cm水泥稳定碎石基层+18cm冷再生底基层；春荣镇街道路面维持现有宽度采用5cmAC-13罩面处理；部分达不到冷再生要求路段采18cm3.5%水泥稳定砂砾铺筑底基层</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2"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路面工程</w:t>
                  </w:r>
                </w:p>
              </w:tc>
              <w:tc>
                <w:tcPr>
                  <w:tcW w:w="10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路面</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性质</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沥青混凝土路面</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2"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10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路面</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结构</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5cm AC-13沥青混凝土面层+18cm水泥稳定碎石基层+18cm冷再生底基层</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2"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交叉工程</w:t>
                  </w:r>
                </w:p>
              </w:tc>
              <w:tc>
                <w:tcPr>
                  <w:tcW w:w="10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平面</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交叉</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FF0000"/>
                      <w:szCs w:val="21"/>
                    </w:rPr>
                    <w:t>本项目公路设置</w:t>
                  </w:r>
                  <w:r>
                    <w:rPr>
                      <w:rFonts w:hint="eastAsia"/>
                      <w:color w:val="FF0000"/>
                      <w:szCs w:val="21"/>
                      <w:lang w:val="en-US" w:eastAsia="zh-CN"/>
                    </w:rPr>
                    <w:t>60</w:t>
                  </w:r>
                  <w:r>
                    <w:rPr>
                      <w:color w:val="FF0000"/>
                      <w:szCs w:val="21"/>
                    </w:rPr>
                    <w:t>处平面交叉，均为公路与公路平面交叉。</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2"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桥梁工程</w:t>
                  </w:r>
                </w:p>
              </w:tc>
              <w:tc>
                <w:tcPr>
                  <w:tcW w:w="10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桥梁</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涵洞</w:t>
                  </w:r>
                </w:p>
              </w:tc>
              <w:tc>
                <w:tcPr>
                  <w:tcW w:w="4127" w:type="dxa"/>
                  <w:vAlign w:val="center"/>
                </w:tcPr>
                <w:p>
                  <w:pPr>
                    <w:autoSpaceDE w:val="0"/>
                    <w:autoSpaceDN w:val="0"/>
                    <w:jc w:val="center"/>
                    <w:textAlignment w:val="baseline"/>
                    <w:rPr>
                      <w:color w:val="FF0000"/>
                      <w:szCs w:val="21"/>
                    </w:rPr>
                  </w:pPr>
                  <w:r>
                    <w:rPr>
                      <w:color w:val="FF0000"/>
                      <w:szCs w:val="21"/>
                    </w:rPr>
                    <w:t>桥梁工程：全线无桥梁建设。</w:t>
                  </w:r>
                </w:p>
                <w:p>
                  <w:pPr>
                    <w:autoSpaceDE w:val="0"/>
                    <w:autoSpaceDN w:val="0"/>
                    <w:jc w:val="center"/>
                    <w:textAlignment w:val="baseline"/>
                    <w:rPr>
                      <w:color w:val="000000" w:themeColor="text1"/>
                      <w:szCs w:val="21"/>
                      <w14:textFill>
                        <w14:solidFill>
                          <w14:schemeClr w14:val="tx1"/>
                        </w14:solidFill>
                      </w14:textFill>
                    </w:rPr>
                  </w:pPr>
                  <w:r>
                    <w:rPr>
                      <w:color w:val="FF0000"/>
                      <w:szCs w:val="21"/>
                    </w:rPr>
                    <w:t>涵洞</w:t>
                  </w:r>
                  <w:r>
                    <w:rPr>
                      <w:rFonts w:hint="eastAsia"/>
                      <w:color w:val="FF0000"/>
                      <w:szCs w:val="21"/>
                    </w:rPr>
                    <w:t>工程</w:t>
                  </w:r>
                  <w:r>
                    <w:rPr>
                      <w:color w:val="FF0000"/>
                      <w:szCs w:val="21"/>
                    </w:rPr>
                    <w:t>：</w:t>
                  </w:r>
                  <w:r>
                    <w:rPr>
                      <w:rFonts w:hint="eastAsia"/>
                      <w:color w:val="FF0000"/>
                      <w:szCs w:val="21"/>
                    </w:rPr>
                    <w:t>1-1.0m钢波纹管涵51.8m/5道，1-1.0m钢筋混凝土盖板涵61m/6道</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rFonts w:hint="default"/>
                      <w:color w:val="000000" w:themeColor="text1"/>
                      <w:szCs w:val="21"/>
                      <w:lang w:val="en-US"/>
                      <w14:textFill>
                        <w14:solidFill>
                          <w14:schemeClr w14:val="tx1"/>
                        </w14:solidFill>
                      </w14:textFill>
                    </w:rPr>
                  </w:pPr>
                  <w:r>
                    <w:rPr>
                      <w:rFonts w:hint="eastAsia"/>
                      <w:color w:val="FF0000"/>
                      <w:szCs w:val="21"/>
                      <w:lang w:val="en-US" w:eastAsia="zh-CN"/>
                    </w:rPr>
                    <w:t>交通工程及沿线设施</w:t>
                  </w:r>
                </w:p>
              </w:tc>
              <w:tc>
                <w:tcPr>
                  <w:tcW w:w="4127" w:type="dxa"/>
                  <w:vAlign w:val="center"/>
                </w:tcPr>
                <w:p>
                  <w:pPr>
                    <w:autoSpaceDE w:val="0"/>
                    <w:autoSpaceDN w:val="0"/>
                    <w:jc w:val="both"/>
                    <w:textAlignment w:val="baseline"/>
                    <w:rPr>
                      <w:color w:val="FF0000"/>
                      <w:szCs w:val="21"/>
                    </w:rPr>
                  </w:pPr>
                  <w:r>
                    <w:rPr>
                      <w:rFonts w:hint="eastAsia"/>
                      <w:color w:val="FF0000"/>
                      <w:szCs w:val="21"/>
                    </w:rPr>
                    <w:t>Gr-B-2E波形钢板护栏2724m，Gr-B-2C波形钢板护栏302m</w:t>
                  </w:r>
                  <w:r>
                    <w:rPr>
                      <w:rFonts w:hint="eastAsia"/>
                      <w:color w:val="FF0000"/>
                      <w:szCs w:val="21"/>
                      <w:lang w:eastAsia="zh-CN"/>
                    </w:rPr>
                    <w:t>，</w:t>
                  </w:r>
                  <w:r>
                    <w:rPr>
                      <w:rFonts w:hint="eastAsia"/>
                      <w:color w:val="FF0000"/>
                      <w:szCs w:val="21"/>
                    </w:rPr>
                    <w:t>道口标柱 232 根，单柱式铝合金标志牌 (警告、禁令、让行人行道口)196块，单柱式铝合金标志牌(学校标志)2块，单柱式铝合金标志牌(线形诱导标志)95块，双柱式铝合金标志(指路) 19块，凸面镜8块，热熔标线 9930.47m2，震荡减速标线 298.35m2</w:t>
                  </w:r>
                  <w:r>
                    <w:rPr>
                      <w:rFonts w:hint="eastAsia"/>
                      <w:color w:val="FF0000"/>
                      <w:szCs w:val="21"/>
                      <w:lang w:eastAsia="zh-CN"/>
                    </w:rPr>
                    <w:t>，</w:t>
                  </w:r>
                  <w:r>
                    <w:rPr>
                      <w:rFonts w:hint="eastAsia"/>
                      <w:color w:val="FF0000"/>
                      <w:szCs w:val="21"/>
                    </w:rPr>
                    <w:t>双组份彩色防滑标线714m2，混凝土里程牌26个、混凝土百米桩214个、混凝土界碑252 个，铝合金百米桩12个，轮廓标252个</w:t>
                  </w:r>
                  <w:r>
                    <w:rPr>
                      <w:rFonts w:hint="eastAsia"/>
                      <w:color w:val="FF0000"/>
                      <w:szCs w:val="21"/>
                      <w:lang w:eastAsia="zh-CN"/>
                    </w:rPr>
                    <w:t>，</w:t>
                  </w:r>
                  <w:r>
                    <w:rPr>
                      <w:rFonts w:hint="eastAsia"/>
                      <w:color w:val="FF0000"/>
                      <w:szCs w:val="21"/>
                    </w:rPr>
                    <w:t>拆除铝合金标志 110个，拆除混凝土23m3，拆除波形梁护栏821m</w:t>
                  </w:r>
                  <w:r>
                    <w:rPr>
                      <w:rFonts w:hint="eastAsia"/>
                      <w:color w:val="FF0000"/>
                      <w:szCs w:val="21"/>
                      <w:lang w:eastAsia="zh-CN"/>
                    </w:rPr>
                    <w:t>，</w:t>
                  </w:r>
                  <w:r>
                    <w:rPr>
                      <w:rFonts w:hint="eastAsia"/>
                      <w:color w:val="FF0000"/>
                      <w:szCs w:val="21"/>
                    </w:rPr>
                    <w:t>拆除道口标柱140根，拆除百米桩214个</w:t>
                  </w:r>
                  <w:r>
                    <w:rPr>
                      <w:color w:val="FF0000"/>
                      <w:szCs w:val="21"/>
                    </w:rPr>
                    <w:t>。</w:t>
                  </w:r>
                </w:p>
                <w:p>
                  <w:pPr>
                    <w:autoSpaceDE w:val="0"/>
                    <w:autoSpaceDN w:val="0"/>
                    <w:jc w:val="center"/>
                    <w:textAlignment w:val="baseline"/>
                    <w:rPr>
                      <w:color w:val="FF0000"/>
                      <w:szCs w:val="21"/>
                    </w:rPr>
                  </w:pPr>
                </w:p>
              </w:tc>
              <w:tc>
                <w:tcPr>
                  <w:tcW w:w="683" w:type="dxa"/>
                  <w:vAlign w:val="center"/>
                </w:tcPr>
                <w:p>
                  <w:pPr>
                    <w:autoSpaceDE w:val="0"/>
                    <w:autoSpaceDN w:val="0"/>
                    <w:jc w:val="center"/>
                    <w:textAlignment w:val="baseline"/>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62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5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排水工程</w:t>
                  </w:r>
                </w:p>
              </w:tc>
              <w:tc>
                <w:tcPr>
                  <w:tcW w:w="4127" w:type="dxa"/>
                  <w:vAlign w:val="center"/>
                </w:tcPr>
                <w:p>
                  <w:pPr>
                    <w:widowControl/>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蒸发池：全线设置蒸发池8座，将路面及边坡水引至蒸发池排离。蒸发池四周通过隔离栅围护，2座利旧，6座新建。</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排水沟：</w:t>
                  </w:r>
                  <w:r>
                    <w:rPr>
                      <w:rFonts w:hint="eastAsia"/>
                      <w:color w:val="000000" w:themeColor="text1"/>
                      <w:szCs w:val="21"/>
                      <w14:textFill>
                        <w14:solidFill>
                          <w14:schemeClr w14:val="tx1"/>
                        </w14:solidFill>
                      </w14:textFill>
                    </w:rPr>
                    <w:t>全线对边沟水需要外排至山沟、涵洞连接段设置排水沟，尺寸为底宽0.4m，深0.4m，边坡坡率为1：1，采用现浇C25现浇砾石混凝土进行了加固，加固厚度为8cm；</w:t>
                  </w:r>
                </w:p>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边沟：</w:t>
                  </w:r>
                  <w:r>
                    <w:rPr>
                      <w:rFonts w:hint="eastAsia"/>
                      <w:color w:val="000000" w:themeColor="text1"/>
                      <w:szCs w:val="21"/>
                      <w14:textFill>
                        <w14:solidFill>
                          <w14:schemeClr w14:val="tx1"/>
                        </w14:solidFill>
                      </w14:textFill>
                    </w:rPr>
                    <w:t>本次设计设置了现浇C25现浇砾石混凝土矩形加固边沟，宽0.6m，深0.6m；其余均为土边沟；</w:t>
                  </w:r>
                </w:p>
                <w:p>
                  <w:pPr>
                    <w:autoSpaceDE w:val="0"/>
                    <w:autoSpaceDN w:val="0"/>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边沟涵：为了保证公路沿线群众出入方便和边沟排水畅通，在通往农家及田间小路处分别设置了矩形边沟涵和钢筋砼圆管；矩形边沟涵采用边沟盖板厚18cm的矩形边沟涵，底宽0.6m，深0.6m，加固厚度25cm。钢筋砼圆管采用口径0.3m钢筋混凝土圆管</w:t>
                  </w:r>
                  <w:r>
                    <w:rPr>
                      <w:color w:val="000000" w:themeColor="text1"/>
                      <w14:textFill>
                        <w14:solidFill>
                          <w14:schemeClr w14:val="tx1"/>
                        </w14:solidFill>
                      </w14:textFill>
                    </w:rPr>
                    <w:t>。</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工程给水</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施工时可从沿线经过的村庄拉运自来水作为工程用水。</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工程用电</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沿线各乡镇及其所辖自然村均有不同功率的变压器，基本满足工程用电要求。</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2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651" w:type="dxa"/>
                  <w:vMerge w:val="restart"/>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临时工程</w:t>
                  </w: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施工营地</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本项目不设施工营地</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施工便道</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rFonts w:hint="eastAsia"/>
                      <w:color w:val="FF0000"/>
                    </w:rPr>
                    <w:t>临时便道(修建、拆除与维护)0.42km</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2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1735" w:type="dxa"/>
                  <w:gridSpan w:val="2"/>
                  <w:vAlign w:val="center"/>
                </w:tcPr>
                <w:p>
                  <w:pPr>
                    <w:autoSpaceDE w:val="0"/>
                    <w:autoSpaceDN w:val="0"/>
                    <w:jc w:val="center"/>
                    <w:textAlignment w:val="baseline"/>
                    <w:rPr>
                      <w:color w:val="FF0000"/>
                      <w:szCs w:val="21"/>
                    </w:rPr>
                  </w:pPr>
                  <w:r>
                    <w:rPr>
                      <w:color w:val="FF0000"/>
                      <w:szCs w:val="21"/>
                    </w:rPr>
                    <w:t>临时料场</w:t>
                  </w:r>
                </w:p>
              </w:tc>
              <w:tc>
                <w:tcPr>
                  <w:tcW w:w="4127" w:type="dxa"/>
                  <w:vAlign w:val="center"/>
                </w:tcPr>
                <w:p>
                  <w:pPr>
                    <w:autoSpaceDE w:val="0"/>
                    <w:autoSpaceDN w:val="0"/>
                    <w:jc w:val="center"/>
                    <w:textAlignment w:val="baseline"/>
                    <w:rPr>
                      <w:color w:val="FF0000"/>
                      <w:szCs w:val="21"/>
                    </w:rPr>
                  </w:pPr>
                  <w:r>
                    <w:rPr>
                      <w:color w:val="FF0000"/>
                      <w:szCs w:val="21"/>
                    </w:rPr>
                    <w:t>本项目土石方纵向调运，由建设单位统一调配，设置一处临时料场，位于远离居民的空地</w:t>
                  </w:r>
                  <w:r>
                    <w:rPr>
                      <w:rFonts w:hint="eastAsia"/>
                      <w:color w:val="FF0000"/>
                      <w:szCs w:val="21"/>
                      <w:lang w:eastAsia="zh-CN"/>
                    </w:rPr>
                    <w:t>，</w:t>
                  </w:r>
                  <w:r>
                    <w:rPr>
                      <w:color w:val="FF0000"/>
                      <w:szCs w:val="21"/>
                    </w:rPr>
                    <w:t>位于</w:t>
                  </w:r>
                  <w:r>
                    <w:rPr>
                      <w:rFonts w:hint="eastAsia"/>
                      <w:color w:val="FF0000"/>
                      <w:szCs w:val="21"/>
                    </w:rPr>
                    <w:t>在K</w:t>
                  </w:r>
                  <w:r>
                    <w:rPr>
                      <w:rFonts w:hint="eastAsia"/>
                      <w:color w:val="FF0000"/>
                      <w:szCs w:val="21"/>
                      <w:lang w:val="en-US" w:eastAsia="zh-CN"/>
                    </w:rPr>
                    <w:t>12</w:t>
                  </w:r>
                  <w:r>
                    <w:rPr>
                      <w:rFonts w:hint="eastAsia"/>
                      <w:color w:val="FF0000"/>
                      <w:szCs w:val="21"/>
                    </w:rPr>
                    <w:t>+050</w:t>
                  </w:r>
                  <w:r>
                    <w:rPr>
                      <w:rFonts w:hint="eastAsia"/>
                      <w:color w:val="FF0000"/>
                      <w:szCs w:val="21"/>
                      <w:lang w:val="en-US" w:eastAsia="zh-CN"/>
                    </w:rPr>
                    <w:t>处蒸发池附近，此处远离居民，位于重点管控单元区域</w:t>
                  </w:r>
                  <w:r>
                    <w:rPr>
                      <w:color w:val="FF0000"/>
                      <w:szCs w:val="21"/>
                    </w:rPr>
                    <w:t>。</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2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1735" w:type="dxa"/>
                  <w:gridSpan w:val="2"/>
                  <w:vAlign w:val="center"/>
                </w:tcPr>
                <w:p>
                  <w:pPr>
                    <w:autoSpaceDE w:val="0"/>
                    <w:autoSpaceDN w:val="0"/>
                    <w:jc w:val="center"/>
                    <w:textAlignment w:val="baseline"/>
                    <w:rPr>
                      <w:color w:val="FF0000"/>
                      <w:szCs w:val="21"/>
                    </w:rPr>
                  </w:pPr>
                  <w:r>
                    <w:rPr>
                      <w:color w:val="FF0000"/>
                      <w:szCs w:val="21"/>
                    </w:rPr>
                    <w:t>临时堆土场</w:t>
                  </w:r>
                </w:p>
              </w:tc>
              <w:tc>
                <w:tcPr>
                  <w:tcW w:w="4127" w:type="dxa"/>
                  <w:vAlign w:val="center"/>
                </w:tcPr>
                <w:p>
                  <w:pPr>
                    <w:autoSpaceDE w:val="0"/>
                    <w:autoSpaceDN w:val="0"/>
                    <w:jc w:val="center"/>
                    <w:textAlignment w:val="baseline"/>
                    <w:rPr>
                      <w:color w:val="FF0000"/>
                      <w:szCs w:val="21"/>
                    </w:rPr>
                  </w:pPr>
                  <w:r>
                    <w:rPr>
                      <w:color w:val="FF0000"/>
                      <w:szCs w:val="21"/>
                    </w:rPr>
                    <w:t>本项目在临时堆土场，</w:t>
                  </w:r>
                  <w:r>
                    <w:rPr>
                      <w:rFonts w:hint="eastAsia"/>
                      <w:color w:val="FF0000"/>
                      <w:szCs w:val="21"/>
                      <w:lang w:eastAsia="zh-CN"/>
                    </w:rPr>
                    <w:t>位于</w:t>
                  </w:r>
                  <w:r>
                    <w:rPr>
                      <w:rFonts w:hint="eastAsia"/>
                      <w:color w:val="FF0000"/>
                      <w:szCs w:val="21"/>
                      <w:lang w:val="en-US" w:eastAsia="zh-CN"/>
                    </w:rPr>
                    <w:t>K20+500附近空地</w:t>
                  </w:r>
                  <w:r>
                    <w:rPr>
                      <w:color w:val="FF0000"/>
                      <w:szCs w:val="21"/>
                    </w:rPr>
                    <w:t>，选择远离居民的空地，工程结束后及时进行生态恢复。</w:t>
                  </w:r>
                </w:p>
              </w:tc>
              <w:tc>
                <w:tcPr>
                  <w:tcW w:w="683" w:type="dxa"/>
                  <w:vAlign w:val="center"/>
                </w:tcPr>
                <w:p>
                  <w:pPr>
                    <w:autoSpaceDE w:val="0"/>
                    <w:autoSpaceDN w:val="0"/>
                    <w:jc w:val="center"/>
                    <w:textAlignment w:val="baseline"/>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2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651" w:type="dxa"/>
                  <w:vMerge w:val="continue"/>
                  <w:vAlign w:val="center"/>
                </w:tcPr>
                <w:p>
                  <w:pPr>
                    <w:autoSpaceDE w:val="0"/>
                    <w:autoSpaceDN w:val="0"/>
                    <w:jc w:val="center"/>
                    <w:textAlignment w:val="baseline"/>
                    <w:rPr>
                      <w:color w:val="000000" w:themeColor="text1"/>
                      <w:szCs w:val="21"/>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取</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弃土场</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本</w:t>
                  </w:r>
                  <w:r>
                    <w:rPr>
                      <w:rFonts w:hint="eastAsia"/>
                      <w:color w:val="000000" w:themeColor="text1"/>
                      <w:szCs w:val="21"/>
                      <w14:textFill>
                        <w14:solidFill>
                          <w14:schemeClr w14:val="tx1"/>
                        </w14:solidFill>
                      </w14:textFill>
                    </w:rPr>
                    <w:t>工程不设置取土场，</w:t>
                  </w:r>
                  <w:r>
                    <w:rPr>
                      <w:color w:val="000000" w:themeColor="text1"/>
                      <w:szCs w:val="21"/>
                      <w14:textFill>
                        <w14:solidFill>
                          <w14:schemeClr w14:val="tx1"/>
                        </w14:solidFill>
                      </w14:textFill>
                    </w:rPr>
                    <w:t>设置弃土场</w:t>
                  </w:r>
                  <w:r>
                    <w:rPr>
                      <w:rFonts w:hint="eastAsia"/>
                      <w:color w:val="000000" w:themeColor="text1"/>
                      <w:szCs w:val="21"/>
                      <w14:textFill>
                        <w14:solidFill>
                          <w14:schemeClr w14:val="tx1"/>
                        </w14:solidFill>
                      </w14:textFill>
                    </w:rPr>
                    <w:t>1处，位于K23+200处</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62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65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废气治理措施</w:t>
                  </w:r>
                </w:p>
              </w:tc>
              <w:tc>
                <w:tcPr>
                  <w:tcW w:w="4127"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建设期土方开挖辅以洒水，土方、物料堆场苫盖防尘网，土方、物料运输苫盖蓬布，路面经常清扫、洒水，大风、尘暴天气停止施工，所用水泥混凝土和沥青混凝土均外购成品，现场不进行拌和作业；沥青烟气随着铺路的结束此类影响将消失；运行期做好道路养护维修，加强路面清扫保洁，减少道路扬尘的产生</w:t>
                  </w:r>
                </w:p>
              </w:tc>
              <w:tc>
                <w:tcPr>
                  <w:tcW w:w="683" w:type="dxa"/>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21" w:type="dxa"/>
                  <w:vMerge w:val="continue"/>
                  <w:vAlign w:val="center"/>
                </w:tcPr>
                <w:p>
                  <w:pPr>
                    <w:jc w:val="center"/>
                    <w:rPr>
                      <w:color w:val="000000" w:themeColor="text1"/>
                      <w:szCs w:val="21"/>
                      <w:highlight w:val="yellow"/>
                      <w14:textFill>
                        <w14:solidFill>
                          <w14:schemeClr w14:val="tx1"/>
                        </w14:solidFill>
                      </w14:textFill>
                    </w:rPr>
                  </w:pPr>
                </w:p>
              </w:tc>
              <w:tc>
                <w:tcPr>
                  <w:tcW w:w="651" w:type="dxa"/>
                  <w:vMerge w:val="continue"/>
                  <w:vAlign w:val="center"/>
                </w:tcPr>
                <w:p>
                  <w:pPr>
                    <w:jc w:val="center"/>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废水治理措施</w:t>
                  </w:r>
                </w:p>
              </w:tc>
              <w:tc>
                <w:tcPr>
                  <w:tcW w:w="4127" w:type="dxa"/>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建设期工地设置临时沉淀池（20m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），施工废水收集到临时沉淀池沉淀处理后回用。运行期加强路面清扫保洁，减少雨水冲刷携带的污染物量</w:t>
                  </w:r>
                </w:p>
              </w:tc>
              <w:tc>
                <w:tcPr>
                  <w:tcW w:w="68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21" w:type="dxa"/>
                  <w:vMerge w:val="continue"/>
                  <w:vAlign w:val="center"/>
                </w:tcPr>
                <w:p>
                  <w:pPr>
                    <w:jc w:val="center"/>
                    <w:rPr>
                      <w:color w:val="000000" w:themeColor="text1"/>
                      <w:szCs w:val="21"/>
                      <w:highlight w:val="yellow"/>
                      <w14:textFill>
                        <w14:solidFill>
                          <w14:schemeClr w14:val="tx1"/>
                        </w14:solidFill>
                      </w14:textFill>
                    </w:rPr>
                  </w:pPr>
                </w:p>
              </w:tc>
              <w:tc>
                <w:tcPr>
                  <w:tcW w:w="651" w:type="dxa"/>
                  <w:vMerge w:val="continue"/>
                  <w:vAlign w:val="center"/>
                </w:tcPr>
                <w:p>
                  <w:pPr>
                    <w:jc w:val="center"/>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噪声治理措施</w:t>
                  </w:r>
                </w:p>
              </w:tc>
              <w:tc>
                <w:tcPr>
                  <w:tcW w:w="41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采用低噪声施工机械，定期进行维护保养，夜间停止施工作业。运行期做好道路养护维修，消除路面凹凸，减轻车辆颠簸，减少车辆鸣笛</w:t>
                  </w:r>
                </w:p>
              </w:tc>
              <w:tc>
                <w:tcPr>
                  <w:tcW w:w="68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21" w:type="dxa"/>
                  <w:vMerge w:val="continue"/>
                  <w:vAlign w:val="center"/>
                </w:tcPr>
                <w:p>
                  <w:pPr>
                    <w:jc w:val="center"/>
                    <w:rPr>
                      <w:color w:val="000000" w:themeColor="text1"/>
                      <w:szCs w:val="21"/>
                      <w:highlight w:val="yellow"/>
                      <w14:textFill>
                        <w14:solidFill>
                          <w14:schemeClr w14:val="tx1"/>
                        </w14:solidFill>
                      </w14:textFill>
                    </w:rPr>
                  </w:pPr>
                </w:p>
              </w:tc>
              <w:tc>
                <w:tcPr>
                  <w:tcW w:w="651" w:type="dxa"/>
                  <w:vMerge w:val="continue"/>
                  <w:vAlign w:val="center"/>
                </w:tcPr>
                <w:p>
                  <w:pPr>
                    <w:jc w:val="center"/>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固废处置措施</w:t>
                  </w:r>
                </w:p>
              </w:tc>
              <w:tc>
                <w:tcPr>
                  <w:tcW w:w="41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建筑垃圾集中收集运至镇原县建筑垃圾填埋场处置；生活垃圾集中收集运至乡镇生活垃圾暂存点后由环卫部门统一收集后清运</w:t>
                  </w:r>
                </w:p>
              </w:tc>
              <w:tc>
                <w:tcPr>
                  <w:tcW w:w="68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9" w:hRule="atLeast"/>
                <w:jc w:val="center"/>
              </w:trPr>
              <w:tc>
                <w:tcPr>
                  <w:tcW w:w="621" w:type="dxa"/>
                  <w:vMerge w:val="continue"/>
                  <w:vAlign w:val="center"/>
                </w:tcPr>
                <w:p>
                  <w:pPr>
                    <w:jc w:val="center"/>
                    <w:rPr>
                      <w:color w:val="000000" w:themeColor="text1"/>
                      <w:szCs w:val="21"/>
                      <w:highlight w:val="yellow"/>
                      <w14:textFill>
                        <w14:solidFill>
                          <w14:schemeClr w14:val="tx1"/>
                        </w14:solidFill>
                      </w14:textFill>
                    </w:rPr>
                  </w:pPr>
                </w:p>
              </w:tc>
              <w:tc>
                <w:tcPr>
                  <w:tcW w:w="651" w:type="dxa"/>
                  <w:vMerge w:val="continue"/>
                  <w:vAlign w:val="center"/>
                </w:tcPr>
                <w:p>
                  <w:pPr>
                    <w:jc w:val="center"/>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生态治理措施</w:t>
                  </w:r>
                </w:p>
              </w:tc>
              <w:tc>
                <w:tcPr>
                  <w:tcW w:w="41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本项目临时料场和临时堆土场设置位于远离居民的空地。土方开挖前剥离并保存表土，挖方及时清运、回填、夯实、覆盖，弃渣集中收集运至</w:t>
                  </w:r>
                  <w:r>
                    <w:rPr>
                      <w:rFonts w:hint="eastAsia"/>
                      <w:color w:val="000000" w:themeColor="text1"/>
                      <w:szCs w:val="21"/>
                      <w14:textFill>
                        <w14:solidFill>
                          <w14:schemeClr w14:val="tx1"/>
                        </w14:solidFill>
                      </w14:textFill>
                    </w:rPr>
                    <w:t>宁</w:t>
                  </w:r>
                  <w:r>
                    <w:rPr>
                      <w:color w:val="000000" w:themeColor="text1"/>
                      <w:szCs w:val="21"/>
                      <w14:textFill>
                        <w14:solidFill>
                          <w14:schemeClr w14:val="tx1"/>
                        </w14:solidFill>
                      </w14:textFill>
                    </w:rPr>
                    <w:t>县建筑垃圾填埋场处置。对建筑材料进行遮盖，防止随风飘散和遇雨流失。根据项目沿线地形，部分路段设置涵洞、硬化路肩、拦水带、边沟、边沟涵、排水沟和急流槽，对纵坡大于3%的路段边沟进行加固，做好路基、路面排水。对临时料场、临时堆土场占用土地和道路两侧裸露土皮进行绿化，防止水土流失</w:t>
                  </w:r>
                  <w:r>
                    <w:rPr>
                      <w:rFonts w:hint="eastAsia"/>
                      <w:color w:val="000000" w:themeColor="text1"/>
                      <w:szCs w:val="21"/>
                      <w14:textFill>
                        <w14:solidFill>
                          <w14:schemeClr w14:val="tx1"/>
                        </w14:solidFill>
                      </w14:textFill>
                    </w:rPr>
                    <w:t>。弃土场撒紫花苜蓿草籽进行绿化；</w:t>
                  </w:r>
                  <w:r>
                    <w:rPr>
                      <w:color w:val="000000" w:themeColor="text1"/>
                      <w:szCs w:val="21"/>
                      <w14:textFill>
                        <w14:solidFill>
                          <w14:schemeClr w14:val="tx1"/>
                        </w14:solidFill>
                      </w14:textFill>
                    </w:rPr>
                    <w:t>项目运营期道路两侧栽种景观树</w:t>
                  </w:r>
                </w:p>
              </w:tc>
              <w:tc>
                <w:tcPr>
                  <w:tcW w:w="68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jc w:val="center"/>
              </w:trPr>
              <w:tc>
                <w:tcPr>
                  <w:tcW w:w="621" w:type="dxa"/>
                  <w:vMerge w:val="continue"/>
                  <w:vAlign w:val="center"/>
                </w:tcPr>
                <w:p>
                  <w:pPr>
                    <w:jc w:val="center"/>
                    <w:rPr>
                      <w:color w:val="000000" w:themeColor="text1"/>
                      <w:szCs w:val="21"/>
                      <w:highlight w:val="yellow"/>
                      <w14:textFill>
                        <w14:solidFill>
                          <w14:schemeClr w14:val="tx1"/>
                        </w14:solidFill>
                      </w14:textFill>
                    </w:rPr>
                  </w:pPr>
                </w:p>
              </w:tc>
              <w:tc>
                <w:tcPr>
                  <w:tcW w:w="651" w:type="dxa"/>
                  <w:vMerge w:val="continue"/>
                  <w:vAlign w:val="center"/>
                </w:tcPr>
                <w:p>
                  <w:pPr>
                    <w:jc w:val="center"/>
                    <w:rPr>
                      <w:color w:val="000000" w:themeColor="text1"/>
                      <w:szCs w:val="21"/>
                      <w:highlight w:val="yellow"/>
                      <w14:textFill>
                        <w14:solidFill>
                          <w14:schemeClr w14:val="tx1"/>
                        </w14:solidFill>
                      </w14:textFill>
                    </w:rPr>
                  </w:pPr>
                </w:p>
              </w:tc>
              <w:tc>
                <w:tcPr>
                  <w:tcW w:w="1735" w:type="dxa"/>
                  <w:gridSpan w:val="2"/>
                  <w:vAlign w:val="center"/>
                </w:tcPr>
                <w:p>
                  <w:pPr>
                    <w:autoSpaceDE w:val="0"/>
                    <w:autoSpaceDN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风险防范措施</w:t>
                  </w:r>
                </w:p>
              </w:tc>
              <w:tc>
                <w:tcPr>
                  <w:tcW w:w="4127" w:type="dxa"/>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本项目穿越</w:t>
                  </w:r>
                  <w:r>
                    <w:rPr>
                      <w:rFonts w:hint="eastAsia"/>
                      <w:bCs/>
                      <w:color w:val="000000" w:themeColor="text1"/>
                      <w:szCs w:val="21"/>
                      <w14:textFill>
                        <w14:solidFill>
                          <w14:schemeClr w14:val="tx1"/>
                        </w14:solidFill>
                      </w14:textFill>
                    </w:rPr>
                    <w:t>宁县春荣镇路户村安头组2#机井水源地二级保护区</w:t>
                  </w:r>
                  <w:r>
                    <w:rPr>
                      <w:rFonts w:hint="eastAsia"/>
                      <w:color w:val="000000" w:themeColor="text1"/>
                      <w:szCs w:val="21"/>
                      <w14:textFill>
                        <w14:solidFill>
                          <w14:schemeClr w14:val="tx1"/>
                        </w14:solidFill>
                      </w14:textFill>
                    </w:rPr>
                    <w:t>，根据《集中式饮用水水源地规范化建设环境保护技术》要求，</w:t>
                  </w:r>
                  <w:r>
                    <w:rPr>
                      <w:color w:val="000000" w:themeColor="text1"/>
                      <w:szCs w:val="21"/>
                      <w14:textFill>
                        <w14:solidFill>
                          <w14:schemeClr w14:val="tx1"/>
                        </w14:solidFill>
                      </w14:textFill>
                    </w:rPr>
                    <w:t>在与饮用水水源二级保护区边界交叉的公路的两侧，分别设置进入、驶离饮用水水源二级保护区的道路警示牌；在穿越饮用水水源保护区的路段的两侧建设防撞护栏和事故导流槽</w:t>
                  </w:r>
                  <w:r>
                    <w:rPr>
                      <w:rFonts w:hint="eastAsia"/>
                      <w:color w:val="000000" w:themeColor="text1"/>
                      <w:szCs w:val="21"/>
                      <w14:textFill>
                        <w14:solidFill>
                          <w14:schemeClr w14:val="tx1"/>
                        </w14:solidFill>
                      </w14:textFill>
                    </w:rPr>
                    <w:t>并</w:t>
                  </w:r>
                  <w:r>
                    <w:rPr>
                      <w:color w:val="000000" w:themeColor="text1"/>
                      <w:szCs w:val="21"/>
                      <w14:textFill>
                        <w14:solidFill>
                          <w14:schemeClr w14:val="tx1"/>
                        </w14:solidFill>
                      </w14:textFill>
                    </w:rPr>
                    <w:t>设事故池；在驶入饮用水水源保护区的路口设置禁止危险化学品运输车辆通行标志牌。</w:t>
                  </w:r>
                </w:p>
              </w:tc>
              <w:tc>
                <w:tcPr>
                  <w:tcW w:w="68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2、道路设计</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2.1路基工程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（1）路基横断面</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根据交通部《公路工程技术标准》（JTG B01—2014），拟建公路路基宽度及横断面组成如下</w:t>
            </w:r>
            <w:r>
              <w:rPr>
                <w:rFonts w:hint="eastAsia"/>
                <w:color w:val="000000" w:themeColor="text1"/>
                <w:sz w:val="24"/>
                <w14:textFill>
                  <w14:solidFill>
                    <w14:schemeClr w14:val="tx1"/>
                  </w14:solidFill>
                </w14:textFill>
              </w:rPr>
              <w:t>路基宽度7.5m，路面宽度6.2m，两侧各0.25m的硬路肩，原路基宽大于7.5m路段仍保持原有路基宽度不变</w:t>
            </w:r>
            <w:r>
              <w:rPr>
                <w:color w:val="000000" w:themeColor="text1"/>
                <w:sz w:val="24"/>
                <w14:textFill>
                  <w14:solidFill>
                    <w14:schemeClr w14:val="tx1"/>
                  </w14:solidFill>
                </w14:textFill>
              </w:rPr>
              <w:t>。</w:t>
            </w:r>
          </w:p>
          <w:p>
            <w:pPr>
              <w:pStyle w:val="9"/>
              <w:adjustRightInd w:val="0"/>
              <w:snapToGrid w:val="0"/>
              <w:spacing w:before="0" w:after="0" w:line="24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038725" cy="163830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38725" cy="1638300"/>
                          </a:xfrm>
                          <a:prstGeom prst="rect">
                            <a:avLst/>
                          </a:prstGeom>
                          <a:noFill/>
                          <a:ln>
                            <a:noFill/>
                          </a:ln>
                        </pic:spPr>
                      </pic:pic>
                    </a:graphicData>
                  </a:graphic>
                </wp:inline>
              </w:drawing>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图2-1  公路路基标准横断面图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（2）路基边坡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本项目位于陇东黄土高原区，该区域内主要以黄土为主，土质松散，路基尽量采用低填浅挖的形式，充分保证边坡的稳定性。路基边坡设计如下：</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路堤边坡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路堤边坡应根据填料性质、气候条件、工程地质、水文情况及边坡高度合理确定。一般填方路基边坡高度不大于20m，采用折线形边坡，边坡高度在10m内的边坡坡率采用1:1.5；大于10m小于20m的边坡坡率采用1:1.75；对于腰岘及局部填土高度较高的路段宜采用台阶式边坡，并逐级放缓边坡坡率，边坡高度大于20m的边坡坡率采用1：2，每10m为一级，中间设置2m平台。</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路堑边坡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挖方路堑边坡形式及坡率应根据工程地质和水文地质条件、边坡高度、排水措施、施工方法，并结合自然稳定山坡和人工边坡的调查及力学稳定性分析综合确定。本项目挖方多为土质路堑，一般采用折线型边坡，边坡坡脚碎落台宽1.0m，0-10m边坡坡率采用1：0.5，10-20m 边坡坡率采用1：0.75；深挖路段采用台阶型边坡，0-8m边坡坡率采用1：0.5，中间设置2m平台，8-16m边坡坡率采用1：0.75，中间设置2m平台；16-24m边坡坡率采用1：1，中间设置2m平台；边坡高度大于24m，每8m为一级，中间设置2m平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公路一般路段路堤为排水沟外缘以外1.0m，无排水沟时为路堤坡地或构造物外缘以外1.0m；路堑为截水沟外缘以外1.0m，无截水沟时为路堑坡顶以外1.0m；耕地、林地或村镇等特殊路段路堤为了节约占地，公路用地范围为排水沟外缘以外1.0m，无排水沟时为路堤坡地或构造物外缘以外1.0m；路堑为截水沟外缘以外1.0m，无截水沟时为路堑坡顶以外1.0m。</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（3）路基防护</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路基防护工程是防治路基病害、保证路基稳定的重要措施。根据公路功能，结合当地气候、水文、地质等情况，采取相应的防护措施，保证路基稳定。考虑到环境保护和美化景观，应加强路基防护与公路景观的协调关系。</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植物防护：在适宜植物生长的土质边坡上及村镇路段，优先采用种草、植树等植物防护措施。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（4）路基填筑和压实</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填筑前，路堤基底应清理和压实，路基填料以黄土为主，路基填料应尽量采用挖余土方，其余均设置集中取土场解决，路堤应分层铺筑，均匀压实。路基压实度应符合《公路工程技术标准》(JTG B01-2014)中表4.0.4的要求，压实标准采用重型击实标准，路基压实度采用</w:t>
            </w:r>
            <w:r>
              <w:rPr>
                <w:rFonts w:hint="eastAsia"/>
                <w:color w:val="000000" w:themeColor="text1"/>
                <w:sz w:val="24"/>
                <w14:textFill>
                  <w14:solidFill>
                    <w14:schemeClr w14:val="tx1"/>
                  </w14:solidFill>
                </w14:textFill>
              </w:rPr>
              <w:t>三</w:t>
            </w:r>
            <w:r>
              <w:rPr>
                <w:color w:val="000000" w:themeColor="text1"/>
                <w:sz w:val="24"/>
                <w14:textFill>
                  <w14:solidFill>
                    <w14:schemeClr w14:val="tx1"/>
                  </w14:solidFill>
                </w14:textFill>
              </w:rPr>
              <w:t>级公路标准，路堤路槽底面以下0～80cm范围内的压实度应≥95%，80～150cm范围内的压实度应≥94%，150cm以下的压实度应≥92%，零填及路堑路床（0～80cm）压实度应≥95%。</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（5）特殊路基处理</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路基翻浆</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公路沿线旧路路基局部路段翻浆，对于沿线翻浆路段采取的处治措施为：加强路基排水设施；采用砂砾或灰土等材料进行换填；提高路基填土高度。建议在下阶段设计中应根据现场实际情况，详细调查引起翻浆的具体原因，有针对性的采取相应的处治措施，如为地下水引起，应增设砂砾、砾石等隔断层，防止毛细水上升，并考虑适当加厚路面垫层厚度；对于地表排水设施不完善，排水不畅引起的路段，应重点加强防排水设施的设计等。</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拓宽路基、换填原有旧土边沟</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公路部分路段原有纵坡小，土边沟长期积水，本次加宽路基，需占用原有土边沟，为保证路基稳定，对原有土边沟采用5%灰土进行处理，建议根据实际情况适当加大路基纵坡，增设三角形边沟等排水设施，并予以加固，确保排水通畅。</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新旧路基衔接处理</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本项目路基存在大量的旧路加宽，为保证路基的整体稳定，预防或减少不均匀沉降产生的纵向裂缝，同时对既有构造物及防排水的详细调查的情况下，尽量做到利用既有设施，采取以下措施进行处理：</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清除地基表土或薄层软弱土，采取素土翻夯或灰土换填并加强压实，基底压实度提高达到91%；当拓宽路基的宽度不足一个压实宽度时，采用超宽填筑措施，路基填筑、压实施工完毕后，进行削坡处理，避免出现贴坡现象。加宽侧路床、路堤压实度提高一级，路床达到96%，上、下路堤分别达到95%、93%。新旧路基衔接处将原边坡挖成宽度不小于2m的台阶，并设向内倾4%横坡。</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2.2路面工程</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（1）路面结构组合及结构层厚度</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面层</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路面面层是直接承受汽车荷载作用和大气降水、温度变化影响的路面结构层，直接暴露于大气之中。保证足够的承载力、抵抗变形能力、良好的平整度、较强的抗滑性和耐久性，是沥青路面的基本要求。因此，面层材料的选用应考虑材料的性能要求及水稳性和防尘性等因素。本项目采用抗滑性能好，行车舒适性好，无接缝，噪音低，易维修的AC型的沥青混凝土面层。由于本项目气候特点为降雨量相对小、冬季寒冷，对混合料的低温抗裂性能要求较高。经过初步的调查研究，AC-</w:t>
            </w:r>
            <w:r>
              <w:rPr>
                <w:rFonts w:hint="eastAsia"/>
                <w:bCs/>
                <w:color w:val="000000" w:themeColor="text1"/>
                <w:sz w:val="24"/>
                <w14:textFill>
                  <w14:solidFill>
                    <w14:schemeClr w14:val="tx1"/>
                  </w14:solidFill>
                </w14:textFill>
              </w:rPr>
              <w:t>13细</w:t>
            </w:r>
            <w:r>
              <w:rPr>
                <w:bCs/>
                <w:color w:val="000000" w:themeColor="text1"/>
                <w:sz w:val="24"/>
                <w14:textFill>
                  <w14:solidFill>
                    <w14:schemeClr w14:val="tx1"/>
                  </w14:solidFill>
                </w14:textFill>
              </w:rPr>
              <w:t>粒式沥青混合料高温稳定及低温抗裂性能较为均衡，造价较低，施工工艺成熟，路面抗滑性能较好，故推荐面层AC-</w:t>
            </w:r>
            <w:r>
              <w:rPr>
                <w:rFonts w:hint="eastAsia"/>
                <w:bCs/>
                <w:color w:val="000000" w:themeColor="text1"/>
                <w:sz w:val="24"/>
                <w14:textFill>
                  <w14:solidFill>
                    <w14:schemeClr w14:val="tx1"/>
                  </w14:solidFill>
                </w14:textFill>
              </w:rPr>
              <w:t>13</w:t>
            </w:r>
            <w:r>
              <w:rPr>
                <w:bCs/>
                <w:color w:val="000000" w:themeColor="text1"/>
                <w:sz w:val="24"/>
                <w14:textFill>
                  <w14:solidFill>
                    <w14:schemeClr w14:val="tx1"/>
                  </w14:solidFill>
                </w14:textFill>
              </w:rPr>
              <w:t>。</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基层</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基层是路面结构中的重要承载层，主要承受由面层传来的车辆荷载的垂直力，并扩散到下面的土基中，起到扩散路面荷载、减少路面的变形，防止和减缓路面病害出现的作用。现阶段我国高等级公路主要采用半刚性基层路面，半刚性基层沥青路面已经成为我国高等级公路沥青路面的主要结构类型。本项目采用强度高，抗水损害性能好，施工要求相对较低的水泥稳定砂砾作为基层。</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底基层</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底基层是分布荷载的重要层次，它使交通荷载在路基中的盈利降低至可以承受的程度，起到路基和基层的分隔层作用。本项目采用整体强度高，施工速度快，受季节。雨水影响较小的低剂量水泥稳定天然砂砾作为底基层。</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④</w:t>
            </w:r>
            <w:r>
              <w:rPr>
                <w:bCs/>
                <w:color w:val="000000" w:themeColor="text1"/>
                <w:sz w:val="24"/>
                <w14:textFill>
                  <w14:solidFill>
                    <w14:schemeClr w14:val="tx1"/>
                  </w14:solidFill>
                </w14:textFill>
              </w:rPr>
              <w:t>路面结构</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结构层采用5cm AC-13沥青混凝土面层+18cm水泥稳定碎石基层+18cm冷再生底基层;春荣镇街道路面维持现有宽度采用5cmAC-13罩面处理;部分达不到冷再生要求路段采用18cm3.5%水泥稳定砂砾铺筑底基层</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冷再生路施工工艺：</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（1）旧沥青路面弯沉检测</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前应进行旧路面弯沉检测，一方面为了判断旧路地基承载能力，另一方面为了对再生施工后的效果与原路面进行对比分析。凭近几年在大中修工程中统计的数据对比得出，再生后的底基层弯沉值比旧路面弯沉值平均小30×10</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mm左右。从这一经验数据我们可以在以后的旧沥青路面冷再生施工中粗略的估计再生后的底基层承载能力。</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（2）试验确定配合比</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现场铣创拌合几段未加入集料和水泥的旧路面，实验室分别均衡取料进行筛分试验。试验结果应满足：最大粒径不能超过40mm，粒径为4.75mm的通过率不小于40%，粒径为0.6mm的通过率不小于10%，粒径为0.075mm的通过率宜在3%-20%之间。如果旧料级配不能满足上述要求时，应加入一定规格、数量的新集料进行调配。对符合级配要求的混合料进行五个不同水泥剂量的击实试验，确定混合料的最大干密度、最佳含水量等数据，通过无侧限抗压强度试验确定满足设计强度要求所需的水泥剂量。</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（3）试验段施工</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配合比完成后，即可进行试验段施工；试验路段长度宜为100m~200m。试验段施工应包括以下内容：1）计算每平方米水泥用量，并确定水泥摆放的纵、横向间距；2）冷再生机的工作参数：铣刨、破碎的深度；行进的速度；刀具的转速等；3）再生机每行进1米的用水量及供水车的数量；4）压实工艺主要参数：机械组合；压路机的规格、碾压遍数、碾压速度；碾压时含水量的允许偏差；5）优化后的施工组织方案及工艺等。在以上内容中，尤其是确定铣刨、破碎的深度往往被忽视。通过现场施工中的量测得出，再生后的底基层厚度大于铣刨、破碎的深度。以铣刨、破碎深度20cm为例，实际量测的碾压成型后的冷再生底基层厚度为23cm。其原因是铣刨、破碎时加入了一定量的水泥。所以，试验段施工后必须总结出冷再生底基层厚度与铣刨、破碎的深度的比值。否则，将使再生混合料中的水泥剂量偏小。</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（4）冷再生机施工</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冷再生机往返的最佳长度为100m左右，故当水泥摊铺长度达到100m左右时，冷再生机即可开始工作。工作时，发动冷再生机，根据试验段总结的数据调整下刀深度。当冷再生机原地铣创深度达到设定的深度值时，再以7m/min~10m/min的速度匀速行驶，同时推动洒水车前进，洒水车通过水管与冷再生机供水设备相连，由电脑装置按大于最佳含水量1%~2%的含水量自动控制。拌合时每幅的纵缝和横缝均采用搭接施工，一般纵缝搭接10cm，横缝搭接100cm。拌合过程中试验人员要随时检测再生混合料的含水量，保证控制在碾压时含水量的允许偏差范围内。</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（5）整形</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再生混合料拌合均匀后，用压路机进行初压，然后根据测量结果用平地机进行整平。根据旧沥青路面冷再生底基层施工的技术特点，经使用多种方法后的效果对比，笔者认为按以下方法初压、整平效果比较理想。由于再生机的构造特点，铣刨、拌合后的再生混合料顶面留有两道深深的再生机轮胎车辙。如果使用单钢轮振动压路机进行初压、整平，效果不好；因钢轮压路机与再生机轮胎压实的密实程度相差太大。经现场试验对比，利用大吨位的轮胎压路机进行初压、整平，效果比较理想。轮胎压路机对混合料具有“揉搓”作用，碾压后能暴露潜在的不平整，同时混合料的整体初压密实程度也比较均匀。</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（6）碾压成型</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整形后，当再生混合料的含水量为最佳含水量（+1%~+2%）时，应立即用轻型压路机并配合50t以上振动压路机在结构层全宽范围内进行碾压。直线段和不设超高的平曲线段由两侧向中心碾压；设平曲线的超高段，由低处向高处碾压。碾压时，轮迹应重叠1/2轮宽，碾压速度前两遍宜采用1.5km/h-1.7km/h，以后宜采用2.0km/h-2.5km/h。碾压过程中，再生混合料表面应始终保持湿润，如水分蒸发过快，可及时补洒少量的水，但严禁洒水过量。如有“弹簧”、松散、起皮现象，应及时翻开加适量水泥重新拌合，使其达到质量要求。在施工过程中，必须保证再生混合料从加水拌合到碾压成型的时间不应超过水泥的初凝时间。</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（7）养生</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每一段碾压完成并经压实度检查合格后，立即采用土工布覆盖洒水养生。养生期不应少于7天，养生期间应保持土工布吸水呈饱和状态，以防止冷再生底基层表面出现干湿循环、日照暴晒而干缩开裂。并且在养生期间，除洒水车外，应封闭交通；当不能封闭交通时，应限制重车通行，其它车辆车速不应超过30km/h。养生结束后即可进行下道工序施工。</w:t>
            </w:r>
          </w:p>
          <w:p>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（3）</w:t>
            </w:r>
            <w:r>
              <w:rPr>
                <w:color w:val="000000" w:themeColor="text1"/>
                <w:sz w:val="24"/>
                <w14:textFill>
                  <w14:solidFill>
                    <w14:schemeClr w14:val="tx1"/>
                  </w14:solidFill>
                </w14:textFill>
              </w:rPr>
              <w:t>桥梁涵洞</w:t>
            </w:r>
          </w:p>
          <w:p>
            <w:pPr>
              <w:spacing w:line="360" w:lineRule="auto"/>
              <w:ind w:firstLine="480" w:firstLineChars="200"/>
              <w:rPr>
                <w:color w:val="FF0000"/>
                <w:sz w:val="24"/>
              </w:rPr>
            </w:pPr>
            <w:r>
              <w:rPr>
                <w:color w:val="FF0000"/>
                <w:sz w:val="24"/>
              </w:rPr>
              <w:t>本项目全线无桥梁建设。</w:t>
            </w:r>
            <w:r>
              <w:rPr>
                <w:rFonts w:hint="eastAsia"/>
                <w:color w:val="FF0000"/>
                <w:sz w:val="24"/>
              </w:rPr>
              <w:t>1-1.0m钢波纹管涵51.8m/5道，1-1.0m钢筋混凝土盖板涵61m/6道</w:t>
            </w:r>
            <w:r>
              <w:rPr>
                <w:color w:val="FF0000"/>
                <w:sz w:val="24"/>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（4）交叉工程</w:t>
            </w:r>
          </w:p>
          <w:p>
            <w:pPr>
              <w:spacing w:line="360" w:lineRule="auto"/>
              <w:ind w:firstLine="480" w:firstLineChars="200"/>
              <w:rPr>
                <w:color w:val="FF0000"/>
                <w:sz w:val="24"/>
              </w:rPr>
            </w:pPr>
            <w:r>
              <w:rPr>
                <w:color w:val="FF0000"/>
                <w:sz w:val="24"/>
              </w:rPr>
              <w:t>本项目公路设置</w:t>
            </w:r>
            <w:r>
              <w:rPr>
                <w:rFonts w:hint="eastAsia"/>
                <w:color w:val="FF0000"/>
                <w:sz w:val="24"/>
                <w:lang w:val="en-US" w:eastAsia="zh-CN"/>
              </w:rPr>
              <w:t>60</w:t>
            </w:r>
            <w:r>
              <w:rPr>
                <w:color w:val="FF0000"/>
                <w:sz w:val="24"/>
              </w:rPr>
              <w:t>处平面交叉，均为公路与公路平面交叉。</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（5）连接线及辅道工程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本项目无连接线及辅道工程。</w:t>
            </w: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3、公用工程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（1）给水工程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施工时可从沿线经过的村庄拉运自来水作为工程用水。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（2）排水工程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1)设计原则</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路基综合排水设计，从保证路基稳定、减少水土流失以及尽量减少对沿线环境影响的角度出发，充分考虑了工程建设的实际情况及环境的特殊要求，分析和研究本地区的水文、地理、土质及边坡形式，对路基路面综合排水进行了系统设计，通过设置路侧排水沟以及线外涵洞、急流槽等连通排水沟以确保排水顺畅、路基稳定，设计总体原则为：</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公路修建后，尽量做到不干扰、不改变农田原有的排灌系统，确保农业生产的正常进行；农田路段，公路路基排水自成体系，防止污水进入农田灌溉系统；</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路基排水沟与沿线通道、灌渠交叉产生干扰时，采取改移沟渠、设置线外涵洞等工程措施，尽量做到不干扰、不破坏原有的排灌体系，同时避免路面污水直接排入农田；</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塬面段部分路段采用三角形边沟，其他地方根据现场情况设置梯形边沟和矩形边沟，并采用滑模施工工艺。排水沟、急流槽和截水沟等小断面排水设施，本项目均采用C20混凝土现浇；</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路面排水按重现期5年，路界内坡面排水按重现期15年，依据《公路排水设计规范》（JTG/TD33-2012）中提出的明渠流计算公式计算；</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color w:val="000000" w:themeColor="text1"/>
                <w:sz w:val="24"/>
                <w14:textFill>
                  <w14:solidFill>
                    <w14:schemeClr w14:val="tx1"/>
                  </w14:solidFill>
                </w14:textFill>
              </w:rPr>
              <w:t>排水构造物设计充分考虑与沿线地形、地貌、自然环境的协调，形式多样，美观大方，满足景观和绿化的需求。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2)设计情况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路基地表排水设施包括边沟、排水沟、拦水带、急流槽和截水沟，并结合地形，做好进出口位置选择和处理，防止出现堵塞、溢流、渗漏、淤积和冲刷等现象。排水工程的加固根据沿线筑路材料分布特点和所处位置习惯，因地制宜选用使用材料，边沟、排水沟等主要排水设施加固材料均采用现浇砼。</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排水沟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全线对边沟水需要外排至山沟、涵洞连接段设置排水沟，尺寸为底宽 0.4m，深0.4m，边坡坡率为1：1，采用现浇C25现浇砾石混凝土进行了加固，加固厚度为8cm。</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边沟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为了加强路基排水，本次设计岘子段设置了现浇 C25 现浇砾石混凝土矩形加固边沟，宽0.6m，深0.6m，其余均为土边沟。</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边沟涵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了保证公路沿线群众出入方便和边沟排水畅通，在通往农家及田间小路处分别设置了矩形边沟涵和钢筋砼圆管；矩形边沟涵采用边沟盖板厚18cm的矩形边沟涵，底宽0.6m，深0.6m，加固厚度25cm。钢筋砼圆管采用口径0.3m钢筋混凝土圆管。</w:t>
            </w:r>
          </w:p>
          <w:p>
            <w:pPr>
              <w:spacing w:line="360" w:lineRule="auto"/>
              <w:ind w:firstLine="480" w:firstLineChars="200"/>
              <w:rPr>
                <w:color w:val="FF0000"/>
                <w:sz w:val="24"/>
              </w:rPr>
            </w:pPr>
            <w:r>
              <w:rPr>
                <w:color w:val="FF0000"/>
                <w:sz w:val="24"/>
              </w:rPr>
              <w:fldChar w:fldCharType="begin"/>
            </w:r>
            <w:r>
              <w:rPr>
                <w:color w:val="FF0000"/>
                <w:sz w:val="24"/>
              </w:rPr>
              <w:instrText xml:space="preserve"> = 4 \* GB3 \* MERGEFORMAT </w:instrText>
            </w:r>
            <w:r>
              <w:rPr>
                <w:color w:val="FF0000"/>
                <w:sz w:val="24"/>
              </w:rPr>
              <w:fldChar w:fldCharType="separate"/>
            </w:r>
            <w:r>
              <w:rPr>
                <w:rFonts w:hint="eastAsia" w:ascii="宋体" w:hAnsi="宋体" w:cs="宋体"/>
                <w:color w:val="FF0000"/>
              </w:rPr>
              <w:t>④</w:t>
            </w:r>
            <w:r>
              <w:rPr>
                <w:color w:val="FF0000"/>
                <w:sz w:val="24"/>
              </w:rPr>
              <w:fldChar w:fldCharType="end"/>
            </w:r>
            <w:r>
              <w:rPr>
                <w:color w:val="FF0000"/>
                <w:sz w:val="24"/>
              </w:rPr>
              <w:t>蒸发池</w:t>
            </w:r>
          </w:p>
          <w:p>
            <w:pPr>
              <w:spacing w:line="360" w:lineRule="auto"/>
              <w:ind w:firstLine="480" w:firstLineChars="200"/>
              <w:jc w:val="left"/>
              <w:rPr>
                <w:color w:val="000000" w:themeColor="text1"/>
                <w14:textFill>
                  <w14:solidFill>
                    <w14:schemeClr w14:val="tx1"/>
                  </w14:solidFill>
                </w14:textFill>
              </w:rPr>
            </w:pPr>
            <w:r>
              <w:rPr>
                <w:color w:val="FF0000"/>
                <w:sz w:val="24"/>
              </w:rPr>
              <w:t>沿线主要排水设施有边沟、排水沟，由于部分路段左右两侧均为耕地，无法引入涵洞进行排水，因此，本项目共设置</w:t>
            </w:r>
            <w:r>
              <w:rPr>
                <w:rFonts w:hint="eastAsia"/>
                <w:color w:val="FF0000"/>
                <w:sz w:val="24"/>
              </w:rPr>
              <w:t>8座蒸发池</w:t>
            </w:r>
            <w:r>
              <w:rPr>
                <w:color w:val="FF0000"/>
                <w:sz w:val="24"/>
              </w:rPr>
              <w:t>，将路面及边坡水引至蒸发池排离。蒸发池四周通过隔离栅围护，蒸发池尺寸为均为</w:t>
            </w:r>
            <w:r>
              <w:rPr>
                <w:rFonts w:hint="eastAsia"/>
                <w:color w:val="FF0000"/>
                <w:sz w:val="24"/>
              </w:rPr>
              <w:t>2</w:t>
            </w:r>
            <w:r>
              <w:rPr>
                <w:color w:val="FF0000"/>
                <w:sz w:val="24"/>
              </w:rPr>
              <w:t>0*10*3m。</w:t>
            </w:r>
            <w:r>
              <w:rPr>
                <w:color w:val="000000" w:themeColor="text1"/>
                <w14:textFill>
                  <w14:solidFill>
                    <w14:schemeClr w14:val="tx1"/>
                  </w14:solidFill>
                </w14:textFill>
              </w:rPr>
              <w:drawing>
                <wp:inline distT="0" distB="0" distL="114300" distR="114300">
                  <wp:extent cx="4452620" cy="317182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457700" cy="3175409"/>
                          </a:xfrm>
                          <a:prstGeom prst="rect">
                            <a:avLst/>
                          </a:prstGeom>
                          <a:noFill/>
                          <a:ln>
                            <a:noFill/>
                          </a:ln>
                        </pic:spPr>
                      </pic:pic>
                    </a:graphicData>
                  </a:graphic>
                </wp:inline>
              </w:drawing>
            </w:r>
          </w:p>
          <w:p>
            <w:pPr>
              <w:pStyle w:val="13"/>
              <w:ind w:left="0" w:leftChars="0"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蒸发池结构平面示意图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（3）供电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沿线电力供应比较充裕，各乡镇及其所辖自然村均有不同功率的变压器，可满足工程用电需求。各施工场地用电时，可从附近变电站引电，若距离长，也可设置专用的供电线路。</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（4）交通工程</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标志牌</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对于村镇、平面交叉、较大纵坡、急弯等处均设置标志牌，地名标志设置于沿线村庄的中部，所有标志均采用铝合金标志牌，热镀锌钢管支柱、钢筋混凝土基础的支撑形式；</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1）标志板的安装高度为：单柱式和双柱式标志下边缘距路面220cm；受场地限制时，可适当调整标志位置，但不得侵入公路建筑界限以内。</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标志板采用铝合金板：标志板厚2mm，并采用滑动槽钢进行加固，以方便与立柱连接。立柱采用钢管。标志板与滑动槽钢的连接采用滑块连接；立柱与滑动槽钢采用抱箍连接，立柱与基础通过法兰盘用高强度螺栓连接，标志柱顶端用塑料柱帽封盖，其结合部分应粘接牢固，以防脱落。标志版面图文及底板均贴四级反光膜。反光膜技术标准应符合交通行业标准《公路交通标志板技术条件》（JT/T279-1995）的有关规定。</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3）钢管立柱、滑动槽钢、法兰盘和各种连接件应进行热浸镀锌防腐处理。</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4）标志基础施工采用明挖法，现浇混凝土进行洒水养生，待强度达到设计强度的90%以上时，方可安装立柱等上部部件。</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安全设施</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安全护栏设置的目的是阻止车辆越出路外；吸收碰撞能量并使车辆回复到行驶方向，以尽量减少驾乘人员和车辆的损害；同时设置护栏能诱导驾驶员的视线。根据本项目的特点，护栏按以下原则布设；防撞等级为C级。</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本次采用的护栏形式为波形护栏和混凝土墙式护栏，一般路段设置Gr-C-4E或Gr-C-2E型波形护栏。波形护栏的设置最小长度为28m，混凝土墙式护栏设置最小长度为12m。</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1）波形梁护栏</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材料要求（依据《公路波形钢护栏》（JT/T281-2007）规定）波形梁板、波形梁垫板、过渡板、立柱、防阻块、端头等所用材质为碳素结构钢，其力学性能及化学成分指标应不低于GB700规定的Q235牌号钢的要求；连接螺栓、螺母、垫圈、横梁垫片等所用材质为碳素结构钢，其力学性能等级应为GB/T3098.1规定的4.6级，其抗拉强度不小于400Mpa，屈服强度不小于240Mpa；高强度拼接螺栓连接副应选用优质碳素结构钢或合金结构钢制造，其化学成分及力学性能应符合GB/T1591的规定，公称直径16mm或20mm，8.8S级抗拉荷载不小于133kN。</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2）防腐和美观要求</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波形梁护栏的所有构件应进行防腐处理，波形梁板、过渡板、立柱、防阻块、端头及紧固件均采用内层热浸镀锌的处理方法。波形梁板、立柱、端头镀锌量为600克/平方米，涂层厚度为85μm；紧固件、防阻块镀锌量为350克/平方米，涂层厚度为50μm。</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3）波形梁辅助材料</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波形梁护栏全部采用热浸镀锌；热浸镀锌应为《锌锭》（GB/T470-1997）中所规定的特一号锌或一号锌锭。波形梁护栏的端部设置明显的警示标志（护栏端头粘贴15cm宽与行车方向成45度角黑黄相间反光膜），提醒驾驶人员注意安全。</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里程碑：里程碑采用C25钢筋混凝土预制块，设置于路线前进方向的右侧路肩上。</w:t>
            </w:r>
          </w:p>
          <w:p>
            <w:pPr>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道口标柱</w:t>
            </w:r>
          </w:p>
          <w:p>
            <w:pPr>
              <w:spacing w:line="360" w:lineRule="auto"/>
              <w:ind w:firstLine="480" w:firstLineChars="200"/>
              <w:rPr>
                <w:bCs/>
                <w:color w:val="FF0000"/>
                <w:sz w:val="24"/>
              </w:rPr>
            </w:pPr>
            <w:r>
              <w:rPr>
                <w:rFonts w:hint="eastAsia"/>
                <w:bCs/>
                <w:color w:val="FF0000"/>
                <w:sz w:val="24"/>
              </w:rPr>
              <w:t>Gr-B-2E波形钢板护栏2724m，Gr-B-2C波形钢板护栏302m</w:t>
            </w:r>
            <w:r>
              <w:rPr>
                <w:rFonts w:hint="eastAsia"/>
                <w:bCs/>
                <w:color w:val="FF0000"/>
                <w:sz w:val="24"/>
                <w:lang w:eastAsia="zh-CN"/>
              </w:rPr>
              <w:t>，</w:t>
            </w:r>
            <w:r>
              <w:rPr>
                <w:rFonts w:hint="eastAsia"/>
                <w:bCs/>
                <w:color w:val="FF0000"/>
                <w:sz w:val="24"/>
              </w:rPr>
              <w:t>道口标柱 232 根，单柱式铝合金标志牌 (警告、禁令、让行人行道口)196块，单柱式铝合金标志牌(学校标志)2块，单柱式铝合金标志牌(线形诱导标志)95块，双柱式铝合金标志(指路) 19块，凸面镜8块，热熔标线 9930.47m</w:t>
            </w:r>
            <w:r>
              <w:rPr>
                <w:rFonts w:hint="eastAsia"/>
                <w:bCs/>
                <w:color w:val="FF0000"/>
                <w:sz w:val="24"/>
                <w:vertAlign w:val="superscript"/>
              </w:rPr>
              <w:t>2</w:t>
            </w:r>
            <w:r>
              <w:rPr>
                <w:rFonts w:hint="eastAsia"/>
                <w:bCs/>
                <w:color w:val="FF0000"/>
                <w:sz w:val="24"/>
              </w:rPr>
              <w:t>，震荡减速标线 298.35m</w:t>
            </w:r>
            <w:r>
              <w:rPr>
                <w:rFonts w:hint="eastAsia"/>
                <w:bCs/>
                <w:color w:val="FF0000"/>
                <w:sz w:val="24"/>
                <w:vertAlign w:val="superscript"/>
              </w:rPr>
              <w:t>2</w:t>
            </w:r>
            <w:r>
              <w:rPr>
                <w:rFonts w:hint="eastAsia"/>
                <w:bCs/>
                <w:color w:val="FF0000"/>
                <w:sz w:val="24"/>
                <w:vertAlign w:val="baseline"/>
                <w:lang w:eastAsia="zh-CN"/>
              </w:rPr>
              <w:t>，</w:t>
            </w:r>
            <w:r>
              <w:rPr>
                <w:rFonts w:hint="eastAsia"/>
                <w:bCs/>
                <w:color w:val="FF0000"/>
                <w:sz w:val="24"/>
              </w:rPr>
              <w:t>双组份彩色防滑标线714m</w:t>
            </w:r>
            <w:r>
              <w:rPr>
                <w:rFonts w:hint="eastAsia"/>
                <w:bCs/>
                <w:color w:val="FF0000"/>
                <w:sz w:val="24"/>
                <w:vertAlign w:val="superscript"/>
              </w:rPr>
              <w:t>2</w:t>
            </w:r>
            <w:r>
              <w:rPr>
                <w:rFonts w:hint="eastAsia"/>
                <w:bCs/>
                <w:color w:val="FF0000"/>
                <w:sz w:val="24"/>
              </w:rPr>
              <w:t>，混凝土里程牌26个、混凝土百米桩214个、混凝土界碑252 个，铝合金百米桩12个，轮廓标252个</w:t>
            </w:r>
            <w:r>
              <w:rPr>
                <w:rFonts w:hint="eastAsia"/>
                <w:bCs/>
                <w:color w:val="FF0000"/>
                <w:sz w:val="24"/>
                <w:lang w:eastAsia="zh-CN"/>
              </w:rPr>
              <w:t>，</w:t>
            </w:r>
            <w:r>
              <w:rPr>
                <w:rFonts w:hint="eastAsia"/>
                <w:bCs/>
                <w:color w:val="FF0000"/>
                <w:sz w:val="24"/>
              </w:rPr>
              <w:t>拆除铝合金标志 110个，拆除混凝土23m</w:t>
            </w:r>
            <w:r>
              <w:rPr>
                <w:rFonts w:hint="eastAsia"/>
                <w:bCs/>
                <w:color w:val="FF0000"/>
                <w:sz w:val="24"/>
                <w:vertAlign w:val="superscript"/>
              </w:rPr>
              <w:t>3</w:t>
            </w:r>
            <w:r>
              <w:rPr>
                <w:rFonts w:hint="eastAsia"/>
                <w:bCs/>
                <w:color w:val="FF0000"/>
                <w:sz w:val="24"/>
              </w:rPr>
              <w:t>，拆除波形梁护栏821m</w:t>
            </w:r>
            <w:r>
              <w:rPr>
                <w:rFonts w:hint="eastAsia"/>
                <w:bCs/>
                <w:color w:val="FF0000"/>
                <w:sz w:val="24"/>
                <w:lang w:eastAsia="zh-CN"/>
              </w:rPr>
              <w:t>，</w:t>
            </w:r>
            <w:r>
              <w:rPr>
                <w:rFonts w:hint="eastAsia"/>
                <w:bCs/>
                <w:color w:val="FF0000"/>
                <w:sz w:val="24"/>
              </w:rPr>
              <w:t>拆除道口标柱140根，拆除百米桩214个</w:t>
            </w:r>
            <w:r>
              <w:rPr>
                <w:bCs/>
                <w:color w:val="FF0000"/>
                <w:sz w:val="24"/>
              </w:rPr>
              <w:t>。</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4、项目实施计划</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本项目所在地正在根据西部大开发和国家扩大内需政策大力发展地方经济，对公路建设迫切需要，因此工程应早开工、早运营、早见效益，根据相关文件精神，本项目拟按如下计划安排实施：</w:t>
            </w:r>
            <w:r>
              <w:rPr>
                <w:rFonts w:hint="eastAsia"/>
                <w:bCs/>
                <w:color w:val="000000" w:themeColor="text1"/>
                <w:sz w:val="24"/>
                <w14:textFill>
                  <w14:solidFill>
                    <w14:schemeClr w14:val="tx1"/>
                  </w14:solidFill>
                </w14:textFill>
              </w:rPr>
              <w:t>本工程计划于2023年4月全线开工建设，2024年10月中旬建成通车，建设工期18个月</w:t>
            </w:r>
            <w:r>
              <w:rPr>
                <w:bCs/>
                <w:color w:val="000000" w:themeColor="text1"/>
                <w:sz w:val="24"/>
                <w14:textFill>
                  <w14:solidFill>
                    <w14:schemeClr w14:val="tx1"/>
                  </w14:solidFill>
                </w14:textFill>
              </w:rPr>
              <w:t>。</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前期工作建议：本项目为三级公路铺油工程，设计统一由具有相应资质的勘测、设计单位承担。全线开工时间根据前期工作的周期需要，先期开始征地、拆迁及招投标工作，施工单位的选择宜采用省内公开招标，施工单位必须选择具有施工经验丰富的交通部认可的资质单位承担，以确保施工质量和进度。</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5、项目施工方案</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选择合理的实施方案是项目顺利实施的基本保障，本项目实施方案主要包括实施技术方案和交通组织方案。</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1、技术可靠：根据各分项工程的技术特点选择实施方案，合理安排工序和工艺，确保工程质量；</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2、方便适用：采用的实施方案要切合实际条件，并尽量减小对现有交通的影响，不盲目追求高技术；</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3、快捷经济：实施方案的选择要适用工期需要，同时要充分考虑建设投资的控制，总布置及施工方案尤其在临时工程上要多协调，尽可能降低临时工程的投入。</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5.1 路基、路面工程</w:t>
            </w:r>
          </w:p>
          <w:p>
            <w:pPr>
              <w:autoSpaceDE w:val="0"/>
              <w:autoSpaceDN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1、路基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路基一般设计主要是根据路线经过地区不同的地貌、地物、地形、土质情况，为满足路基标准横断面及填土高度要求等而采取的如填料选择、变化边坡率、护坡道处理及沿沟、河处理等具体措施的实际反映，一般路基设计时应注意如下几点：</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(1)路基设计应符合公路建设的基本原则和《公路工程技术标准》(JTGB01-2014)规定的具体要求；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(2)路基设计应兼顾当地农田基本建设的需要，沿沟、河等地段应清除淤泥或软土，分层填土碾压并做好防护、排水工作，应注意路基不被洪水淹没或冲毁；</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加强纵、横向填挖交界路段、斜坡路段的路基设计，确保路基安全稳定、可靠。地面坡度（包括清淤后坡度）陡于1:5时，在填筑土方前，需将地面挖成台阶，台阶宽度不小于2.0m。台阶顶面应做成2%～4%的反向横坡，以防路基滑动而影响其稳定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(4)必须严格按《公路路基设计规范》(JTGD30-2015)中要求的重型击实标准施工、检测路基压实度，确保路基本身不产生不均匀下降；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(5)路基设计与施工必须注意与周围环境相协调，充分考虑地区特点，尽量有效利用自然地形，加强绿化，改善变化后的地形和景观；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(6)特殊地质地段，应按特殊路基进行设计。</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填方路段需要大量借土，因此应合理调配土石方，并与地方政府充分协调，选择经济的取土坑位置和临时用地位置。为了节约土地资源，对于部分取土坑占地以及临时占用土地，应做好土地的复耕和返还工作。</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对于挖方路段，路基施工过程中应做好临时排水设施，防止路基范围内积水，影响路基的稳定性。此外，开挖的弃土应按设计的要求堆放，不能造成次生灾害。同时，在路基填筑过程中，要注意施工对当地群众生活和自然条件的影响，从而采取有效措施以减小对当地的影响。</w:t>
            </w:r>
          </w:p>
          <w:p>
            <w:pPr>
              <w:autoSpaceDE w:val="0"/>
              <w:autoSpaceDN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2、路面</w:t>
            </w:r>
          </w:p>
          <w:p>
            <w:pPr>
              <w:autoSpaceDE w:val="0"/>
              <w:autoSpaceDN w:val="0"/>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路面施工优先采用机械化施工方案，有条件的情况下应优先引进高效的滑模摊铺机和配套搅拌设备，实现全集中拌合。严格控制材料用量和材料组成，实行严格的工序管理，做好现场监理与工序检测工作、确保施工质量。路面施工前应做好各项室内试验工作。路面对施工</w:t>
            </w:r>
            <w:r>
              <w:rPr>
                <w:bCs/>
                <w:color w:val="000000" w:themeColor="text1"/>
                <w:sz w:val="24"/>
                <w14:textFill>
                  <w14:solidFill>
                    <w14:schemeClr w14:val="tx1"/>
                  </w14:solidFill>
                </w14:textFill>
              </w:rPr>
              <w:t>季节</w:t>
            </w:r>
            <w:r>
              <w:rPr>
                <w:color w:val="000000" w:themeColor="text1"/>
                <w:sz w:val="24"/>
                <w14:textFill>
                  <w14:solidFill>
                    <w14:schemeClr w14:val="tx1"/>
                  </w14:solidFill>
                </w14:textFill>
              </w:rPr>
              <w:t>、施工温度、原材料、配合比、平整度都有很高的要求，故路面工程的施工对施工单位的要求较高，宜采用配套路面机械设备，专业化施工方案，严格控制混合料的配合比，确保路面的各种指标符合各项规定要求。对老路改造部分，应按要求对原路面进行补强，并在设计方案和施工工艺上确保新旧路面、基层之间的可靠搭接。</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5.2桥涵工程</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本项目新建</w:t>
            </w:r>
            <w:r>
              <w:rPr>
                <w:rFonts w:hint="eastAsia"/>
                <w:bCs/>
                <w:color w:val="000000" w:themeColor="text1"/>
                <w:sz w:val="24"/>
                <w14:textFill>
                  <w14:solidFill>
                    <w14:schemeClr w14:val="tx1"/>
                  </w14:solidFill>
                </w14:textFill>
              </w:rPr>
              <w:t>涵洞</w:t>
            </w:r>
            <w:r>
              <w:rPr>
                <w:bCs/>
                <w:color w:val="000000" w:themeColor="text1"/>
                <w:sz w:val="24"/>
                <w14:textFill>
                  <w14:solidFill>
                    <w14:schemeClr w14:val="tx1"/>
                  </w14:solidFill>
                </w14:textFill>
              </w:rPr>
              <w:t>尽量采用标准跨径，施工方法以预制为主，施工时要安排在枯水季节。</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5.3沿线设施及其他工程</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施工时本着沿线设施符合规范，临时工程满足要求，永久工程确保质量的要求进行施工，严格执行有关标准。项目区临时设施应尽可能选择路线附近的空旷地进行临建。</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5.4施工期间安全保通方案</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在改建路段，新老路基重合，采用半幅施工，半幅通车的施工方法，并在两端设置交通指挥岗哨，安排专人组织交通，以保证道路的畅通及行车安全。</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涵洞是公路路基工程的重要的组成部分，能有效的疏导公路两侧的水流，防止流水侵害路基，是工程质量的保证。在涵洞施工时为了保证工程质量，且不影响路面的交通，涵洞工程施工采用半幅施工。</w:t>
            </w:r>
          </w:p>
          <w:p>
            <w:pPr>
              <w:autoSpaceDE w:val="0"/>
              <w:autoSpaceDN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6、安全保通措施</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1）施工前先与当地交通管理部门取得联系，并积极与其合作协调营造良好的作业环境和通行环境；并在开工前提前通</w:t>
            </w:r>
            <w:r>
              <w:rPr>
                <w:color w:val="000000" w:themeColor="text1"/>
                <w:sz w:val="24"/>
                <w14:textFill>
                  <w14:solidFill>
                    <w14:schemeClr w14:val="tx1"/>
                  </w14:solidFill>
                </w14:textFill>
              </w:rPr>
              <w:t>知监理工程师、业主及当地交通管理部</w:t>
            </w:r>
            <w:r>
              <w:rPr>
                <w:bCs/>
                <w:color w:val="000000" w:themeColor="text1"/>
                <w:sz w:val="24"/>
                <w14:textFill>
                  <w14:solidFill>
                    <w14:schemeClr w14:val="tx1"/>
                  </w14:solidFill>
                </w14:textFill>
              </w:rPr>
              <w:t>门，以便及时向社会各界告知施工信息；</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2）加强对施工人员进场前的保通知识教育，使施工人员充分认识道路畅通对工程顺利施工的至关重要性，达到人人重视保通工程，人人关心保通工程；</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3）在施工地段的两端竖立显示正在施工的警告标志，施工标志牌；</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4）施工现场，夜间必须设置照明设备，以确保行人行车安全；</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5）在单车道维持通车地段的适当地点放置会让处，实行交通管制，配置专人和通讯设备，指挥交通，疏导车辆；</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6）施工所用的工程材料，严禁堆放在既有公路上，各种施工机械、设备不得在既有公路上停置；</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7）按照规范设置施工标志牌、道路封闭标牌、限速标志、交通安全锥等；</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8）保持原公路排水系统通畅，不淤不堵，防止水从路面上漫流，破坏路面结构，从而造成堵车现象；</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9）整个施工期间，对施工路段内公路进行维护，保持路面完好；当有车辆发生故障停在道路上、有可能防碍交通时，积极协助车主、交警将事故车辆转移到适当地方，以保证交通、保证安全。</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7、总投资与环保投资</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项目总投资</w:t>
            </w:r>
            <w:r>
              <w:rPr>
                <w:rFonts w:hint="eastAsia"/>
                <w:bCs/>
                <w:color w:val="000000" w:themeColor="text1"/>
                <w:sz w:val="24"/>
                <w14:textFill>
                  <w14:solidFill>
                    <w14:schemeClr w14:val="tx1"/>
                  </w14:solidFill>
                </w14:textFill>
              </w:rPr>
              <w:t>8571.3935</w:t>
            </w:r>
            <w:r>
              <w:rPr>
                <w:bCs/>
                <w:color w:val="000000" w:themeColor="text1"/>
                <w:sz w:val="24"/>
                <w14:textFill>
                  <w14:solidFill>
                    <w14:schemeClr w14:val="tx1"/>
                  </w14:solidFill>
                </w14:textFill>
              </w:rPr>
              <w:t>万元，环保投资</w:t>
            </w:r>
            <w:r>
              <w:rPr>
                <w:rFonts w:hint="eastAsia"/>
                <w:bCs/>
                <w:color w:val="000000" w:themeColor="text1"/>
                <w:sz w:val="24"/>
                <w14:textFill>
                  <w14:solidFill>
                    <w14:schemeClr w14:val="tx1"/>
                  </w14:solidFill>
                </w14:textFill>
              </w:rPr>
              <w:t>160</w:t>
            </w:r>
            <w:r>
              <w:rPr>
                <w:bCs/>
                <w:color w:val="000000" w:themeColor="text1"/>
                <w:sz w:val="24"/>
                <w14:textFill>
                  <w14:solidFill>
                    <w14:schemeClr w14:val="tx1"/>
                  </w14:solidFill>
                </w14:textFill>
              </w:rPr>
              <w:t>万元，环保投资约占整个项目投资的</w:t>
            </w:r>
            <w:r>
              <w:rPr>
                <w:rFonts w:hint="eastAsia"/>
                <w:bCs/>
                <w:color w:val="000000" w:themeColor="text1"/>
                <w:sz w:val="24"/>
                <w14:textFill>
                  <w14:solidFill>
                    <w14:schemeClr w14:val="tx1"/>
                  </w14:solidFill>
                </w14:textFill>
              </w:rPr>
              <w:t>1.87</w:t>
            </w:r>
            <w:r>
              <w:rPr>
                <w:bCs/>
                <w:color w:val="000000" w:themeColor="text1"/>
                <w:sz w:val="24"/>
                <w14:textFill>
                  <w14:solidFill>
                    <w14:schemeClr w14:val="tx1"/>
                  </w14:solidFill>
                </w14:textFill>
              </w:rPr>
              <w:t>%。</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8、工程占地</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本项目为旧路改建，工程路基外围主要有耕地、荒地和林地，路线基本沿既有旧路布设，不占用耕地和林地。</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9、临时工程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施工营地：本项目不设施工营地。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施工便道：本项目不设施工临时便道，采用诱导分流、单车道封闭、半幅封闭等交通组织方式。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临时料场：本项目土石方纵向调运，由建设单位统一调配，设置一处临时料场，位于远离居民</w:t>
            </w:r>
            <w:r>
              <w:rPr>
                <w:rFonts w:hint="eastAsia"/>
                <w:color w:val="000000" w:themeColor="text1"/>
                <w:sz w:val="24"/>
                <w14:textFill>
                  <w14:solidFill>
                    <w14:schemeClr w14:val="tx1"/>
                  </w14:solidFill>
                </w14:textFill>
              </w:rPr>
              <w:t>和水源地</w:t>
            </w:r>
            <w:r>
              <w:rPr>
                <w:color w:val="000000" w:themeColor="text1"/>
                <w:sz w:val="24"/>
                <w14:textFill>
                  <w14:solidFill>
                    <w14:schemeClr w14:val="tx1"/>
                  </w14:solidFill>
                </w14:textFill>
              </w:rPr>
              <w:t>的空地。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临时堆土场：本项目土石方基本平衡，临时堆土场，选择远离居民的空地，工程结束后及时进行生态恢复。</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弃土场：项目在K23+200处设置弃土场一处，占地面积7.6亩，占地现状为荒沟，施工结束后撒苜蓿绿化。</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混凝土拌合站及沥青拌合站：本项目所用水泥混凝土和沥青混凝土均外购成品，现场不进行拌和作业。</w:t>
            </w: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10、工程地质情况</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（1）地质构造</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在区域地质构造上，本项目区位于六盘山褶皱带以东，鄂尔多斯地台的中西部，属祁吕贺“山”字型构造的伊陕盾地，中生代以来，这里虽然经历了燕山运动和喜马拉雅运动的影响，地区构造运动以整体缓慢升降运动为主，构造断裂活动较弱，地层产状近水平。构造不发育，基底白垩系地层基本呈水平状态。出露地层较为简单，均为白垩系（罗汉洞组）的细砂岩和泥质粉砂岩，上覆黄土。从整体地质构造条件而言，没有大的断层和滑坡等影响。全区为同一构造类型，各构造体系的构造形迹表现比较微弱，对基及构造物基本无影响，因此从工程建设考虑，工程区属于区域构造稳定地区。</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（2）地层岩性</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本项目沿线出露地层主要为第四系、白垩系，产状近水平，第四系分布广泛，发育良好，出露比较齐全。沿线出露地层由新到老有：</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第四系地层：（Q）</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冲、洪积层（Q</w:t>
            </w:r>
            <w:r>
              <w:rPr>
                <w:bCs/>
                <w:color w:val="000000" w:themeColor="text1"/>
                <w:sz w:val="24"/>
                <w:vertAlign w:val="subscript"/>
                <w14:textFill>
                  <w14:solidFill>
                    <w14:schemeClr w14:val="tx1"/>
                  </w14:solidFill>
                </w14:textFill>
              </w:rPr>
              <w:t>4</w:t>
            </w:r>
            <w:r>
              <w:rPr>
                <w:bCs/>
                <w:color w:val="000000" w:themeColor="text1"/>
                <w:sz w:val="24"/>
                <w:vertAlign w:val="superscript"/>
                <w14:textFill>
                  <w14:solidFill>
                    <w14:schemeClr w14:val="tx1"/>
                  </w14:solidFill>
                </w14:textFill>
              </w:rPr>
              <w:t>al+pl</w:t>
            </w:r>
            <w:r>
              <w:rPr>
                <w:bCs/>
                <w:color w:val="000000" w:themeColor="text1"/>
                <w:sz w:val="24"/>
                <w14:textFill>
                  <w14:solidFill>
                    <w14:schemeClr w14:val="tx1"/>
                  </w14:solidFill>
                </w14:textFill>
              </w:rPr>
              <w:t>）：组成河流Ⅰ、Ⅱ级阶地的底部广泛发育，由砂砾、砂砾土及淤积形成的粉土组成。</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新黄土（Q</w:t>
            </w:r>
            <w:r>
              <w:rPr>
                <w:bCs/>
                <w:color w:val="000000" w:themeColor="text1"/>
                <w:sz w:val="24"/>
                <w:vertAlign w:val="subscript"/>
                <w14:textFill>
                  <w14:solidFill>
                    <w14:schemeClr w14:val="tx1"/>
                  </w14:solidFill>
                </w14:textFill>
              </w:rPr>
              <w:t>3</w:t>
            </w:r>
            <w:r>
              <w:rPr>
                <w:bCs/>
                <w:color w:val="000000" w:themeColor="text1"/>
                <w:sz w:val="24"/>
                <w:vertAlign w:val="superscript"/>
                <w14:textFill>
                  <w14:solidFill>
                    <w14:schemeClr w14:val="tx1"/>
                  </w14:solidFill>
                </w14:textFill>
              </w:rPr>
              <w:t>elo</w:t>
            </w:r>
            <w:r>
              <w:rPr>
                <w:bCs/>
                <w:color w:val="000000" w:themeColor="text1"/>
                <w:sz w:val="24"/>
                <w14:textFill>
                  <w14:solidFill>
                    <w14:schemeClr w14:val="tx1"/>
                  </w14:solidFill>
                </w14:textFill>
              </w:rPr>
              <w:t>）：土黄色，土质疏松，垂直节理及大空隙发育，见白色菌丝状钙质条纹及钙质结合，在河谷阶地多有分布，为新近形成的次生黄土。</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老黄土（Q</w:t>
            </w:r>
            <w:r>
              <w:rPr>
                <w:bCs/>
                <w:color w:val="000000" w:themeColor="text1"/>
                <w:sz w:val="24"/>
                <w:vertAlign w:val="subscript"/>
                <w14:textFill>
                  <w14:solidFill>
                    <w14:schemeClr w14:val="tx1"/>
                  </w14:solidFill>
                </w14:textFill>
              </w:rPr>
              <w:t>2-3</w:t>
            </w:r>
            <w:r>
              <w:rPr>
                <w:bCs/>
                <w:color w:val="000000" w:themeColor="text1"/>
                <w:sz w:val="24"/>
                <w:vertAlign w:val="superscript"/>
                <w14:textFill>
                  <w14:solidFill>
                    <w14:schemeClr w14:val="tx1"/>
                  </w14:solidFill>
                </w14:textFill>
              </w:rPr>
              <w:t>elo</w:t>
            </w:r>
            <w:r>
              <w:rPr>
                <w:bCs/>
                <w:color w:val="000000" w:themeColor="text1"/>
                <w:sz w:val="24"/>
                <w14:textFill>
                  <w14:solidFill>
                    <w14:schemeClr w14:val="tx1"/>
                  </w14:solidFill>
                </w14:textFill>
              </w:rPr>
              <w:t>）：暗灰、暗红色，土质坚硬，呈块状结构，板状构造，见大空隙，湿陷性轻微，为I 级轻微湿陷黄土。</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白恶系砂岩（k）：细砂岩：砖红、橘红色，细粒结构、块状构造，在项目沿线广泛出露，表层风化严重，呈灰白色，局部呈暗灰色，结构已破坏，多为风化砂粒，母岩成分以石英、长石、云母为主。</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泥质粉砂岩：灰白、暗灰色，微粒结构，块状构造，在项目沿线区局部地段出露，表层风化程度中等，风化物多为粉砂质岩泥。</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（3）气候</w:t>
            </w:r>
          </w:p>
          <w:p>
            <w:pPr>
              <w:autoSpaceDE w:val="0"/>
              <w:autoSpaceDN w:val="0"/>
              <w:spacing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宁县地处中纬内陆，即北温带之南沿，青藏高原东侧，受季风影响，属暖温带大陆性高原气侯。干燥度由东向西渐次增高，无霜期由西南向东北逐渐缩短。</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气温</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区属暖温带半湿润区，热量较好，降雨量较多。年平均气温8.7℃，元月最冷，平均为-5.9℃，七月最热，平均为22℃．极端最高气温36.5℃，极端最低气温-25.4℃；大于10℃的有效积温2926.3℃。年平均无霜期161天，最长219天，最短126天</w:t>
            </w:r>
            <w:r>
              <w:rPr>
                <w:bCs/>
                <w:color w:val="000000" w:themeColor="text1"/>
                <w:sz w:val="24"/>
                <w14:textFill>
                  <w14:solidFill>
                    <w14:schemeClr w14:val="tx1"/>
                  </w14:solidFill>
                </w14:textFill>
              </w:rPr>
              <w:t>。</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降水</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受季风影响，宁县降水量年内分配很不均衡，以夏秋之交雨量集中，冬季雨雪稀少为特点，年均总降水量约为572.7mm，历年开春以后，降水逐渐增多，6月至7、8、9月降水量最为集中，可达全年降水量的一半，10月份以后降水</w:t>
            </w:r>
            <w:r>
              <w:rPr>
                <w:bCs/>
                <w:color w:val="000000" w:themeColor="text1"/>
                <w:sz w:val="24"/>
                <w14:textFill>
                  <w14:solidFill>
                    <w14:schemeClr w14:val="tx1"/>
                  </w14:solidFill>
                </w14:textFill>
              </w:rPr>
              <w:t>很快减少。但以3～5月、6～8月、9～11月、12～2月的四季划分计算。据气象资料记载的24年里：春季降水量为121.7mm，变率为28％，夏季降水量为254.9mm，变率为29％；秋季降水量为179.2mm，变率为36％；冬季降水量为16.9mm，变率为46％，降水季节分配的不平衡，形成规律性的旱、雨季节。旱情多出现于春秋和盛夏时节，俗称春旱和伏旱，轻者连年发生，严重者间隔三数年。</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③蒸发量</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蒸发量变化的特点是春夏两季大于秋冬两季，宁县年平均蒸发量为1462.2mm，6月份最大为301.7mm，12月份最小为16.1mm，年蒸发量为年降水量的2倍。</w:t>
            </w:r>
          </w:p>
          <w:p>
            <w:pPr>
              <w:autoSpaceDE w:val="0"/>
              <w:autoSpaceDN w:val="0"/>
              <w:spacing w:line="360" w:lineRule="auto"/>
              <w:ind w:firstLine="480" w:firstLineChars="200"/>
              <w:rPr>
                <w:bCs/>
                <w:color w:val="000000" w:themeColor="text1"/>
                <w:sz w:val="24"/>
                <w:highlight w:val="yellow"/>
                <w14:textFill>
                  <w14:solidFill>
                    <w14:schemeClr w14:val="tx1"/>
                  </w14:solidFill>
                </w14:textFill>
              </w:rPr>
            </w:pPr>
            <w:r>
              <w:rPr>
                <w:bCs/>
                <w:color w:val="000000" w:themeColor="text1"/>
                <w:sz w:val="24"/>
                <w:szCs w:val="22"/>
                <w14:textFill>
                  <w14:solidFill>
                    <w14:schemeClr w14:val="tx1"/>
                  </w14:solidFill>
                </w14:textFill>
              </w:rPr>
              <w:t>④</w:t>
            </w:r>
            <w:r>
              <w:rPr>
                <w:bCs/>
                <w:color w:val="000000" w:themeColor="text1"/>
                <w:sz w:val="24"/>
                <w14:textFill>
                  <w14:solidFill>
                    <w14:schemeClr w14:val="tx1"/>
                  </w14:solidFill>
                </w14:textFill>
              </w:rPr>
              <w:t>冻土</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本项目路段地面冻结最早在10月上旬。10cm稳定冻结平均日期为12月11日，最早11月28日，最晚12月25日；30cm深度稳定冻结的平均日期为12月29日，最早12月12日，最晚1月7日</w:t>
            </w:r>
            <w:r>
              <w:rPr>
                <w:rFonts w:hint="eastAsia"/>
                <w:bCs/>
                <w:color w:val="000000" w:themeColor="text1"/>
                <w:sz w:val="24"/>
                <w14:textFill>
                  <w14:solidFill>
                    <w14:schemeClr w14:val="tx1"/>
                  </w14:solidFill>
                </w14:textFill>
              </w:rPr>
              <w:t>；12月大地封冻，其深度可达58cm，1月、2月冻土深度保持在60～80cm之间，最大冻土深度86cm</w:t>
            </w:r>
            <w:r>
              <w:rPr>
                <w:bCs/>
                <w:color w:val="000000" w:themeColor="text1"/>
                <w:sz w:val="24"/>
                <w14:textFill>
                  <w14:solidFill>
                    <w14:schemeClr w14:val="tx1"/>
                  </w14:solidFill>
                </w14:textFill>
              </w:rPr>
              <w:t>。</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fldChar w:fldCharType="begin"/>
            </w:r>
            <w:r>
              <w:rPr>
                <w:bCs/>
                <w:color w:val="000000" w:themeColor="text1"/>
                <w:sz w:val="24"/>
                <w:szCs w:val="22"/>
                <w14:textFill>
                  <w14:solidFill>
                    <w14:schemeClr w14:val="tx1"/>
                  </w14:solidFill>
                </w14:textFill>
              </w:rPr>
              <w:instrText xml:space="preserve"> = 5 \* GB3 \* MERGEFORMAT </w:instrText>
            </w:r>
            <w:r>
              <w:rPr>
                <w:bCs/>
                <w:color w:val="000000" w:themeColor="text1"/>
                <w:sz w:val="24"/>
                <w:szCs w:val="22"/>
                <w14:textFill>
                  <w14:solidFill>
                    <w14:schemeClr w14:val="tx1"/>
                  </w14:solidFill>
                </w14:textFill>
              </w:rPr>
              <w:fldChar w:fldCharType="separate"/>
            </w:r>
            <w:r>
              <w:rPr>
                <w:color w:val="000000" w:themeColor="text1"/>
                <w14:textFill>
                  <w14:solidFill>
                    <w14:schemeClr w14:val="tx1"/>
                  </w14:solidFill>
                </w14:textFill>
              </w:rPr>
              <w:t>⑤</w:t>
            </w:r>
            <w:r>
              <w:rPr>
                <w:bCs/>
                <w:color w:val="000000" w:themeColor="text1"/>
                <w:sz w:val="24"/>
                <w:szCs w:val="22"/>
                <w14:textFill>
                  <w14:solidFill>
                    <w14:schemeClr w14:val="tx1"/>
                  </w14:solidFill>
                </w14:textFill>
              </w:rPr>
              <w:fldChar w:fldCharType="end"/>
            </w:r>
            <w:r>
              <w:rPr>
                <w:bCs/>
                <w:color w:val="000000" w:themeColor="text1"/>
                <w:sz w:val="24"/>
                <w:szCs w:val="22"/>
                <w14:textFill>
                  <w14:solidFill>
                    <w14:schemeClr w14:val="tx1"/>
                  </w14:solidFill>
                </w14:textFill>
              </w:rPr>
              <w:t>风速</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rFonts w:hint="eastAsia"/>
                <w:bCs/>
                <w:color w:val="000000" w:themeColor="text1"/>
                <w:sz w:val="24"/>
                <w:szCs w:val="22"/>
                <w14:textFill>
                  <w14:solidFill>
                    <w14:schemeClr w14:val="tx1"/>
                  </w14:solidFill>
                </w14:textFill>
              </w:rPr>
              <w:t>项目所在地区受季节影响比较明显，秋夏比较多风。全年最多风向为静风和东南风，11月～2月盛行风向为西北偏北，3月～10月为东南偏南。风力可达8级以上，主要出现在4月份。历年平均风速2.3m/s，3～8月各月平均2.3m/s～2.9m/s之间，9～2月各月平均为1.8m/s</w:t>
            </w:r>
            <w:r>
              <w:rPr>
                <w:bCs/>
                <w:color w:val="000000" w:themeColor="text1"/>
                <w:sz w:val="24"/>
                <w:szCs w:val="22"/>
                <w14:textFill>
                  <w14:solidFill>
                    <w14:schemeClr w14:val="tx1"/>
                  </w14:solidFill>
                </w14:textFill>
              </w:rPr>
              <w:t>。</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（4）不良地质及特殊性岩土</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1）黄土陷穴</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路线地处黄土地区，局部路段两侧有小规模陷穴。其原因是在雨季洼地积水渗透，溶蚀黄土，导致道路两侧排水沟堵塞，积水下渗造成黄土湿陷，产生陷落、地面下沉及路基连坡坍塌。</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处理措施：回填夯实并做好防排水设计。</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2）湿陷性黄土</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本项目公路地处黄土地区，黄土疏松多孔，具有湿陷性。在降雨情况下，雨水极易在地形低洼地段形成积水，积水持续下渗，使湿陷性土层发生湿陷，导致原有路基发生变形、破坏。</w:t>
            </w:r>
          </w:p>
          <w:p>
            <w:pPr>
              <w:autoSpaceDE w:val="0"/>
              <w:autoSpaceDN w:val="0"/>
              <w:spacing w:line="360" w:lineRule="auto"/>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处理措施：设计时应根据黄土的工程地质性质采取相应的防护措施，路基工程应以路堤形式通过，并适当提高路基填土高度，凡边沟纵坡≥3％均应衬砌。</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（5）地震</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根据1/400万《中国地震动峰值加速度区划图》(GB18306～2001)、1/400 万《中国地震动反应谱区划图》(GB18306～2001)并结合现场调查，本项目地震动峰值加速度0.15g，地震动反应谱特征周期0.45s，抗震设防烈度为7度。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66" w:hRule="atLeast"/>
          <w:jc w:val="center"/>
        </w:trPr>
        <w:tc>
          <w:tcPr>
            <w:tcW w:w="678"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总平面及现场布置</w:t>
            </w:r>
          </w:p>
        </w:tc>
        <w:tc>
          <w:tcPr>
            <w:tcW w:w="7844" w:type="dxa"/>
            <w:vAlign w:val="center"/>
          </w:tcPr>
          <w:p>
            <w:pPr>
              <w:spacing w:line="360" w:lineRule="auto"/>
              <w:ind w:firstLine="480" w:firstLineChars="200"/>
              <w:rPr>
                <w:color w:val="FF0000"/>
                <w:sz w:val="24"/>
              </w:rPr>
            </w:pPr>
            <w:r>
              <w:rPr>
                <w:color w:val="FF0000"/>
                <w:sz w:val="24"/>
              </w:rPr>
              <w:t>施工营地：本项目不设施工营地。</w:t>
            </w:r>
          </w:p>
          <w:p>
            <w:pPr>
              <w:spacing w:line="360" w:lineRule="auto"/>
              <w:ind w:firstLine="480" w:firstLineChars="200"/>
              <w:rPr>
                <w:color w:val="FF0000"/>
                <w:sz w:val="24"/>
              </w:rPr>
            </w:pPr>
            <w:r>
              <w:rPr>
                <w:color w:val="FF0000"/>
                <w:sz w:val="24"/>
              </w:rPr>
              <w:t>施工便道：本项目不设施工临时便道，采用诱导分流、单车道封闭、半幅封闭等交通组织方式。</w:t>
            </w:r>
          </w:p>
          <w:p>
            <w:pPr>
              <w:spacing w:line="360" w:lineRule="auto"/>
              <w:ind w:firstLine="480" w:firstLineChars="200"/>
              <w:rPr>
                <w:color w:val="FF0000"/>
                <w:sz w:val="24"/>
              </w:rPr>
            </w:pPr>
            <w:r>
              <w:rPr>
                <w:color w:val="FF0000"/>
                <w:sz w:val="24"/>
              </w:rPr>
              <w:t>临时料场：本项目土石方纵向调运，由建设单位统一调配，设置一处临时料场，位于远离居民的空地。</w:t>
            </w:r>
          </w:p>
          <w:p>
            <w:pPr>
              <w:spacing w:line="360" w:lineRule="auto"/>
              <w:ind w:firstLine="480" w:firstLineChars="200"/>
              <w:rPr>
                <w:color w:val="FF0000"/>
                <w:sz w:val="24"/>
              </w:rPr>
            </w:pPr>
            <w:r>
              <w:rPr>
                <w:color w:val="FF0000"/>
                <w:sz w:val="24"/>
              </w:rPr>
              <w:t>临时堆土场：本项目土石方基本平衡，本项目临时堆土场，选择远离居民的空地，工程结束后及时进行生态恢复。</w:t>
            </w:r>
          </w:p>
          <w:p>
            <w:pPr>
              <w:spacing w:line="360" w:lineRule="auto"/>
              <w:ind w:firstLine="480" w:firstLineChars="200"/>
              <w:rPr>
                <w:color w:val="FF0000"/>
                <w:sz w:val="24"/>
              </w:rPr>
            </w:pPr>
            <w:r>
              <w:rPr>
                <w:rFonts w:hint="eastAsia"/>
                <w:color w:val="FF0000"/>
                <w:sz w:val="24"/>
              </w:rPr>
              <w:t>弃土场：项目在K23+200处设置弃土场一处，占地面积7.6亩，占地现状为荒沟，施工结束后撒苜蓿绿化。</w:t>
            </w:r>
          </w:p>
          <w:p>
            <w:pPr>
              <w:spacing w:line="360" w:lineRule="auto"/>
              <w:ind w:firstLine="480" w:firstLineChars="200"/>
              <w:rPr>
                <w:color w:val="000000" w:themeColor="text1"/>
                <w:sz w:val="24"/>
                <w14:textFill>
                  <w14:solidFill>
                    <w14:schemeClr w14:val="tx1"/>
                  </w14:solidFill>
                </w14:textFill>
              </w:rPr>
            </w:pPr>
            <w:r>
              <w:rPr>
                <w:color w:val="FF0000"/>
                <w:sz w:val="24"/>
              </w:rPr>
              <w:t>混凝土拌合站及沥青拌合站：本项目所用水泥混凝土和沥青混凝土均外购成品，现场不进行拌和作业。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78"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施工方案</w:t>
            </w:r>
          </w:p>
        </w:tc>
        <w:tc>
          <w:tcPr>
            <w:tcW w:w="7844" w:type="dxa"/>
            <w:vAlign w:val="center"/>
          </w:tcPr>
          <w:p>
            <w:pPr>
              <w:widowControl/>
              <w:spacing w:line="360" w:lineRule="auto"/>
              <w:jc w:val="left"/>
              <w:outlineLvl w:val="2"/>
              <w:rPr>
                <w:b/>
                <w:color w:val="000000" w:themeColor="text1"/>
                <w:sz w:val="24"/>
                <w14:textFill>
                  <w14:solidFill>
                    <w14:schemeClr w14:val="tx1"/>
                  </w14:solidFill>
                </w14:textFill>
              </w:rPr>
            </w:pPr>
            <w:r>
              <w:rPr>
                <w:b/>
                <w:color w:val="000000" w:themeColor="text1"/>
                <w:sz w:val="24"/>
                <w14:textFill>
                  <w14:solidFill>
                    <w14:schemeClr w14:val="tx1"/>
                  </w14:solidFill>
                </w14:textFill>
              </w:rPr>
              <w:t>1、施工期工艺流程</w:t>
            </w:r>
          </w:p>
          <w:p>
            <w:pPr>
              <w:pStyle w:val="54"/>
              <w:spacing w:line="360" w:lineRule="auto"/>
              <w:ind w:firstLine="482" w:firstLineChars="201"/>
              <w:rPr>
                <w:color w:val="000000" w:themeColor="text1"/>
                <w14:textFill>
                  <w14:solidFill>
                    <w14:schemeClr w14:val="tx1"/>
                  </w14:solidFill>
                </w14:textFill>
              </w:rPr>
            </w:pPr>
            <w:r>
              <w:rPr>
                <w:color w:val="000000" w:themeColor="text1"/>
                <w14:textFill>
                  <w14:solidFill>
                    <w14:schemeClr w14:val="tx1"/>
                  </w14:solidFill>
                </w14:textFill>
              </w:rPr>
              <w:t>主要施工内容包括</w:t>
            </w:r>
            <w:r>
              <w:rPr>
                <w:color w:val="000000" w:themeColor="text1"/>
                <w:kern w:val="0"/>
                <w14:textFill>
                  <w14:solidFill>
                    <w14:schemeClr w14:val="tx1"/>
                  </w14:solidFill>
                </w14:textFill>
              </w:rPr>
              <w:t>道路工程、排水工程、附属工程等工程。道路工程包含</w:t>
            </w:r>
            <w:r>
              <w:rPr>
                <w:color w:val="000000" w:themeColor="text1"/>
                <w14:textFill>
                  <w14:solidFill>
                    <w14:schemeClr w14:val="tx1"/>
                  </w14:solidFill>
                </w14:textFill>
              </w:rPr>
              <w:t>土方工程、路基工程和路面工程，土方工程主要包括挖方、填方，场地平整等；路基工程主要包括路基处理、路基垫层等；路面工程主要包括沥青路面的车行道填筑水泥稳定砂砾、沥青混凝土等。根据以上工程内容分析，本工程施工期对环境的影响主要以土方阶段最大，路基、路面次之。因此建设单位应重点加强这个阶段的环境管理</w:t>
            </w:r>
            <w:r>
              <w:rPr>
                <w:color w:val="000000" w:themeColor="text1"/>
                <w:spacing w:val="6"/>
                <w14:textFill>
                  <w14:solidFill>
                    <w14:schemeClr w14:val="tx1"/>
                  </w14:solidFill>
                </w14:textFill>
              </w:rPr>
              <w:t>，项目施工期流程及产污环节见</w:t>
            </w:r>
            <w:r>
              <w:rPr>
                <w:color w:val="000000" w:themeColor="text1"/>
                <w14:textFill>
                  <w14:solidFill>
                    <w14:schemeClr w14:val="tx1"/>
                  </w14:solidFill>
                </w14:textFill>
              </w:rPr>
              <w:t>图5-1。</w:t>
            </w:r>
          </w:p>
          <w:p>
            <w:pPr>
              <w:pStyle w:val="12"/>
              <w:ind w:firstLine="0" w:firstLineChars="0"/>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2924175" cy="41814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24175" cy="4181475"/>
                          </a:xfrm>
                          <a:prstGeom prst="rect">
                            <a:avLst/>
                          </a:prstGeom>
                          <a:noFill/>
                          <a:ln>
                            <a:noFill/>
                          </a:ln>
                        </pic:spPr>
                      </pic:pic>
                    </a:graphicData>
                  </a:graphic>
                </wp:inline>
              </w:drawing>
            </w:r>
          </w:p>
          <w:p>
            <w:pPr>
              <w:pStyle w:val="12"/>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图2-1  施工期工艺流程及产污节点图</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道路工程施工工艺流程简述如下：</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机动车道施工顺序：土路床检整压实→水泥稳定碎石基层摊铺碾压、养护→沥青混凝土路面浇筑、养护。</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非机动车道施工顺序：路床检整压实→水泥稳定碎石基层摊铺碾压、养护。</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（1）破除路面</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路面破除施工队伍采取机械化施工为主、人工为辅方法施工。路面破除主要采用挖掘机液压锤进行破碎，局部与现状道路连接地方使用人工电锤破除，破除的沥青混凝土将现状路基路面结构拆除后铣刨、破碎、冷再生处理再利用。</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（2）场地平整</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清除路基用地范围内原地面的草皮、树根、耕种的腐殖土、农作物的根系和表土，除部分用于本项目后期绿化用土堆放至表土临时堆放场外，其余均匀至政府指定地点堆存或利用。</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（3）路基工程施工</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1）路基施工</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 xml:space="preserve">土石方开挖时，施工队伍采取机械化施工为主、人工为辅方法施工。 </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 xml:space="preserve">新建路段挖填路段施工时，根据后期绿化需要，预先剥离表土，集中堆放在指定的表土临时堆土场内，作为施工结束后绿化用土。 </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在路基挖方路段布置多个作业面，以推土机或挖掘机作业，配以铲运机、装载机和自卸翻斗车转运至填方段；填方路段以装载机械或推土机伴以人工平整，分层碾压密实。路基防护工程及排水工程基本采用砌石圬工。作业中根据具体情况，调整各种机械的配套。</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开挖方式：</w:t>
            </w:r>
            <w:r>
              <w:rPr>
                <w:rFonts w:hint="eastAsia" w:ascii="宋体" w:hAnsi="宋体" w:eastAsia="宋体" w:cs="宋体"/>
                <w:color w:val="000000" w:themeColor="text1"/>
                <w14:textFill>
                  <w14:solidFill>
                    <w14:schemeClr w14:val="tx1"/>
                  </w14:solidFill>
                </w14:textFill>
              </w:rPr>
              <w:t>①</w:t>
            </w:r>
            <w:r>
              <w:rPr>
                <w:rFonts w:ascii="Times New Roman" w:eastAsia="宋体" w:cs="Times New Roman"/>
                <w:color w:val="000000" w:themeColor="text1"/>
                <w14:textFill>
                  <w14:solidFill>
                    <w14:schemeClr w14:val="tx1"/>
                  </w14:solidFill>
                </w14:textFill>
              </w:rPr>
              <w:t xml:space="preserve">土方禁止用爆破法施工，采用机械按混合式开挖法施工，即先沿纵向挖通道，然后沿横向坡面挖掘，以增加开挖作业面。在土方开挖过程中，为防止雨水淤积，应使开挖出来的路段在纵断面上形成0.5%的纵坡。在横断面上，每开挖一层，都要在断面两侧大致形成边沟模样，开挖至设计标高附近时，应注意控制好开挖深度，不得超挖。 </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rFonts w:ascii="Times New Roman" w:eastAsia="宋体" w:cs="Times New Roman"/>
                <w:color w:val="000000" w:themeColor="text1"/>
                <w14:textFill>
                  <w14:solidFill>
                    <w14:schemeClr w14:val="tx1"/>
                  </w14:solidFill>
                </w14:textFill>
              </w:rPr>
              <w:t>石方实施机械钻孔、推土机集堆、机械装车、自卸卡车运输至填方区。开挖土石方应避免超挖，土方边坡应预留20~30cm厚度，待后期使用人工刷修边坡，以保证边坡平整美观。石方边坡的2~3m范围内应采用小型“弱松动”爆破法，辅以人工刷修边坡，以避免造成边坡破碎、失稳、塌陷。开挖中若遇到地下水(或地表径流)，应采取适当的排水措施。若挖方路基位于含水较多以至翻浆的土上时，则应换以透水性良好的土，其厚度不小于1m。</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2）软基处理</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对于较薄的软弱土地基，一般采用换填片、块石或砂砾等透水性材料的方法进行处治；对于较深的软弱土地基，在换填后路基稳定性可以达到要求时，采用清除一部分软弱土后抛大片石挤淤的方法进行处理；对于排水不畅的路段，在适当位置增加碎石盲沟或砂砾垫层，增强软弱土地基的地表排水效果；对于过湿土较厚的路段，对软弱土地基进行深层处置。</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 xml:space="preserve">（3）路面工程施工 </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本项目采用沥青砼路面，沥青混凝土拌合料为外购。</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为确保路面工程的平整度和质量，路面各结构层全部由专业队伍承担。底基层、基层均以机械拌和，摊铺机分层摊铺，压路机压实，各面层采用洒布机喷洒透层油，摊铺机配以自卸车连续摊铺沥青拌和料，压路机碾压密实成型，拌和料以机械拌和方式提供。</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本项目运营期工艺流程及产污环节见图2-2。</w:t>
            </w:r>
          </w:p>
          <w:p>
            <w:pPr>
              <w:jc w:val="center"/>
              <w:rPr>
                <w:b/>
                <w:color w:val="000000" w:themeColor="text1"/>
                <w:spacing w:val="6"/>
                <w:sz w:val="24"/>
                <w14:textFill>
                  <w14:solidFill>
                    <w14:schemeClr w14:val="tx1"/>
                  </w14:solidFill>
                </w14:textFill>
              </w:rPr>
            </w:pPr>
            <w:r>
              <w:rPr>
                <w:color w:val="000000" w:themeColor="text1"/>
                <w14:textFill>
                  <w14:solidFill>
                    <w14:schemeClr w14:val="tx1"/>
                  </w14:solidFill>
                </w14:textFill>
              </w:rPr>
              <w:object>
                <v:shape id="_x0000_i1025" o:spt="75" type="#_x0000_t75" style="height:165pt;width:394.5pt;" o:ole="t" filled="f" o:preferrelative="f"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r>
              <w:rPr>
                <w:b/>
                <w:color w:val="000000" w:themeColor="text1"/>
                <w:spacing w:val="6"/>
                <w:sz w:val="24"/>
                <w14:textFill>
                  <w14:solidFill>
                    <w14:schemeClr w14:val="tx1"/>
                  </w14:solidFill>
                </w14:textFill>
              </w:rPr>
              <w:t>图2-2  项目运营期工艺流程及产污环节图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大气污染主要为汽车尾气；废水主要为降雨冲刷废水，运营中汽车尾气中的有害物质（主要为悬浮物、油及有机物）及大气颗粒物沉降于公路表面，降雨时随雨水冲刷被带入附近的荒沟、农田，造成公路两侧的部分水域污染负荷增加；路面上行驶机动车产生的噪声主要由发动机噪声、排气噪声、车体振动噪声等声源组成，其中发动机噪声是主要噪声源；固体废物包括来往交通车辆司乘人员丢弃的垃圾、道路行人丢弃的垃圾，主要为果皮、纸屑、塑料、包装废弃物等生活垃圾。</w:t>
            </w:r>
          </w:p>
          <w:p>
            <w:pPr>
              <w:pStyle w:val="2"/>
              <w:spacing w:line="360" w:lineRule="auto"/>
              <w:ind w:firstLine="480" w:firstLineChars="200"/>
              <w:rPr>
                <w:rFonts w:ascii="Times New Roman" w:eastAsia="宋体" w:cs="Times New Roman"/>
                <w:color w:val="000000" w:themeColor="text1"/>
                <w14:textFill>
                  <w14:solidFill>
                    <w14:schemeClr w14:val="tx1"/>
                  </w14:solidFill>
                </w14:textFill>
              </w:rPr>
            </w:pPr>
            <w:r>
              <w:rPr>
                <w:rFonts w:ascii="Times New Roman" w:eastAsia="宋体" w:cs="Times New Roman"/>
                <w:color w:val="000000" w:themeColor="text1"/>
                <w14:textFill>
                  <w14:solidFill>
                    <w14:schemeClr w14:val="tx1"/>
                  </w14:solidFill>
                </w14:textFill>
              </w:rPr>
              <w:t>如遇突发交通事故，运输有害物的车辆可能造成大气和水环境的污染。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8" w:type="dxa"/>
            <w:vAlign w:val="center"/>
          </w:tcPr>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w:t>
            </w:r>
          </w:p>
        </w:tc>
        <w:tc>
          <w:tcPr>
            <w:tcW w:w="7844" w:type="dxa"/>
            <w:vAlign w:val="bottom"/>
          </w:tcPr>
          <w:p>
            <w:pPr>
              <w:spacing w:line="360" w:lineRule="auto"/>
              <w:ind w:right="-1"/>
              <w:contextualSpacing/>
              <w:jc w:val="left"/>
              <w:outlineLvl w:val="1"/>
              <w:rPr>
                <w:b/>
                <w:bCs/>
                <w:color w:val="000000" w:themeColor="text1"/>
                <w:sz w:val="24"/>
                <w14:textFill>
                  <w14:solidFill>
                    <w14:schemeClr w14:val="tx1"/>
                  </w14:solidFill>
                </w14:textFill>
              </w:rPr>
            </w:pPr>
          </w:p>
          <w:p>
            <w:pPr>
              <w:spacing w:line="360" w:lineRule="auto"/>
              <w:ind w:right="-1"/>
              <w:contextualSpacing/>
              <w:jc w:val="left"/>
              <w:outlineLvl w:val="1"/>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1、施工条件</w:t>
            </w:r>
          </w:p>
          <w:p>
            <w:pPr>
              <w:pStyle w:val="8"/>
              <w:adjustRightInd w:val="0"/>
              <w:snapToGrid w:val="0"/>
              <w:spacing w:before="0" w:after="0" w:line="360" w:lineRule="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1）交通运输条件</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本工程对外交通条件便利，现有公路可以满足施工期外来物资的运输要求；岸场地比较平坦、开阔，场内可利用的施工场地面积也较大，可满足施工场地的总体布置要求。</w:t>
            </w:r>
          </w:p>
          <w:p>
            <w:pPr>
              <w:pStyle w:val="8"/>
              <w:adjustRightInd w:val="0"/>
              <w:snapToGrid w:val="0"/>
              <w:spacing w:before="0" w:after="0" w:line="360" w:lineRule="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2）材料供应</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本项目位于陇东黄土高原，黄土覆盖层较厚，沿线筑路材料较为缺乏，全线除路基填料可就地取材外，其余砂料和石料均需远运，产地较集中，交通运输条件也较便利。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1）片(块)石：在平凉峡中石料场购买，储量丰富，石料质地坚硬，满足工程要求；平均运距208km。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2）碎石：在平凉峡中石料场购买，储量丰富，石料质地坚硬，满足工程要求；平均运距208km。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3）天然砂砾:在宁县境内购买，储量丰富，质量好，满足工程要求；平均运距50km。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4）中（粗）砂：在上扬购买，储量丰富，质量好，满足工程要求；平均运距206km。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5）砾石：在上扬购买，储量丰富，质量好，满足工程要求；平均运距206km。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6）水泥：选用平凉祁连山水泥厂购买；平均运距201km。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7）石灰：可在平凉市购买；平均运距201km。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8）钢材、木材：可在西峰购买；平均运距83km。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9）石油沥青：采用兰州河口优质道路石油沥青；平均运距580km。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10）水：在沿线购买使用。</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11）运输条件：公路</w:t>
            </w:r>
            <w:r>
              <w:rPr>
                <w:color w:val="000000" w:themeColor="text1"/>
                <w:sz w:val="24"/>
                <w14:textFill>
                  <w14:solidFill>
                    <w14:schemeClr w14:val="tx1"/>
                  </w14:solidFill>
                </w14:textFill>
              </w:rPr>
              <w:t>。</w:t>
            </w:r>
          </w:p>
          <w:p>
            <w:pPr>
              <w:pStyle w:val="8"/>
              <w:adjustRightInd w:val="0"/>
              <w:snapToGrid w:val="0"/>
              <w:spacing w:before="0" w:after="0" w:line="360" w:lineRule="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2、工程土石方平衡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根据设计资料，本项目开挖量约</w:t>
            </w:r>
            <w:r>
              <w:rPr>
                <w:rFonts w:hint="eastAsia"/>
                <w:color w:val="000000" w:themeColor="text1"/>
                <w:sz w:val="24"/>
                <w14:textFill>
                  <w14:solidFill>
                    <w14:schemeClr w14:val="tx1"/>
                  </w14:solidFill>
                </w14:textFill>
              </w:rPr>
              <w:t>185125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，填方量为</w:t>
            </w:r>
            <w:r>
              <w:rPr>
                <w:rFonts w:hint="eastAsia"/>
                <w:color w:val="000000" w:themeColor="text1"/>
                <w:sz w:val="24"/>
                <w14:textFill>
                  <w14:solidFill>
                    <w14:schemeClr w14:val="tx1"/>
                  </w14:solidFill>
                </w14:textFill>
              </w:rPr>
              <w:t>97934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弃土</w:t>
            </w:r>
            <w:r>
              <w:rPr>
                <w:color w:val="000000" w:themeColor="text1"/>
                <w:sz w:val="24"/>
                <w14:textFill>
                  <w14:solidFill>
                    <w14:schemeClr w14:val="tx1"/>
                  </w14:solidFill>
                </w14:textFill>
              </w:rPr>
              <w:t>方</w:t>
            </w:r>
            <w:r>
              <w:rPr>
                <w:rFonts w:hint="eastAsia"/>
                <w:color w:val="000000" w:themeColor="text1"/>
                <w:sz w:val="24"/>
                <w14:textFill>
                  <w14:solidFill>
                    <w14:schemeClr w14:val="tx1"/>
                  </w14:solidFill>
                </w14:textFill>
              </w:rPr>
              <w:t>87191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弃方运至K23+200处弃土场处理。</w:t>
            </w:r>
          </w:p>
          <w:p>
            <w:pPr>
              <w:pStyle w:val="8"/>
              <w:adjustRightInd w:val="0"/>
              <w:snapToGrid w:val="0"/>
              <w:spacing w:before="120" w:after="120" w:line="360" w:lineRule="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3、劳动定员与工作制度</w:t>
            </w:r>
          </w:p>
          <w:p>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本项目施工期施工平均人数为20人。运营期的人员为</w:t>
            </w:r>
            <w:r>
              <w:rPr>
                <w:rFonts w:hint="eastAsia"/>
                <w:color w:val="000000" w:themeColor="text1"/>
                <w:sz w:val="24"/>
                <w14:textFill>
                  <w14:solidFill>
                    <w14:schemeClr w14:val="tx1"/>
                  </w14:solidFill>
                </w14:textFill>
              </w:rPr>
              <w:t>宁县</w:t>
            </w:r>
            <w:r>
              <w:rPr>
                <w:color w:val="000000" w:themeColor="text1"/>
                <w:sz w:val="24"/>
                <w14:textFill>
                  <w14:solidFill>
                    <w14:schemeClr w14:val="tx1"/>
                  </w14:solidFill>
                </w14:textFill>
              </w:rPr>
              <w:t>交通运输局人员，主要兼顾该项目巡护管理工作，办公依旧在</w:t>
            </w:r>
            <w:r>
              <w:rPr>
                <w:rFonts w:hint="eastAsia"/>
                <w:color w:val="000000" w:themeColor="text1"/>
                <w:sz w:val="24"/>
                <w14:textFill>
                  <w14:solidFill>
                    <w14:schemeClr w14:val="tx1"/>
                  </w14:solidFill>
                </w14:textFill>
              </w:rPr>
              <w:t>宁县</w:t>
            </w:r>
            <w:r>
              <w:rPr>
                <w:color w:val="000000" w:themeColor="text1"/>
                <w:sz w:val="24"/>
                <w14:textFill>
                  <w14:solidFill>
                    <w14:schemeClr w14:val="tx1"/>
                  </w14:solidFill>
                </w14:textFill>
              </w:rPr>
              <w:t>交通运输局。</w:t>
            </w:r>
          </w:p>
          <w:p>
            <w:pPr>
              <w:spacing w:line="360" w:lineRule="auto"/>
              <w:ind w:right="-1"/>
              <w:contextualSpacing/>
              <w:rPr>
                <w:color w:val="000000" w:themeColor="text1"/>
                <w:sz w:val="24"/>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9"/>
              <w:ind w:firstLine="480"/>
              <w:rPr>
                <w:color w:val="000000" w:themeColor="text1"/>
                <w14:textFill>
                  <w14:solidFill>
                    <w14:schemeClr w14:val="tx1"/>
                  </w14:solidFill>
                </w14:textFill>
              </w:rPr>
            </w:pPr>
          </w:p>
          <w:p>
            <w:pPr>
              <w:pStyle w:val="11"/>
              <w:ind w:left="2940" w:firstLine="480"/>
              <w:rPr>
                <w:color w:val="000000" w:themeColor="text1"/>
                <w:lang w:val="zh-CN"/>
                <w14:textFill>
                  <w14:solidFill>
                    <w14:schemeClr w14:val="tx1"/>
                  </w14:solidFill>
                </w14:textFill>
              </w:rPr>
            </w:pPr>
          </w:p>
          <w:p>
            <w:pPr>
              <w:pStyle w:val="9"/>
              <w:rPr>
                <w:color w:val="000000" w:themeColor="text1"/>
                <w:lang w:val="zh-CN"/>
                <w14:textFill>
                  <w14:solidFill>
                    <w14:schemeClr w14:val="tx1"/>
                  </w14:solidFill>
                </w14:textFill>
              </w:rPr>
            </w:pPr>
          </w:p>
          <w:p>
            <w:pPr>
              <w:rPr>
                <w:lang w:val="zh-CN"/>
              </w:rPr>
            </w:pPr>
          </w:p>
          <w:p>
            <w:pPr>
              <w:pStyle w:val="2"/>
              <w:rPr>
                <w:lang w:val="zh-CN"/>
              </w:rPr>
            </w:pPr>
          </w:p>
          <w:p>
            <w:pPr>
              <w:pStyle w:val="4"/>
              <w:spacing w:before="120"/>
              <w:ind w:firstLine="482"/>
              <w:rPr>
                <w:lang w:val="zh-CN"/>
              </w:rPr>
            </w:pPr>
          </w:p>
          <w:p>
            <w:pPr>
              <w:rPr>
                <w:lang w:val="zh-CN"/>
              </w:rPr>
            </w:pPr>
          </w:p>
          <w:p>
            <w:pPr>
              <w:pStyle w:val="2"/>
              <w:rPr>
                <w:lang w:val="zh-CN"/>
              </w:rPr>
            </w:pPr>
          </w:p>
          <w:p>
            <w:pPr>
              <w:pStyle w:val="4"/>
              <w:spacing w:before="120"/>
              <w:ind w:firstLine="482"/>
              <w:rPr>
                <w:lang w:val="zh-CN"/>
              </w:rPr>
            </w:pPr>
          </w:p>
          <w:p>
            <w:pPr>
              <w:rPr>
                <w:lang w:val="zh-CN"/>
              </w:rPr>
            </w:pPr>
          </w:p>
          <w:p>
            <w:pPr>
              <w:pStyle w:val="2"/>
              <w:rPr>
                <w:lang w:val="zh-CN"/>
              </w:rPr>
            </w:pPr>
          </w:p>
          <w:p>
            <w:pPr>
              <w:pStyle w:val="4"/>
              <w:spacing w:before="120"/>
              <w:ind w:firstLine="482"/>
              <w:rPr>
                <w:lang w:val="zh-CN"/>
              </w:rPr>
            </w:pPr>
          </w:p>
          <w:p>
            <w:pPr>
              <w:rPr>
                <w:lang w:val="zh-CN"/>
              </w:rPr>
            </w:pPr>
          </w:p>
          <w:p>
            <w:pPr>
              <w:pStyle w:val="2"/>
              <w:rPr>
                <w:lang w:val="zh-CN"/>
              </w:rPr>
            </w:pPr>
          </w:p>
          <w:p>
            <w:pPr>
              <w:pStyle w:val="4"/>
              <w:spacing w:before="120"/>
              <w:ind w:firstLine="482"/>
              <w:rPr>
                <w:lang w:val="zh-CN"/>
              </w:rPr>
            </w:pPr>
          </w:p>
          <w:p>
            <w:pPr>
              <w:rPr>
                <w:lang w:val="zh-CN"/>
              </w:rPr>
            </w:pPr>
          </w:p>
          <w:p>
            <w:pPr>
              <w:pStyle w:val="2"/>
              <w:rPr>
                <w:lang w:val="zh-CN"/>
              </w:rPr>
            </w:pPr>
          </w:p>
          <w:p>
            <w:pPr>
              <w:pStyle w:val="4"/>
              <w:spacing w:before="120"/>
              <w:ind w:firstLine="482"/>
              <w:rPr>
                <w:lang w:val="zh-CN"/>
              </w:rPr>
            </w:pPr>
          </w:p>
          <w:p>
            <w:pPr>
              <w:rPr>
                <w:lang w:val="zh-CN"/>
              </w:rPr>
            </w:pPr>
          </w:p>
        </w:tc>
      </w:tr>
    </w:tbl>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b/>
          <w:bCs/>
          <w:color w:val="000000" w:themeColor="text1"/>
          <w14:textFill>
            <w14:solidFill>
              <w14:schemeClr w14:val="tx1"/>
            </w14:solidFill>
          </w14:textFill>
        </w:rPr>
        <w:br w:type="page"/>
      </w:r>
      <w:r>
        <w:rPr>
          <w:rFonts w:ascii="Times New Roman" w:hAnsi="Times New Roman"/>
          <w:b/>
          <w:snapToGrid w:val="0"/>
          <w:color w:val="000000" w:themeColor="text1"/>
          <w:sz w:val="30"/>
          <w:szCs w:val="30"/>
          <w14:textFill>
            <w14:solidFill>
              <w14:schemeClr w14:val="tx1"/>
            </w14:solidFill>
          </w14:textFill>
        </w:rPr>
        <w:t>三、生态环境现状、保护目标及评价标准</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5"/>
        <w:gridCol w:w="76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55"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生态环境现状</w:t>
            </w:r>
          </w:p>
        </w:tc>
        <w:tc>
          <w:tcPr>
            <w:tcW w:w="7667" w:type="dxa"/>
            <w:vAlign w:val="center"/>
          </w:tcPr>
          <w:p>
            <w:pPr>
              <w:pStyle w:val="15"/>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1、生态环境功能区划分</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（1）</w:t>
            </w:r>
            <w:r>
              <w:rPr>
                <w:color w:val="000000" w:themeColor="text1"/>
                <w:sz w:val="24"/>
                <w14:textFill>
                  <w14:solidFill>
                    <w14:schemeClr w14:val="tx1"/>
                  </w14:solidFill>
                </w14:textFill>
              </w:rPr>
              <w:t>生态功能区划</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color w:val="000000" w:themeColor="text1"/>
                <w:kern w:val="24"/>
                <w:sz w:val="24"/>
                <w:szCs w:val="21"/>
                <w14:textFill>
                  <w14:solidFill>
                    <w14:schemeClr w14:val="tx1"/>
                  </w14:solidFill>
                </w14:textFill>
              </w:rPr>
              <w:t>甘肃省生态功能区划</w:t>
            </w:r>
            <w:r>
              <w:rPr>
                <w:color w:val="000000" w:themeColor="text1"/>
                <w:sz w:val="24"/>
                <w14:textFill>
                  <w14:solidFill>
                    <w14:schemeClr w14:val="tx1"/>
                  </w14:solidFill>
                </w14:textFill>
              </w:rPr>
              <w:t>》本项目位于宁南-陇东黄土丘陵农业生态亚区中的黄土残塬旱作农业强烈水土流失生态功能区范围内。</w:t>
            </w:r>
          </w:p>
          <w:p>
            <w:pPr>
              <w:pStyle w:val="29"/>
              <w:spacing w:before="0" w:after="0" w:line="360" w:lineRule="auto"/>
              <w:ind w:right="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根据《庆阳市生态功能区划图》，本项目位于</w:t>
            </w:r>
            <w:r>
              <w:rPr>
                <w:rFonts w:hint="eastAsia"/>
                <w:color w:val="000000" w:themeColor="text1"/>
                <w:sz w:val="24"/>
                <w14:textFill>
                  <w14:solidFill>
                    <w14:schemeClr w14:val="tx1"/>
                  </w14:solidFill>
                </w14:textFill>
              </w:rPr>
              <w:t>宁县春荣镇</w:t>
            </w:r>
            <w:r>
              <w:rPr>
                <w:color w:val="000000" w:themeColor="text1"/>
                <w:sz w:val="24"/>
                <w14:textFill>
                  <w14:solidFill>
                    <w14:schemeClr w14:val="tx1"/>
                  </w14:solidFill>
                </w14:textFill>
              </w:rPr>
              <w:t>，所处生态环境功能区为</w:t>
            </w:r>
            <w:r>
              <w:rPr>
                <w:rFonts w:hint="eastAsia"/>
                <w:b/>
                <w:color w:val="000000" w:themeColor="text1"/>
                <w:sz w:val="21"/>
                <w:szCs w:val="21"/>
                <w14:textFill>
                  <w14:solidFill>
                    <w14:schemeClr w14:val="tx1"/>
                  </w14:solidFill>
                </w14:textFill>
              </w:rPr>
              <w:t>Ⅱ</w:t>
            </w:r>
            <w:r>
              <w:rPr>
                <w:rFonts w:hint="eastAsia"/>
                <w:color w:val="000000" w:themeColor="text1"/>
                <w:sz w:val="24"/>
                <w14:textFill>
                  <w14:solidFill>
                    <w14:schemeClr w14:val="tx1"/>
                  </w14:solidFill>
                </w14:textFill>
              </w:rPr>
              <w:t>-1中部</w:t>
            </w:r>
            <w:r>
              <w:rPr>
                <w:color w:val="000000" w:themeColor="text1"/>
                <w:sz w:val="24"/>
                <w14:textFill>
                  <w14:solidFill>
                    <w14:schemeClr w14:val="tx1"/>
                  </w14:solidFill>
                </w14:textFill>
              </w:rPr>
              <w:t>林缘旱作农业及林果产业发展亚区。</w:t>
            </w:r>
          </w:p>
          <w:p>
            <w:pPr>
              <w:pStyle w:val="29"/>
              <w:spacing w:before="0" w:after="0" w:line="360" w:lineRule="auto"/>
              <w:ind w:right="0"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根据《关于划定省级水土流失重点预防区和重点治理区的公告》（甘政发〔2016〕59号），本项目所在地属于甘肃省水土流失重点治理区。</w:t>
            </w:r>
          </w:p>
          <w:p>
            <w:pPr>
              <w:pStyle w:val="29"/>
              <w:spacing w:before="0" w:after="0" w:line="360" w:lineRule="auto"/>
              <w:ind w:right="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（2）大气</w:t>
            </w:r>
          </w:p>
          <w:p>
            <w:pPr>
              <w:spacing w:line="360" w:lineRule="auto"/>
              <w:ind w:firstLine="480" w:firstLineChars="200"/>
              <w:contextualSpacing/>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根据《关于印发&lt;庆阳地区环境空气质量功能区划分方案&gt;的通知》，庆阳市除</w:t>
            </w:r>
            <w:r>
              <w:rPr>
                <w:color w:val="000000" w:themeColor="text1"/>
                <w:sz w:val="24"/>
                <w14:textFill>
                  <w14:solidFill>
                    <w14:schemeClr w14:val="tx1"/>
                  </w14:solidFill>
                </w14:textFill>
              </w:rPr>
              <w:t>子午岭林区执行一级标准外，其余区域全部</w:t>
            </w:r>
            <w:r>
              <w:rPr>
                <w:color w:val="000000" w:themeColor="text1"/>
                <w:kern w:val="0"/>
                <w:sz w:val="24"/>
                <w14:textFill>
                  <w14:solidFill>
                    <w14:schemeClr w14:val="tx1"/>
                  </w14:solidFill>
                </w14:textFill>
              </w:rPr>
              <w:t>执行《环境空气质量标准》二级标准，本项目执行二级标准。</w:t>
            </w:r>
          </w:p>
          <w:p>
            <w:pPr>
              <w:pStyle w:val="29"/>
              <w:spacing w:before="0" w:after="0" w:line="360" w:lineRule="auto"/>
              <w:ind w:right="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（3）地表水</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根据《甘肃省地表水功能区划》（2012-2030年）的划分结果，本项目地表水执行</w:t>
            </w:r>
            <w:r>
              <w:rPr>
                <w:bCs/>
                <w:color w:val="000000" w:themeColor="text1"/>
                <w:sz w:val="24"/>
                <w14:textFill>
                  <w14:solidFill>
                    <w14:schemeClr w14:val="tx1"/>
                  </w14:solidFill>
                </w14:textFill>
              </w:rPr>
              <w:t>《地表水环境质量标准》（GB3838-2002）</w:t>
            </w:r>
            <w:r>
              <w:rPr>
                <w:color w:val="000000" w:themeColor="text1"/>
                <w:sz w:val="24"/>
                <w14:textFill>
                  <w14:solidFill>
                    <w14:schemeClr w14:val="tx1"/>
                  </w14:solidFill>
                </w14:textFill>
              </w:rPr>
              <w:t>III类水质标准。</w:t>
            </w:r>
          </w:p>
          <w:p>
            <w:pPr>
              <w:spacing w:line="360" w:lineRule="auto"/>
              <w:ind w:firstLine="420" w:firstLineChars="200"/>
              <w:contextualSpacing/>
              <w:rPr>
                <w:color w:val="000000" w:themeColor="text1"/>
                <w:sz w:val="24"/>
                <w14:textFill>
                  <w14:solidFill>
                    <w14:schemeClr w14:val="tx1"/>
                  </w14:solidFill>
                </w14:textFill>
              </w:rPr>
            </w:pPr>
            <w:r>
              <w:rPr>
                <w:color w:val="000000" w:themeColor="text1"/>
                <w14:textFill>
                  <w14:solidFill>
                    <w14:schemeClr w14:val="tx1"/>
                  </w14:solidFill>
                </w14:textFill>
              </w:rPr>
              <w:t>（</w:t>
            </w:r>
            <w:r>
              <w:rPr>
                <w:color w:val="000000" w:themeColor="text1"/>
                <w:sz w:val="24"/>
                <w14:textFill>
                  <w14:solidFill>
                    <w14:schemeClr w14:val="tx1"/>
                  </w14:solidFill>
                </w14:textFill>
              </w:rPr>
              <w:t>4）地下水</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根据《地下水质量标准》（GB/T14848-2017）中地下水分类，本项目地下水执行《地下水质量标准》中III类标准。</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（5）声环境</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本项目地声环境执行《声环境质量标准》（GB3096-2008）2类区标准。</w:t>
            </w:r>
          </w:p>
          <w:p>
            <w:pPr>
              <w:pStyle w:val="15"/>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2、生态现状</w:t>
            </w:r>
          </w:p>
          <w:p>
            <w:pPr>
              <w:pStyle w:val="15"/>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（1）土地利用类型：</w:t>
            </w:r>
          </w:p>
          <w:p>
            <w:pPr>
              <w:pStyle w:val="59"/>
              <w:ind w:firstLine="480"/>
              <w:jc w:val="left"/>
              <w:rPr>
                <w:color w:val="000000" w:themeColor="text1"/>
                <w:szCs w:val="24"/>
                <w14:textFill>
                  <w14:solidFill>
                    <w14:schemeClr w14:val="tx1"/>
                  </w14:solidFill>
                </w14:textFill>
              </w:rPr>
            </w:pPr>
            <w:r>
              <w:rPr>
                <w:bCs w:val="0"/>
                <w:color w:val="000000" w:themeColor="text1"/>
                <w:szCs w:val="24"/>
                <w:lang w:val="en-US"/>
                <w14:textFill>
                  <w14:solidFill>
                    <w14:schemeClr w14:val="tx1"/>
                  </w14:solidFill>
                </w14:textFill>
              </w:rPr>
              <w:t>根据现场勘查，项目所在区域地质条件：</w:t>
            </w:r>
            <w:r>
              <w:rPr>
                <w:color w:val="000000" w:themeColor="text1"/>
                <w:szCs w:val="24"/>
                <w14:textFill>
                  <w14:solidFill>
                    <w14:schemeClr w14:val="tx1"/>
                  </w14:solidFill>
                </w14:textFill>
              </w:rPr>
              <w:t>本项目属陇东黄土高原地貌，植被发育良好。受地质构造控制区内沟壑纵横发育、梁峁规律分布、河谷平坦宽阔，水系纵横交叉，侵蚀与堆积相辅相成。山区海拔一般约1130～1350m，相对高差约100～220m左右。按地貌形态成因不同，可划分为两个地貌单元，黄土低山丘陵区地貌：工程区内沟谷密布，沟坡陡立，与河谷边垂直，Ⅲ级阶地以及各地貌由于地形连绵起伏，冲沟、黄土塬、梁、峁等黄土地貌形态交错分布，沟谷坡段常显黄土陷穴、落水洞等黄土地貌景观。</w:t>
            </w:r>
            <w:r>
              <w:rPr>
                <w:color w:val="000000" w:themeColor="text1"/>
                <w:lang w:val="en-US"/>
                <w14:textFill>
                  <w14:solidFill>
                    <w14:schemeClr w14:val="tx1"/>
                  </w14:solidFill>
                </w14:textFill>
              </w:rPr>
              <w:drawing>
                <wp:inline distT="0" distB="0" distL="114300" distR="114300">
                  <wp:extent cx="5053330" cy="2677795"/>
                  <wp:effectExtent l="0" t="0" r="6350" b="444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053330" cy="2677795"/>
                          </a:xfrm>
                          <a:prstGeom prst="rect">
                            <a:avLst/>
                          </a:prstGeom>
                          <a:noFill/>
                          <a:ln>
                            <a:noFill/>
                          </a:ln>
                        </pic:spPr>
                      </pic:pic>
                    </a:graphicData>
                  </a:graphic>
                </wp:inline>
              </w:drawing>
            </w:r>
          </w:p>
          <w:p>
            <w:pPr>
              <w:spacing w:line="360" w:lineRule="auto"/>
              <w:contextualSpacing/>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（2）植被类型</w:t>
            </w: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r>
              <w:rPr>
                <w:rFonts w:ascii="Times New Roman" w:hAnsi="Times New Roman" w:eastAsia="宋体"/>
                <w:b w:val="0"/>
                <w:bCs w:val="0"/>
                <w:color w:val="000000" w:themeColor="text1"/>
                <w:sz w:val="24"/>
                <w:szCs w:val="24"/>
                <w14:textFill>
                  <w14:solidFill>
                    <w14:schemeClr w14:val="tx1"/>
                  </w14:solidFill>
                </w14:textFill>
              </w:rPr>
              <w:t>根据现场勘查，项目所在区域植被类型主要为草丛与农业植被，其中草丛主要分布于黄土谷坡，植被种类为白羊草、长芒草、达乌里胡枝子、茭蒿、铁杆蒿等草本植物以及狼牙刺、酸枣、荆条、黄刺玫、胡颓子等；农作物种类以小麦为主，其次为高粱、玉米、谷子、糜子、豆类、油菜等，农业植被主要分布于黄土塬与河流阶地；灌丛面积植被种类主要为黄刺玫、蒿属灌丛，同时有狼牙刺、酸枣、荆条等。阔叶林主要为刺槐林，树木种类主要为刺槐、泡桐、山杨、油松等乔木，以刺槐为为主，林下混生有少量狼牙刺、酸枣、荆条、黄刺玫等灌木。项目评价范围内无珍稀保护物种。</w:t>
            </w: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p>
          <w:p>
            <w:pPr>
              <w:pStyle w:val="8"/>
              <w:spacing w:before="0" w:after="0" w:line="360" w:lineRule="auto"/>
              <w:ind w:firstLine="480" w:firstLineChars="200"/>
              <w:jc w:val="left"/>
              <w:rPr>
                <w:rFonts w:ascii="Times New Roman" w:hAnsi="Times New Roman" w:eastAsia="宋体"/>
                <w:b w:val="0"/>
                <w:bCs w:val="0"/>
                <w:color w:val="000000" w:themeColor="text1"/>
                <w:sz w:val="24"/>
                <w:szCs w:val="24"/>
                <w14:textFill>
                  <w14:solidFill>
                    <w14:schemeClr w14:val="tx1"/>
                  </w14:solidFill>
                </w14:textFill>
              </w:rPr>
            </w:pPr>
          </w:p>
          <w:p>
            <w:pPr>
              <w:pStyle w:val="8"/>
              <w:spacing w:before="0" w:after="0" w:line="360" w:lineRule="auto"/>
              <w:jc w:val="left"/>
              <w:rPr>
                <w:rFonts w:ascii="Times New Roman" w:hAnsi="Times New Roman" w:eastAsia="宋体"/>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069840" cy="2427605"/>
                  <wp:effectExtent l="0" t="0" r="508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069840" cy="2427605"/>
                          </a:xfrm>
                          <a:prstGeom prst="rect">
                            <a:avLst/>
                          </a:prstGeom>
                          <a:noFill/>
                          <a:ln>
                            <a:noFill/>
                          </a:ln>
                        </pic:spPr>
                      </pic:pic>
                    </a:graphicData>
                  </a:graphic>
                </wp:inline>
              </w:drawing>
            </w:r>
          </w:p>
          <w:p>
            <w:pPr>
              <w:spacing w:line="360" w:lineRule="auto"/>
              <w:contextualSpacing/>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（3）动物资源现状</w:t>
            </w:r>
          </w:p>
          <w:p>
            <w:pPr>
              <w:pStyle w:val="61"/>
              <w:rPr>
                <w:rFonts w:cs="Times New Roman"/>
                <w:color w:val="000000" w:themeColor="text1"/>
                <w:lang w:val="zh-CN"/>
                <w14:textFill>
                  <w14:solidFill>
                    <w14:schemeClr w14:val="tx1"/>
                  </w14:solidFill>
                </w14:textFill>
              </w:rPr>
            </w:pPr>
            <w:r>
              <w:rPr>
                <w:rFonts w:cs="Times New Roman"/>
                <w:color w:val="000000" w:themeColor="text1"/>
                <w14:textFill>
                  <w14:solidFill>
                    <w14:schemeClr w14:val="tx1"/>
                  </w14:solidFill>
                </w14:textFill>
              </w:rPr>
              <w:t>根据现场勘查，项目所在区域的动物组成比较简单，种类较少，多为常见种类，物种组成以小型兽类和鸟类为主。兽类主要有黄鼬、狗獾、蒙古兔、花鼠、达吾尔黄鼠、大仓鼠、小家鼠等；野生禽类主要有啄木鸟、杜鹃、小沙百灵、家燕、喜鹊、大嘴乌鸦、麻雀等。野生动物主要分布在林地及灌草丛中。</w:t>
            </w:r>
          </w:p>
          <w:p>
            <w:pPr>
              <w:pStyle w:val="59"/>
              <w:ind w:firstLine="480"/>
              <w:rPr>
                <w:color w:val="000000" w:themeColor="text1"/>
                <w:szCs w:val="24"/>
                <w14:textFill>
                  <w14:solidFill>
                    <w14:schemeClr w14:val="tx1"/>
                  </w14:solidFill>
                </w14:textFill>
              </w:rPr>
            </w:pPr>
            <w:r>
              <w:rPr>
                <w:bCs w:val="0"/>
                <w:color w:val="000000" w:themeColor="text1"/>
                <w:szCs w:val="24"/>
                <w:lang w:val="en-US"/>
                <w14:textFill>
                  <w14:solidFill>
                    <w14:schemeClr w14:val="tx1"/>
                  </w14:solidFill>
                </w14:textFill>
              </w:rPr>
              <w:t>项目评价范围内无珍稀保护物种。</w:t>
            </w:r>
          </w:p>
          <w:p>
            <w:pPr>
              <w:widowControl/>
              <w:spacing w:line="360" w:lineRule="auto"/>
              <w:contextualSpacing/>
              <w:jc w:val="left"/>
              <w:outlineLvl w:val="1"/>
              <w:rPr>
                <w:b/>
                <w:color w:val="000000" w:themeColor="text1"/>
                <w:sz w:val="24"/>
                <w14:textFill>
                  <w14:solidFill>
                    <w14:schemeClr w14:val="tx1"/>
                  </w14:solidFill>
                </w14:textFill>
              </w:rPr>
            </w:pPr>
            <w:r>
              <w:rPr>
                <w:b/>
                <w:color w:val="000000" w:themeColor="text1"/>
                <w:sz w:val="24"/>
                <w14:textFill>
                  <w14:solidFill>
                    <w14:schemeClr w14:val="tx1"/>
                  </w14:solidFill>
                </w14:textFill>
              </w:rPr>
              <w:t>3、环境质量现状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（1）空气环境质量现状</w:t>
            </w:r>
          </w:p>
          <w:p>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根据《环境影响评价技术导则 大气环境》（HJ2.2-2018）中6.4.1.1中的内容“城市环境空气质量达标评价指标为SO</w:t>
            </w:r>
            <w:r>
              <w:rPr>
                <w:color w:val="000000" w:themeColor="text1"/>
                <w:sz w:val="24"/>
                <w:szCs w:val="32"/>
                <w:vertAlign w:val="subscript"/>
                <w14:textFill>
                  <w14:solidFill>
                    <w14:schemeClr w14:val="tx1"/>
                  </w14:solidFill>
                </w14:textFill>
              </w:rPr>
              <w:t>2</w:t>
            </w:r>
            <w:r>
              <w:rPr>
                <w:color w:val="000000" w:themeColor="text1"/>
                <w:sz w:val="24"/>
                <w:szCs w:val="32"/>
                <w14:textFill>
                  <w14:solidFill>
                    <w14:schemeClr w14:val="tx1"/>
                  </w14:solidFill>
                </w14:textFill>
              </w:rPr>
              <w:t>、NO</w:t>
            </w:r>
            <w:r>
              <w:rPr>
                <w:color w:val="000000" w:themeColor="text1"/>
                <w:sz w:val="24"/>
                <w:szCs w:val="32"/>
                <w:vertAlign w:val="subscript"/>
                <w14:textFill>
                  <w14:solidFill>
                    <w14:schemeClr w14:val="tx1"/>
                  </w14:solidFill>
                </w14:textFill>
              </w:rPr>
              <w:t>2</w:t>
            </w:r>
            <w:r>
              <w:rPr>
                <w:color w:val="000000" w:themeColor="text1"/>
                <w:sz w:val="24"/>
                <w:szCs w:val="32"/>
                <w14:textFill>
                  <w14:solidFill>
                    <w14:schemeClr w14:val="tx1"/>
                  </w14:solidFill>
                </w14:textFill>
              </w:rPr>
              <w:t>、PM</w:t>
            </w:r>
            <w:r>
              <w:rPr>
                <w:color w:val="000000" w:themeColor="text1"/>
                <w:sz w:val="24"/>
                <w:szCs w:val="32"/>
                <w:vertAlign w:val="subscript"/>
                <w14:textFill>
                  <w14:solidFill>
                    <w14:schemeClr w14:val="tx1"/>
                  </w14:solidFill>
                </w14:textFill>
              </w:rPr>
              <w:t>10</w:t>
            </w:r>
            <w:r>
              <w:rPr>
                <w:color w:val="000000" w:themeColor="text1"/>
                <w:sz w:val="24"/>
                <w:szCs w:val="32"/>
                <w14:textFill>
                  <w14:solidFill>
                    <w14:schemeClr w14:val="tx1"/>
                  </w14:solidFill>
                </w14:textFill>
              </w:rPr>
              <w:t>、PM</w:t>
            </w:r>
            <w:r>
              <w:rPr>
                <w:color w:val="000000" w:themeColor="text1"/>
                <w:sz w:val="24"/>
                <w:szCs w:val="32"/>
                <w:vertAlign w:val="subscript"/>
                <w14:textFill>
                  <w14:solidFill>
                    <w14:schemeClr w14:val="tx1"/>
                  </w14:solidFill>
                </w14:textFill>
              </w:rPr>
              <w:t>2.5</w:t>
            </w:r>
            <w:r>
              <w:rPr>
                <w:color w:val="000000" w:themeColor="text1"/>
                <w:sz w:val="24"/>
                <w:szCs w:val="32"/>
                <w14:textFill>
                  <w14:solidFill>
                    <w14:schemeClr w14:val="tx1"/>
                  </w14:solidFill>
                </w14:textFill>
              </w:rPr>
              <w:t>、CO和O</w:t>
            </w:r>
            <w:r>
              <w:rPr>
                <w:color w:val="000000" w:themeColor="text1"/>
                <w:sz w:val="24"/>
                <w:szCs w:val="32"/>
                <w:vertAlign w:val="subscript"/>
                <w14:textFill>
                  <w14:solidFill>
                    <w14:schemeClr w14:val="tx1"/>
                  </w14:solidFill>
                </w14:textFill>
              </w:rPr>
              <w:t>3</w:t>
            </w:r>
            <w:r>
              <w:rPr>
                <w:color w:val="000000" w:themeColor="text1"/>
                <w:sz w:val="24"/>
                <w:szCs w:val="32"/>
                <w14:textFill>
                  <w14:solidFill>
                    <w14:schemeClr w14:val="tx1"/>
                  </w14:solidFill>
                </w14:textFill>
              </w:rPr>
              <w:t>，六项污染物全部达标即为城市环境空气质量达标”。</w:t>
            </w:r>
          </w:p>
          <w:p>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根据《环境影响评价技术导则 大气环境》（HJ2.2-2018），项目所在区域达标判定，优先采用国家或地方生态环境主管部门公开发布的评价基准年环境质量公告或环境质量报告中的数据或结论。其中评价基准年为近3年中数据相对完整的1个日历年作为评价基准年。</w:t>
            </w:r>
          </w:p>
          <w:p>
            <w:pPr>
              <w:adjustRightInd w:val="0"/>
              <w:snapToGrid w:val="0"/>
              <w:spacing w:line="360" w:lineRule="auto"/>
              <w:ind w:firstLine="480" w:firstLineChars="200"/>
              <w:rPr>
                <w:bCs/>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本项目位于庆阳市宁县，本次环境质量现状数据引用数据来源为庆阳市生态环境局公布的宁县环境质量月报（2021年1-12月），2021年庆阳市宁县每月SO</w:t>
            </w:r>
            <w:r>
              <w:rPr>
                <w:color w:val="000000" w:themeColor="text1"/>
                <w:sz w:val="24"/>
                <w:szCs w:val="32"/>
                <w:vertAlign w:val="subscript"/>
                <w14:textFill>
                  <w14:solidFill>
                    <w14:schemeClr w14:val="tx1"/>
                  </w14:solidFill>
                </w14:textFill>
              </w:rPr>
              <w:t>2</w:t>
            </w:r>
            <w:r>
              <w:rPr>
                <w:color w:val="000000" w:themeColor="text1"/>
                <w:sz w:val="24"/>
                <w:szCs w:val="32"/>
                <w14:textFill>
                  <w14:solidFill>
                    <w14:schemeClr w14:val="tx1"/>
                  </w14:solidFill>
                </w14:textFill>
              </w:rPr>
              <w:t>、NO</w:t>
            </w:r>
            <w:r>
              <w:rPr>
                <w:color w:val="000000" w:themeColor="text1"/>
                <w:sz w:val="24"/>
                <w:szCs w:val="32"/>
                <w:vertAlign w:val="subscript"/>
                <w14:textFill>
                  <w14:solidFill>
                    <w14:schemeClr w14:val="tx1"/>
                  </w14:solidFill>
                </w14:textFill>
              </w:rPr>
              <w:t>2</w:t>
            </w:r>
            <w:r>
              <w:rPr>
                <w:color w:val="000000" w:themeColor="text1"/>
                <w:sz w:val="24"/>
                <w:szCs w:val="32"/>
                <w14:textFill>
                  <w14:solidFill>
                    <w14:schemeClr w14:val="tx1"/>
                  </w14:solidFill>
                </w14:textFill>
              </w:rPr>
              <w:t>、PM</w:t>
            </w:r>
            <w:r>
              <w:rPr>
                <w:color w:val="000000" w:themeColor="text1"/>
                <w:sz w:val="24"/>
                <w:szCs w:val="32"/>
                <w:vertAlign w:val="subscript"/>
                <w14:textFill>
                  <w14:solidFill>
                    <w14:schemeClr w14:val="tx1"/>
                  </w14:solidFill>
                </w14:textFill>
              </w:rPr>
              <w:t>10</w:t>
            </w:r>
            <w:r>
              <w:rPr>
                <w:color w:val="000000" w:themeColor="text1"/>
                <w:sz w:val="24"/>
                <w:szCs w:val="32"/>
                <w14:textFill>
                  <w14:solidFill>
                    <w14:schemeClr w14:val="tx1"/>
                  </w14:solidFill>
                </w14:textFill>
              </w:rPr>
              <w:t>、PM</w:t>
            </w:r>
            <w:r>
              <w:rPr>
                <w:color w:val="000000" w:themeColor="text1"/>
                <w:sz w:val="24"/>
                <w:szCs w:val="32"/>
                <w:vertAlign w:val="subscript"/>
                <w14:textFill>
                  <w14:solidFill>
                    <w14:schemeClr w14:val="tx1"/>
                  </w14:solidFill>
                </w14:textFill>
              </w:rPr>
              <w:t>2.5</w:t>
            </w:r>
            <w:r>
              <w:rPr>
                <w:color w:val="000000" w:themeColor="text1"/>
                <w:sz w:val="24"/>
                <w:szCs w:val="32"/>
                <w14:textFill>
                  <w14:solidFill>
                    <w14:schemeClr w14:val="tx1"/>
                  </w14:solidFill>
                </w14:textFill>
              </w:rPr>
              <w:t>、CO和O</w:t>
            </w:r>
            <w:r>
              <w:rPr>
                <w:color w:val="000000" w:themeColor="text1"/>
                <w:sz w:val="24"/>
                <w:szCs w:val="32"/>
                <w:vertAlign w:val="subscript"/>
                <w14:textFill>
                  <w14:solidFill>
                    <w14:schemeClr w14:val="tx1"/>
                  </w14:solidFill>
                </w14:textFill>
              </w:rPr>
              <w:t>3</w:t>
            </w:r>
            <w:r>
              <w:rPr>
                <w:color w:val="000000" w:themeColor="text1"/>
                <w:sz w:val="24"/>
                <w:szCs w:val="32"/>
                <w14:textFill>
                  <w14:solidFill>
                    <w14:schemeClr w14:val="tx1"/>
                  </w14:solidFill>
                </w14:textFill>
              </w:rPr>
              <w:t>六项基本因子的监测数据</w:t>
            </w:r>
            <w:r>
              <w:rPr>
                <w:bCs/>
                <w:color w:val="000000" w:themeColor="text1"/>
                <w:sz w:val="24"/>
                <w:szCs w:val="32"/>
                <w14:textFill>
                  <w14:solidFill>
                    <w14:schemeClr w14:val="tx1"/>
                  </w14:solidFill>
                </w14:textFill>
              </w:rPr>
              <w:t>，具体情况见下表3-1。</w:t>
            </w:r>
          </w:p>
          <w:p>
            <w:pPr>
              <w:pStyle w:val="8"/>
              <w:spacing w:before="0" w:after="0" w:line="240" w:lineRule="auto"/>
              <w:jc w:val="center"/>
              <w:rPr>
                <w:rFonts w:ascii="Times New Roman" w:hAnsi="Times New Roman" w:eastAsia="宋体"/>
                <w:color w:val="000000" w:themeColor="text1"/>
                <w:sz w:val="21"/>
                <w:szCs w:val="21"/>
                <w14:textFill>
                  <w14:solidFill>
                    <w14:schemeClr w14:val="tx1"/>
                  </w14:solidFill>
                </w14:textFill>
              </w:rPr>
            </w:pPr>
          </w:p>
          <w:p>
            <w:pPr>
              <w:pStyle w:val="8"/>
              <w:spacing w:before="0" w:after="0" w:line="240" w:lineRule="auto"/>
              <w:jc w:val="center"/>
              <w:rPr>
                <w:rFonts w:ascii="Times New Roman" w:hAnsi="Times New Roman" w:eastAsia="宋体"/>
                <w:color w:val="000000" w:themeColor="text1"/>
                <w:sz w:val="21"/>
                <w:szCs w:val="21"/>
                <w14:textFill>
                  <w14:solidFill>
                    <w14:schemeClr w14:val="tx1"/>
                  </w14:solidFill>
                </w14:textFill>
              </w:rPr>
            </w:pPr>
          </w:p>
          <w:p>
            <w:pPr>
              <w:pStyle w:val="8"/>
              <w:spacing w:before="0" w:after="0" w:line="240" w:lineRule="auto"/>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表3-1   2021年宁县环境空气年均值情况表</w:t>
            </w:r>
          </w:p>
          <w:tbl>
            <w:tblPr>
              <w:tblStyle w:val="30"/>
              <w:tblW w:w="809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9"/>
              <w:gridCol w:w="897"/>
              <w:gridCol w:w="1119"/>
              <w:gridCol w:w="1124"/>
              <w:gridCol w:w="913"/>
              <w:gridCol w:w="1085"/>
              <w:gridCol w:w="13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89"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日期</w:t>
                  </w:r>
                </w:p>
              </w:tc>
              <w:tc>
                <w:tcPr>
                  <w:tcW w:w="897"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119"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1124"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913"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1085"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CO第95百分位数</w:t>
                  </w:r>
                </w:p>
              </w:tc>
              <w:tc>
                <w:tcPr>
                  <w:tcW w:w="1370"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O3_8h第90百分位数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2021年1月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96</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2021年2月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2021年3月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82</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2021年4月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2021年5月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2021年6月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2021年7月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2021年8月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2021年9月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2021年10月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2021年11月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2021年12月</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83</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年均值</w:t>
                  </w:r>
                </w:p>
              </w:tc>
              <w:tc>
                <w:tcPr>
                  <w:tcW w:w="8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12.67</w:t>
                  </w:r>
                </w:p>
              </w:tc>
              <w:tc>
                <w:tcPr>
                  <w:tcW w:w="1119"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11.33</w:t>
                  </w:r>
                </w:p>
              </w:tc>
              <w:tc>
                <w:tcPr>
                  <w:tcW w:w="112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65.08</w:t>
                  </w:r>
                </w:p>
              </w:tc>
              <w:tc>
                <w:tcPr>
                  <w:tcW w:w="913"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32.08</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0.76</w:t>
                  </w:r>
                </w:p>
              </w:tc>
              <w:tc>
                <w:tcPr>
                  <w:tcW w:w="137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92.75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1589"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897"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11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112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91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37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5" w:hRule="atLeast"/>
                <w:jc w:val="center"/>
              </w:trPr>
              <w:tc>
                <w:tcPr>
                  <w:tcW w:w="1589" w:type="dxa"/>
                  <w:vAlign w:val="center"/>
                </w:tcPr>
                <w:p>
                  <w:pPr>
                    <w:tabs>
                      <w:tab w:val="left" w:pos="220"/>
                      <w:tab w:val="left" w:pos="43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超标倍数</w:t>
                  </w:r>
                </w:p>
              </w:tc>
              <w:tc>
                <w:tcPr>
                  <w:tcW w:w="897"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11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12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913"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085"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37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r>
          </w:tbl>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二氧化硫：宁县月均值浓度范围为8～15微克/立方米，月均值达标率为100%；年均值为12.67微克/立方米，达标。</w:t>
            </w:r>
          </w:p>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二氧化氮：宁县月均值浓度范围为8~16微克/立方米，月均值达标率为 100%；年均值为11.33微克/立方米，达标。</w:t>
            </w:r>
          </w:p>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可吸入颗粒物：宁县月均值浓度范围为31～96微克/立方米，月均值达标率为100%；年均值为65.08微克/立方米，达标。</w:t>
            </w:r>
          </w:p>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细颗粒物：宁县月均值浓度范围为18～44微克/立方米，月均值达标率为100%；年均值为32.08微克/立方米，达标。</w:t>
            </w:r>
          </w:p>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一氧化碳：宁县月均值浓度范围为0.4～1.0毫克/立方米，月均值达标率为100%；年均值第95百分位数为0.76毫克/立方米，达标。</w:t>
            </w:r>
          </w:p>
          <w:p>
            <w:pPr>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臭氧；宁县月最大8小时滑动平均的浓度范围为73～115微克/立方米，月最大8小时滑动平均值达标率为100%；年最大8小时滑动平均的第90百分位数为92.75微克/立方米，达标。</w:t>
            </w:r>
          </w:p>
          <w:p>
            <w:pPr>
              <w:pStyle w:val="62"/>
              <w:rPr>
                <w:color w:val="000000" w:themeColor="text1"/>
                <w14:textFill>
                  <w14:solidFill>
                    <w14:schemeClr w14:val="tx1"/>
                  </w14:solidFill>
                </w14:textFill>
              </w:rPr>
            </w:pPr>
            <w:r>
              <w:rPr>
                <w:color w:val="000000" w:themeColor="text1"/>
                <w14:textFill>
                  <w14:solidFill>
                    <w14:schemeClr w14:val="tx1"/>
                  </w14:solidFill>
                </w14:textFill>
              </w:rPr>
              <w:t>根据上述数据，庆阳市宁县2021年环境空气监测数据中二氧化硫、二氧化氮、可吸入颗粒物（PM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）、细颗粒物（PM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）、臭氧、一氧化碳均达到《环境空气质量标准》（GB3095-2012）二级标准，项目所在地属于达标区。</w:t>
            </w:r>
          </w:p>
          <w:p>
            <w:pPr>
              <w:pStyle w:val="62"/>
              <w:rPr>
                <w:color w:val="000000" w:themeColor="text1"/>
                <w14:textFill>
                  <w14:solidFill>
                    <w14:schemeClr w14:val="tx1"/>
                  </w14:solidFill>
                </w14:textFill>
              </w:rPr>
            </w:pPr>
            <w:r>
              <w:rPr>
                <w:color w:val="000000" w:themeColor="text1"/>
                <w14:textFill>
                  <w14:solidFill>
                    <w14:schemeClr w14:val="tx1"/>
                  </w14:solidFill>
                </w14:textFill>
              </w:rPr>
              <w:t>（2）地表水环境质量现状</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根据《甘肃省地表水功能区划（2012-2030）》，本项目所涉及地表水为马莲河，为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IV</w:t>
            </w:r>
            <w:r>
              <w:rPr>
                <w:color w:val="000000" w:themeColor="text1"/>
                <w:sz w:val="24"/>
                <w14:textFill>
                  <w14:solidFill>
                    <w14:schemeClr w14:val="tx1"/>
                  </w14:solidFill>
                </w14:textFill>
              </w:rPr>
              <w:fldChar w:fldCharType="end"/>
            </w:r>
            <w:r>
              <w:rPr>
                <w:color w:val="000000" w:themeColor="text1"/>
                <w:sz w:val="24"/>
                <w:lang w:val="zh-CN"/>
                <w14:textFill>
                  <w14:solidFill>
                    <w14:schemeClr w14:val="tx1"/>
                  </w14:solidFill>
                </w14:textFill>
              </w:rPr>
              <w:t>类水域功能区</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本项目所在区地表水为马莲河，根据庆阳市生态环境局公布的2022年5月份庆阳市河流地表水环境质量可知</w:t>
            </w:r>
            <w:r>
              <w:rPr>
                <w:color w:val="000000" w:themeColor="text1"/>
                <w:sz w:val="24"/>
                <w14:textFill>
                  <w14:solidFill>
                    <w14:schemeClr w14:val="tx1"/>
                  </w14:solidFill>
                </w14:textFill>
              </w:rPr>
              <w:t>。监测结果见表3-</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pPr>
              <w:pStyle w:val="8"/>
              <w:spacing w:before="0" w:after="0" w:line="240" w:lineRule="auto"/>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表3-</w:t>
            </w:r>
            <w:r>
              <w:rPr>
                <w:rFonts w:hint="eastAsia" w:ascii="Times New Roman" w:hAnsi="Times New Roman" w:eastAsia="宋体"/>
                <w:color w:val="000000" w:themeColor="text1"/>
                <w:sz w:val="21"/>
                <w:szCs w:val="21"/>
                <w14:textFill>
                  <w14:solidFill>
                    <w14:schemeClr w14:val="tx1"/>
                  </w14:solidFill>
                </w14:textFill>
              </w:rPr>
              <w:t>2</w:t>
            </w:r>
            <w:r>
              <w:rPr>
                <w:rFonts w:ascii="Times New Roman" w:hAnsi="Times New Roman" w:eastAsia="宋体"/>
                <w:color w:val="000000" w:themeColor="text1"/>
                <w:sz w:val="21"/>
                <w:szCs w:val="21"/>
                <w14:textFill>
                  <w14:solidFill>
                    <w14:schemeClr w14:val="tx1"/>
                  </w14:solidFill>
                </w14:textFill>
              </w:rPr>
              <w:t xml:space="preserve">      地表水监测结果一览表      单位：mg/L</w:t>
            </w:r>
          </w:p>
          <w:tbl>
            <w:tblPr>
              <w:tblStyle w:val="30"/>
              <w:tblW w:w="8097"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563"/>
              <w:gridCol w:w="1637"/>
              <w:gridCol w:w="1284"/>
              <w:gridCol w:w="1140"/>
              <w:gridCol w:w="1140"/>
              <w:gridCol w:w="1138"/>
              <w:gridCol w:w="119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04" w:hRule="atLeast"/>
                <w:jc w:val="center"/>
              </w:trPr>
              <w:tc>
                <w:tcPr>
                  <w:tcW w:w="563"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1637"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断面名称</w:t>
                  </w:r>
                </w:p>
              </w:tc>
              <w:tc>
                <w:tcPr>
                  <w:tcW w:w="1284"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所属流域</w:t>
                  </w:r>
                </w:p>
              </w:tc>
              <w:tc>
                <w:tcPr>
                  <w:tcW w:w="1140"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所属水体</w:t>
                  </w:r>
                </w:p>
              </w:tc>
              <w:tc>
                <w:tcPr>
                  <w:tcW w:w="1140"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断面类型</w:t>
                  </w:r>
                </w:p>
              </w:tc>
              <w:tc>
                <w:tcPr>
                  <w:tcW w:w="1138" w:type="dxa"/>
                  <w:vAlign w:val="center"/>
                </w:tcPr>
                <w:p>
                  <w:pPr>
                    <w:pStyle w:val="60"/>
                    <w:autoSpaceDE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水质目标</w:t>
                  </w:r>
                </w:p>
              </w:tc>
              <w:tc>
                <w:tcPr>
                  <w:tcW w:w="1195" w:type="dxa"/>
                  <w:vAlign w:val="center"/>
                </w:tcPr>
                <w:p>
                  <w:pPr>
                    <w:pStyle w:val="26"/>
                    <w:widowControl w:val="0"/>
                    <w:autoSpaceDE w:val="0"/>
                    <w:snapToGrid w:val="0"/>
                    <w:spacing w:before="0" w:beforeAutospacing="0" w:after="0" w:afterAutospacing="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lang w:bidi="ar"/>
                      <w14:textFill>
                        <w14:solidFill>
                          <w14:schemeClr w14:val="tx1"/>
                        </w14:solidFill>
                      </w14:textFill>
                    </w:rPr>
                    <w:t>水质类型</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0" w:hRule="atLeast"/>
                <w:jc w:val="center"/>
              </w:trPr>
              <w:tc>
                <w:tcPr>
                  <w:tcW w:w="563"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637"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周家村</w:t>
                  </w:r>
                </w:p>
              </w:tc>
              <w:tc>
                <w:tcPr>
                  <w:tcW w:w="1284"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马莲河</w:t>
                  </w:r>
                </w:p>
              </w:tc>
              <w:tc>
                <w:tcPr>
                  <w:tcW w:w="1140"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马莲河</w:t>
                  </w:r>
                </w:p>
              </w:tc>
              <w:tc>
                <w:tcPr>
                  <w:tcW w:w="1140"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国考</w:t>
                  </w:r>
                </w:p>
              </w:tc>
              <w:tc>
                <w:tcPr>
                  <w:tcW w:w="1138" w:type="dxa"/>
                  <w:vAlign w:val="center"/>
                </w:tcPr>
                <w:p>
                  <w:pPr>
                    <w:pStyle w:val="60"/>
                    <w:autoSpaceDE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Ⅳ类</w:t>
                  </w:r>
                </w:p>
              </w:tc>
              <w:tc>
                <w:tcPr>
                  <w:tcW w:w="1195" w:type="dxa"/>
                  <w:vAlign w:val="center"/>
                </w:tcPr>
                <w:p>
                  <w:pPr>
                    <w:pStyle w:val="26"/>
                    <w:widowControl w:val="0"/>
                    <w:autoSpaceDE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Ⅲ类</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由监测数据可知，监测点位水质均达到《地表水环境质量标准》(GB3838—2002)中Ⅳ类标准要求，区域地表水环境质量良好。</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（3）声环境质量现状</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为了充分掌握本项目所在区域的声环境质量状况，</w:t>
            </w:r>
            <w:r>
              <w:rPr>
                <w:rFonts w:hint="eastAsia"/>
                <w:bCs/>
                <w:color w:val="000000" w:themeColor="text1"/>
                <w:sz w:val="24"/>
                <w14:textFill>
                  <w14:solidFill>
                    <w14:schemeClr w14:val="tx1"/>
                  </w14:solidFill>
                </w14:textFill>
              </w:rPr>
              <w:t>本次环评</w:t>
            </w:r>
            <w:r>
              <w:rPr>
                <w:bCs/>
                <w:color w:val="000000" w:themeColor="text1"/>
                <w:sz w:val="24"/>
                <w14:textFill>
                  <w14:solidFill>
                    <w14:schemeClr w14:val="tx1"/>
                  </w14:solidFill>
                </w14:textFill>
              </w:rPr>
              <w:t>委托甘肃</w:t>
            </w:r>
            <w:r>
              <w:rPr>
                <w:rFonts w:hint="eastAsia"/>
                <w:bCs/>
                <w:color w:val="000000" w:themeColor="text1"/>
                <w:sz w:val="24"/>
                <w14:textFill>
                  <w14:solidFill>
                    <w14:schemeClr w14:val="tx1"/>
                  </w14:solidFill>
                </w14:textFill>
              </w:rPr>
              <w:t>清绿源</w:t>
            </w:r>
            <w:r>
              <w:rPr>
                <w:bCs/>
                <w:color w:val="000000" w:themeColor="text1"/>
                <w:sz w:val="24"/>
                <w14:textFill>
                  <w14:solidFill>
                    <w14:schemeClr w14:val="tx1"/>
                  </w14:solidFill>
                </w14:textFill>
              </w:rPr>
              <w:t>环境检测有限公司对本项目的声环境质量现状于20</w:t>
            </w:r>
            <w:r>
              <w:rPr>
                <w:rFonts w:hint="eastAsia"/>
                <w:bCs/>
                <w:color w:val="000000" w:themeColor="text1"/>
                <w:sz w:val="24"/>
                <w14:textFill>
                  <w14:solidFill>
                    <w14:schemeClr w14:val="tx1"/>
                  </w14:solidFill>
                </w14:textFill>
              </w:rPr>
              <w:t>22</w:t>
            </w:r>
            <w:r>
              <w:rPr>
                <w:bCs/>
                <w:color w:val="000000" w:themeColor="text1"/>
                <w:sz w:val="24"/>
                <w14:textFill>
                  <w14:solidFill>
                    <w14:schemeClr w14:val="tx1"/>
                  </w14:solidFill>
                </w14:textFill>
              </w:rPr>
              <w:t>年</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月</w:t>
            </w:r>
            <w:r>
              <w:rPr>
                <w:rFonts w:hint="eastAsia"/>
                <w:bCs/>
                <w:color w:val="000000" w:themeColor="text1"/>
                <w:sz w:val="24"/>
                <w14:textFill>
                  <w14:solidFill>
                    <w14:schemeClr w14:val="tx1"/>
                  </w14:solidFill>
                </w14:textFill>
              </w:rPr>
              <w:t>20</w:t>
            </w:r>
            <w:r>
              <w:rPr>
                <w:bCs/>
                <w:color w:val="000000" w:themeColor="text1"/>
                <w:sz w:val="24"/>
                <w14:textFill>
                  <w14:solidFill>
                    <w14:schemeClr w14:val="tx1"/>
                  </w14:solidFill>
                </w14:textFill>
              </w:rPr>
              <w:t>日-</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月</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日进行现场监测（监测报告见附件）。</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（1）监测项目：等效连续A声级。</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（2）监测时间和频次：20</w:t>
            </w:r>
            <w:r>
              <w:rPr>
                <w:rFonts w:hint="eastAsia"/>
                <w:bCs/>
                <w:color w:val="000000" w:themeColor="text1"/>
                <w:sz w:val="24"/>
                <w14:textFill>
                  <w14:solidFill>
                    <w14:schemeClr w14:val="tx1"/>
                  </w14:solidFill>
                </w14:textFill>
              </w:rPr>
              <w:t>22</w:t>
            </w:r>
            <w:r>
              <w:rPr>
                <w:bCs/>
                <w:color w:val="000000" w:themeColor="text1"/>
                <w:sz w:val="24"/>
                <w14:textFill>
                  <w14:solidFill>
                    <w14:schemeClr w14:val="tx1"/>
                  </w14:solidFill>
                </w14:textFill>
              </w:rPr>
              <w:t>年</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月</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日-</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月</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日，每个点位监测2天，昼间、夜间各监测一次等效连续声级。</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（3）监测点布置</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本项目共布设</w:t>
            </w:r>
            <w:r>
              <w:rPr>
                <w:rFonts w:hint="eastAsia"/>
                <w:bCs/>
                <w:color w:val="000000" w:themeColor="text1"/>
                <w:sz w:val="24"/>
                <w14:textFill>
                  <w14:solidFill>
                    <w14:schemeClr w14:val="tx1"/>
                  </w14:solidFill>
                </w14:textFill>
              </w:rPr>
              <w:t>6</w:t>
            </w:r>
            <w:r>
              <w:rPr>
                <w:bCs/>
                <w:color w:val="000000" w:themeColor="text1"/>
                <w:sz w:val="24"/>
                <w14:textFill>
                  <w14:solidFill>
                    <w14:schemeClr w14:val="tx1"/>
                  </w14:solidFill>
                </w14:textFill>
              </w:rPr>
              <w:t>个监测点</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具体监测点位见表3-</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、附图</w:t>
            </w:r>
            <w:r>
              <w:rPr>
                <w:rFonts w:hint="eastAsia"/>
                <w:bCs/>
                <w:color w:val="000000" w:themeColor="text1"/>
                <w:sz w:val="24"/>
                <w14:textFill>
                  <w14:solidFill>
                    <w14:schemeClr w14:val="tx1"/>
                  </w14:solidFill>
                </w14:textFill>
              </w:rPr>
              <w:t>7</w:t>
            </w:r>
            <w:r>
              <w:rPr>
                <w:bCs/>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    声环境现状监测点位</w:t>
            </w:r>
          </w:p>
          <w:tbl>
            <w:tblPr>
              <w:tblStyle w:val="30"/>
              <w:tblW w:w="7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418"/>
              <w:gridCol w:w="1538"/>
              <w:gridCol w:w="3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41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15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说明</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噪声监测点1</w:t>
                  </w:r>
                </w:p>
              </w:tc>
              <w:tc>
                <w:tcPr>
                  <w:tcW w:w="15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起点（人民路）</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107°55′46.03″，35°30′5.42″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噪声监测点2</w:t>
                  </w:r>
                </w:p>
              </w:tc>
              <w:tc>
                <w:tcPr>
                  <w:tcW w:w="15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古城村</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107°58′15.50″，35°29′53.81″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噪声监测点3</w:t>
                  </w:r>
                </w:p>
              </w:tc>
              <w:tc>
                <w:tcPr>
                  <w:tcW w:w="15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古城小学</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107°58′34.43″，35°29′56.68″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噪声监测点4</w:t>
                  </w:r>
                </w:p>
              </w:tc>
              <w:tc>
                <w:tcPr>
                  <w:tcW w:w="15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新庄小学</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108°0′15.72″，35°30′56.59″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噪声监测点5</w:t>
                  </w:r>
                </w:p>
              </w:tc>
              <w:tc>
                <w:tcPr>
                  <w:tcW w:w="15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铁王小学</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108°8′14.98″，35°32′50.29″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噪声监测点6</w:t>
                  </w:r>
                </w:p>
              </w:tc>
              <w:tc>
                <w:tcPr>
                  <w:tcW w:w="15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终点</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石鼓村</w:t>
                  </w:r>
                  <w:r>
                    <w:rPr>
                      <w:rFonts w:hint="eastAsia"/>
                      <w:color w:val="000000" w:themeColor="text1"/>
                      <w:szCs w:val="21"/>
                      <w14:textFill>
                        <w14:solidFill>
                          <w14:schemeClr w14:val="tx1"/>
                        </w14:solidFill>
                      </w14:textFill>
                    </w:rPr>
                    <w:t>）</w:t>
                  </w:r>
                </w:p>
              </w:tc>
              <w:tc>
                <w:tcPr>
                  <w:tcW w:w="367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108°9′44.78″，35°33′6.60″</w:t>
                  </w:r>
                </w:p>
              </w:tc>
            </w:tr>
          </w:tbl>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（4）监测结果</w:t>
            </w:r>
          </w:p>
          <w:p>
            <w:pPr>
              <w:wordWrap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声环境现状监测结果见表3-</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，具体监测报告见附件。</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 xml:space="preserve">    声环境现状监测结果</w:t>
            </w:r>
          </w:p>
          <w:tbl>
            <w:tblPr>
              <w:tblStyle w:val="30"/>
              <w:tblW w:w="7481"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609"/>
              <w:gridCol w:w="1218"/>
              <w:gridCol w:w="1218"/>
              <w:gridCol w:w="1218"/>
              <w:gridCol w:w="121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11" w:hRule="atLeast"/>
              </w:trPr>
              <w:tc>
                <w:tcPr>
                  <w:tcW w:w="2609" w:type="dxa"/>
                  <w:vMerge w:val="restart"/>
                  <w:vAlign w:val="center"/>
                </w:tcPr>
                <w:p>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检测点位</w:t>
                  </w:r>
                </w:p>
              </w:tc>
              <w:tc>
                <w:tcPr>
                  <w:tcW w:w="2436" w:type="dxa"/>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w:t>
                  </w:r>
                </w:p>
              </w:tc>
              <w:tc>
                <w:tcPr>
                  <w:tcW w:w="2436" w:type="dxa"/>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19" w:hRule="atLeast"/>
              </w:trPr>
              <w:tc>
                <w:tcPr>
                  <w:tcW w:w="2609" w:type="dxa"/>
                  <w:vMerge w:val="continue"/>
                  <w:vAlign w:val="center"/>
                </w:tcPr>
                <w:p>
                  <w:pPr>
                    <w:widowControl/>
                    <w:adjustRightInd w:val="0"/>
                    <w:snapToGrid w:val="0"/>
                    <w:jc w:val="left"/>
                    <w:rPr>
                      <w:color w:val="000000" w:themeColor="text1"/>
                      <w:szCs w:val="21"/>
                      <w:lang w:val="zh-CN"/>
                      <w14:textFill>
                        <w14:solidFill>
                          <w14:schemeClr w14:val="tx1"/>
                        </w14:solidFill>
                      </w14:textFill>
                    </w:rPr>
                  </w:pPr>
                </w:p>
              </w:tc>
              <w:tc>
                <w:tcPr>
                  <w:tcW w:w="121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昼间dB(A)</w:t>
                  </w:r>
                </w:p>
              </w:tc>
              <w:tc>
                <w:tcPr>
                  <w:tcW w:w="121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夜间dB(A)</w:t>
                  </w:r>
                </w:p>
              </w:tc>
              <w:tc>
                <w:tcPr>
                  <w:tcW w:w="121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昼间dB(A)</w:t>
                  </w:r>
                </w:p>
              </w:tc>
              <w:tc>
                <w:tcPr>
                  <w:tcW w:w="121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夜间dB(A)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起点（人民路）</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50.3</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40.1</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50.5</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古城村</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48.7</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40.9</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50.5</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古城小学</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50.7</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40.3</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49.0</w:t>
                  </w:r>
                </w:p>
              </w:tc>
              <w:tc>
                <w:tcPr>
                  <w:tcW w:w="1218"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新庄小学</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50.5</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40.2</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51.1</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铁王小学</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52.7</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39.2</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50.5</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3"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终点</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石鼓村</w:t>
                  </w:r>
                  <w:r>
                    <w:rPr>
                      <w:rFonts w:hint="eastAsia"/>
                      <w:color w:val="000000" w:themeColor="text1"/>
                      <w:szCs w:val="21"/>
                      <w14:textFill>
                        <w14:solidFill>
                          <w14:schemeClr w14:val="tx1"/>
                        </w14:solidFill>
                      </w14:textFill>
                    </w:rPr>
                    <w:t>）</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50.1</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41.4</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50.2</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36" w:hRule="atLeast"/>
              </w:trPr>
              <w:tc>
                <w:tcPr>
                  <w:tcW w:w="26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限值（GB3096-2008）2类</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218" w:type="dxa"/>
                  <w:shd w:val="clear" w:color="auto" w:fill="FFFFFF"/>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bl>
          <w:p>
            <w:pPr>
              <w:adjustRightInd w:val="0"/>
              <w:snapToGrid w:val="0"/>
              <w:jc w:val="center"/>
              <w:rPr>
                <w:b/>
                <w:color w:val="FF0000"/>
                <w:szCs w:val="21"/>
              </w:rPr>
            </w:pPr>
            <w:r>
              <w:rPr>
                <w:b/>
                <w:color w:val="FF0000"/>
                <w:szCs w:val="21"/>
              </w:rPr>
              <w:t>表3-</w:t>
            </w:r>
            <w:r>
              <w:rPr>
                <w:rFonts w:hint="eastAsia"/>
                <w:b/>
                <w:color w:val="FF0000"/>
                <w:szCs w:val="21"/>
                <w:lang w:val="en-US" w:eastAsia="zh-CN"/>
              </w:rPr>
              <w:t>5</w:t>
            </w:r>
            <w:r>
              <w:rPr>
                <w:b/>
                <w:color w:val="FF0000"/>
                <w:szCs w:val="21"/>
              </w:rPr>
              <w:t xml:space="preserve">    </w:t>
            </w:r>
            <w:r>
              <w:rPr>
                <w:rFonts w:hint="eastAsia"/>
                <w:b/>
                <w:color w:val="FF0000"/>
                <w:szCs w:val="21"/>
                <w:lang w:val="en-US" w:eastAsia="zh-CN"/>
              </w:rPr>
              <w:t>衰减声</w:t>
            </w:r>
            <w:r>
              <w:rPr>
                <w:b/>
                <w:color w:val="FF0000"/>
                <w:szCs w:val="21"/>
              </w:rPr>
              <w:t>环境现状监测结果</w:t>
            </w:r>
          </w:p>
          <w:tbl>
            <w:tblPr>
              <w:tblStyle w:val="30"/>
              <w:tblW w:w="76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27"/>
              <w:gridCol w:w="1527"/>
              <w:gridCol w:w="1528"/>
              <w:gridCol w:w="1527"/>
              <w:gridCol w:w="15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2" w:hRule="atLeast"/>
                <w:jc w:val="center"/>
              </w:trPr>
              <w:tc>
                <w:tcPr>
                  <w:tcW w:w="152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仿宋" w:cs="Times New Roman"/>
                      <w:b/>
                      <w:bCs/>
                      <w:i w:val="0"/>
                      <w:color w:val="FF0000"/>
                      <w:sz w:val="21"/>
                      <w:szCs w:val="21"/>
                      <w:u w:val="none"/>
                    </w:rPr>
                  </w:pPr>
                  <w:r>
                    <w:rPr>
                      <w:rFonts w:hint="default" w:ascii="Times New Roman" w:hAnsi="Times New Roman" w:cs="Times New Roman"/>
                      <w:b/>
                      <w:bCs/>
                      <w:color w:val="FF0000"/>
                      <w:sz w:val="21"/>
                      <w:szCs w:val="21"/>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4445</wp:posOffset>
                            </wp:positionV>
                            <wp:extent cx="918210" cy="377825"/>
                            <wp:effectExtent l="1905" t="4445" r="6985" b="11430"/>
                            <wp:wrapNone/>
                            <wp:docPr id="33" name="直接连接符 33"/>
                            <wp:cNvGraphicFramePr/>
                            <a:graphic xmlns:a="http://schemas.openxmlformats.org/drawingml/2006/main">
                              <a:graphicData uri="http://schemas.microsoft.com/office/word/2010/wordprocessingShape">
                                <wps:wsp>
                                  <wps:cNvCnPr/>
                                  <wps:spPr>
                                    <a:xfrm>
                                      <a:off x="1113155" y="906145"/>
                                      <a:ext cx="918210" cy="37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pt;margin-top:0.35pt;height:29.75pt;width:72.3pt;z-index:251660288;mso-width-relative:page;mso-height-relative:page;" filled="f" stroked="t" coordsize="21600,21600" o:gfxdata="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juBFdQAAAAFAQAADwAAAAAAAAABACAAAAAiAAAAZHJzL2Rvd25y&#10;ZXYueG1sUEsBAhQAFAAAAAgAh07iQMuqdOgCAgAA5AMAAA4AAAAAAAAAAQAgAAAAIwEAAGRycy9l&#10;Mm9Eb2MueG1sUEsFBgAAAAAGAAYAWQEAAJcFAAAAAA==&#10;">
                            <v:fill on="f" focussize="0,0"/>
                            <v:stroke color="#000000 [3200]" joinstyle="round"/>
                            <v:imagedata o:title=""/>
                            <o:lock v:ext="edit" aspectratio="f"/>
                          </v:line>
                        </w:pict>
                      </mc:Fallback>
                    </mc:AlternateContent>
                  </w:r>
                  <w:r>
                    <w:rPr>
                      <w:rFonts w:hint="default" w:ascii="Times New Roman" w:hAnsi="Times New Roman" w:eastAsia="仿宋" w:cs="Times New Roman"/>
                      <w:b/>
                      <w:bCs/>
                      <w:i w:val="0"/>
                      <w:color w:val="FF0000"/>
                      <w:kern w:val="0"/>
                      <w:sz w:val="21"/>
                      <w:szCs w:val="21"/>
                      <w:u w:val="none"/>
                      <w:lang w:val="en-US" w:eastAsia="zh-CN" w:bidi="ar"/>
                    </w:rPr>
                    <w:t xml:space="preserve">     检测结果</w:t>
                  </w:r>
                  <w:r>
                    <w:rPr>
                      <w:rFonts w:hint="default" w:ascii="Times New Roman" w:hAnsi="Times New Roman" w:eastAsia="仿宋" w:cs="Times New Roman"/>
                      <w:b/>
                      <w:bCs/>
                      <w:i w:val="0"/>
                      <w:color w:val="FF0000"/>
                      <w:kern w:val="0"/>
                      <w:sz w:val="21"/>
                      <w:szCs w:val="21"/>
                      <w:u w:val="none"/>
                      <w:lang w:val="en-US" w:eastAsia="zh-CN" w:bidi="ar"/>
                    </w:rPr>
                    <w:br w:type="textWrapping"/>
                  </w:r>
                  <w:r>
                    <w:rPr>
                      <w:rFonts w:hint="default" w:ascii="Times New Roman" w:hAnsi="Times New Roman" w:eastAsia="仿宋" w:cs="Times New Roman"/>
                      <w:b/>
                      <w:bCs/>
                      <w:i w:val="0"/>
                      <w:color w:val="FF0000"/>
                      <w:kern w:val="0"/>
                      <w:sz w:val="21"/>
                      <w:szCs w:val="21"/>
                      <w:u w:val="none"/>
                      <w:lang w:val="en-US" w:eastAsia="zh-CN" w:bidi="ar"/>
                    </w:rPr>
                    <w:t>检测点位</w:t>
                  </w:r>
                </w:p>
              </w:tc>
              <w:tc>
                <w:tcPr>
                  <w:tcW w:w="3055" w:type="dxa"/>
                  <w:gridSpan w:val="2"/>
                  <w:tcBorders>
                    <w:tl2br w:val="nil"/>
                    <w:tr2bl w:val="nil"/>
                  </w:tcBorders>
                  <w:shd w:val="clear" w:color="auto" w:fill="auto"/>
                  <w:tcMar>
                    <w:top w:w="15" w:type="dxa"/>
                    <w:left w:w="15" w:type="dxa"/>
                    <w:right w:w="15" w:type="dxa"/>
                  </w:tcMar>
                  <w:vAlign w:val="center"/>
                </w:tcPr>
                <w:p>
                  <w:pPr>
                    <w:adjustRightInd w:val="0"/>
                    <w:snapToGrid w:val="0"/>
                    <w:jc w:val="center"/>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cs="Times New Roman"/>
                      <w:b/>
                      <w:bCs/>
                      <w:color w:val="FF0000"/>
                      <w:sz w:val="21"/>
                      <w:szCs w:val="21"/>
                    </w:rPr>
                    <w:t>202</w:t>
                  </w:r>
                  <w:r>
                    <w:rPr>
                      <w:rFonts w:hint="default" w:ascii="Times New Roman" w:hAnsi="Times New Roman" w:cs="Times New Roman"/>
                      <w:b/>
                      <w:bCs/>
                      <w:color w:val="FF0000"/>
                      <w:sz w:val="21"/>
                      <w:szCs w:val="21"/>
                      <w:lang w:val="en-US" w:eastAsia="zh-CN"/>
                    </w:rPr>
                    <w:t>2</w:t>
                  </w:r>
                  <w:r>
                    <w:rPr>
                      <w:rFonts w:hint="default" w:ascii="Times New Roman" w:hAnsi="Times New Roman" w:cs="Times New Roman"/>
                      <w:b/>
                      <w:bCs/>
                      <w:color w:val="FF0000"/>
                      <w:sz w:val="21"/>
                      <w:szCs w:val="21"/>
                    </w:rPr>
                    <w:t>-</w:t>
                  </w:r>
                  <w:r>
                    <w:rPr>
                      <w:rFonts w:hint="default" w:ascii="Times New Roman" w:hAnsi="Times New Roman" w:cs="Times New Roman"/>
                      <w:b/>
                      <w:bCs/>
                      <w:color w:val="FF0000"/>
                      <w:sz w:val="21"/>
                      <w:szCs w:val="21"/>
                      <w:lang w:val="en-US" w:eastAsia="zh-CN"/>
                    </w:rPr>
                    <w:t>9</w:t>
                  </w:r>
                  <w:r>
                    <w:rPr>
                      <w:rFonts w:hint="default" w:ascii="Times New Roman" w:hAnsi="Times New Roman" w:cs="Times New Roman"/>
                      <w:b/>
                      <w:bCs/>
                      <w:color w:val="FF0000"/>
                      <w:sz w:val="21"/>
                      <w:szCs w:val="21"/>
                    </w:rPr>
                    <w:t>-</w:t>
                  </w:r>
                  <w:r>
                    <w:rPr>
                      <w:rFonts w:hint="default" w:ascii="Times New Roman" w:hAnsi="Times New Roman" w:cs="Times New Roman"/>
                      <w:b/>
                      <w:bCs/>
                      <w:color w:val="FF0000"/>
                      <w:sz w:val="21"/>
                      <w:szCs w:val="21"/>
                      <w:lang w:val="en-US" w:eastAsia="zh-CN"/>
                    </w:rPr>
                    <w:t>16</w:t>
                  </w:r>
                </w:p>
              </w:tc>
              <w:tc>
                <w:tcPr>
                  <w:tcW w:w="3054" w:type="dxa"/>
                  <w:gridSpan w:val="2"/>
                  <w:tcBorders>
                    <w:tl2br w:val="nil"/>
                    <w:tr2bl w:val="nil"/>
                  </w:tcBorders>
                  <w:shd w:val="clear" w:color="auto" w:fill="auto"/>
                  <w:tcMar>
                    <w:top w:w="15" w:type="dxa"/>
                    <w:left w:w="15" w:type="dxa"/>
                    <w:right w:w="15" w:type="dxa"/>
                  </w:tcMar>
                  <w:vAlign w:val="center"/>
                </w:tcPr>
                <w:p>
                  <w:pPr>
                    <w:adjustRightInd w:val="0"/>
                    <w:snapToGrid w:val="0"/>
                    <w:jc w:val="center"/>
                    <w:rPr>
                      <w:rFonts w:hint="default" w:ascii="Times New Roman" w:hAnsi="Times New Roman" w:eastAsia="宋体" w:cs="Times New Roman"/>
                      <w:b/>
                      <w:bCs/>
                      <w:color w:val="FF0000"/>
                      <w:kern w:val="2"/>
                      <w:sz w:val="21"/>
                      <w:szCs w:val="21"/>
                      <w:lang w:val="en-US" w:eastAsia="zh-CN" w:bidi="ar-SA"/>
                    </w:rPr>
                  </w:pPr>
                  <w:r>
                    <w:rPr>
                      <w:rFonts w:hint="default" w:ascii="Times New Roman" w:hAnsi="Times New Roman" w:cs="Times New Roman"/>
                      <w:b/>
                      <w:bCs/>
                      <w:color w:val="FF0000"/>
                      <w:sz w:val="21"/>
                      <w:szCs w:val="21"/>
                    </w:rPr>
                    <w:t>202</w:t>
                  </w:r>
                  <w:r>
                    <w:rPr>
                      <w:rFonts w:hint="default" w:ascii="Times New Roman" w:hAnsi="Times New Roman" w:cs="Times New Roman"/>
                      <w:b/>
                      <w:bCs/>
                      <w:color w:val="FF0000"/>
                      <w:sz w:val="21"/>
                      <w:szCs w:val="21"/>
                      <w:lang w:val="en-US" w:eastAsia="zh-CN"/>
                    </w:rPr>
                    <w:t>2</w:t>
                  </w:r>
                  <w:r>
                    <w:rPr>
                      <w:rFonts w:hint="default" w:ascii="Times New Roman" w:hAnsi="Times New Roman" w:cs="Times New Roman"/>
                      <w:b/>
                      <w:bCs/>
                      <w:color w:val="FF0000"/>
                      <w:sz w:val="21"/>
                      <w:szCs w:val="21"/>
                    </w:rPr>
                    <w:t>-</w:t>
                  </w:r>
                  <w:r>
                    <w:rPr>
                      <w:rFonts w:hint="default" w:ascii="Times New Roman" w:hAnsi="Times New Roman" w:cs="Times New Roman"/>
                      <w:b/>
                      <w:bCs/>
                      <w:color w:val="FF0000"/>
                      <w:sz w:val="21"/>
                      <w:szCs w:val="21"/>
                      <w:lang w:val="en-US" w:eastAsia="zh-CN"/>
                    </w:rPr>
                    <w:t>9</w:t>
                  </w:r>
                  <w:r>
                    <w:rPr>
                      <w:rFonts w:hint="default" w:ascii="Times New Roman" w:hAnsi="Times New Roman" w:cs="Times New Roman"/>
                      <w:b/>
                      <w:bCs/>
                      <w:color w:val="FF0000"/>
                      <w:sz w:val="21"/>
                      <w:szCs w:val="21"/>
                    </w:rPr>
                    <w:t>-</w:t>
                  </w:r>
                  <w:r>
                    <w:rPr>
                      <w:rFonts w:hint="default" w:ascii="Times New Roman" w:hAnsi="Times New Roman" w:cs="Times New Roman"/>
                      <w:b/>
                      <w:bCs/>
                      <w:color w:val="FF0000"/>
                      <w:sz w:val="21"/>
                      <w:szCs w:val="21"/>
                      <w:lang w:val="en-US" w:eastAsia="zh-CN"/>
                    </w:rPr>
                    <w:t>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527"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仿宋" w:cs="Times New Roman"/>
                      <w:b/>
                      <w:bCs/>
                      <w:i w:val="0"/>
                      <w:color w:val="FF0000"/>
                      <w:sz w:val="21"/>
                      <w:szCs w:val="21"/>
                      <w:u w:val="none"/>
                    </w:rPr>
                  </w:pP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FF0000"/>
                      <w:sz w:val="21"/>
                      <w:szCs w:val="21"/>
                      <w:u w:val="none"/>
                    </w:rPr>
                  </w:pPr>
                  <w:r>
                    <w:rPr>
                      <w:rFonts w:hint="default" w:ascii="Times New Roman" w:hAnsi="Times New Roman" w:eastAsia="仿宋" w:cs="Times New Roman"/>
                      <w:b/>
                      <w:bCs/>
                      <w:i w:val="0"/>
                      <w:color w:val="FF0000"/>
                      <w:kern w:val="0"/>
                      <w:sz w:val="21"/>
                      <w:szCs w:val="21"/>
                      <w:u w:val="none"/>
                      <w:lang w:val="en-US" w:eastAsia="zh-CN" w:bidi="ar"/>
                    </w:rPr>
                    <w:t>昼间dB(A)</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FF0000"/>
                      <w:sz w:val="21"/>
                      <w:szCs w:val="21"/>
                      <w:u w:val="none"/>
                    </w:rPr>
                  </w:pPr>
                  <w:r>
                    <w:rPr>
                      <w:rFonts w:hint="default" w:ascii="Times New Roman" w:hAnsi="Times New Roman" w:eastAsia="仿宋" w:cs="Times New Roman"/>
                      <w:b/>
                      <w:bCs/>
                      <w:i w:val="0"/>
                      <w:color w:val="FF0000"/>
                      <w:kern w:val="0"/>
                      <w:sz w:val="21"/>
                      <w:szCs w:val="21"/>
                      <w:u w:val="none"/>
                      <w:lang w:val="en-US" w:eastAsia="zh-CN" w:bidi="ar"/>
                    </w:rPr>
                    <w:t>夜间dB(A)</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FF0000"/>
                      <w:sz w:val="21"/>
                      <w:szCs w:val="21"/>
                      <w:u w:val="none"/>
                    </w:rPr>
                  </w:pPr>
                  <w:r>
                    <w:rPr>
                      <w:rFonts w:hint="default" w:ascii="Times New Roman" w:hAnsi="Times New Roman" w:eastAsia="仿宋" w:cs="Times New Roman"/>
                      <w:b/>
                      <w:bCs/>
                      <w:i w:val="0"/>
                      <w:color w:val="FF0000"/>
                      <w:kern w:val="0"/>
                      <w:sz w:val="21"/>
                      <w:szCs w:val="21"/>
                      <w:u w:val="none"/>
                      <w:lang w:val="en-US" w:eastAsia="zh-CN" w:bidi="ar"/>
                    </w:rPr>
                    <w:t>昼间dB(A)</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FF0000"/>
                      <w:sz w:val="21"/>
                      <w:szCs w:val="21"/>
                      <w:u w:val="none"/>
                    </w:rPr>
                  </w:pPr>
                  <w:r>
                    <w:rPr>
                      <w:rFonts w:hint="default" w:ascii="Times New Roman" w:hAnsi="Times New Roman" w:eastAsia="仿宋" w:cs="Times New Roman"/>
                      <w:b/>
                      <w:bCs/>
                      <w:i w:val="0"/>
                      <w:color w:val="FF0000"/>
                      <w:kern w:val="0"/>
                      <w:sz w:val="21"/>
                      <w:szCs w:val="21"/>
                      <w:u w:val="none"/>
                      <w:lang w:val="en-US" w:eastAsia="zh-CN" w:bidi="ar"/>
                    </w:rPr>
                    <w:t>夜间dB(A)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1</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kern w:val="0"/>
                      <w:sz w:val="21"/>
                      <w:szCs w:val="21"/>
                      <w:u w:val="none"/>
                      <w:lang w:val="en-US" w:eastAsia="zh-CN" w:bidi="ar"/>
                    </w:rPr>
                    <w:t>53.4</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kern w:val="0"/>
                      <w:sz w:val="21"/>
                      <w:szCs w:val="21"/>
                      <w:u w:val="none"/>
                      <w:lang w:val="en-US" w:eastAsia="zh-CN" w:bidi="ar"/>
                    </w:rPr>
                    <w:t>43.6</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sz w:val="21"/>
                      <w:szCs w:val="21"/>
                      <w:u w:val="none"/>
                      <w:lang w:val="en-US" w:eastAsia="zh-CN"/>
                    </w:rPr>
                    <w:t>52.4</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2</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rPr>
                  </w:pPr>
                  <w:r>
                    <w:rPr>
                      <w:rFonts w:hint="default" w:ascii="Times New Roman" w:hAnsi="Times New Roman" w:eastAsia="仿宋" w:cs="Times New Roman"/>
                      <w:i w:val="0"/>
                      <w:color w:val="FF0000"/>
                      <w:kern w:val="0"/>
                      <w:sz w:val="21"/>
                      <w:szCs w:val="21"/>
                      <w:u w:val="none"/>
                      <w:lang w:val="en-US" w:eastAsia="zh-CN" w:bidi="ar"/>
                    </w:rPr>
                    <w:t>51.3</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43.0</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sz w:val="21"/>
                      <w:szCs w:val="21"/>
                      <w:u w:val="none"/>
                      <w:lang w:val="en-US" w:eastAsia="zh-CN"/>
                    </w:rPr>
                    <w:t>51.9</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3</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50.2</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41.4</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sz w:val="21"/>
                      <w:szCs w:val="21"/>
                      <w:u w:val="none"/>
                      <w:lang w:val="en-US" w:eastAsia="zh-CN"/>
                    </w:rPr>
                    <w:t>51.5</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rPr>
                  </w:pPr>
                  <w:r>
                    <w:rPr>
                      <w:rFonts w:hint="default" w:ascii="Times New Roman" w:hAnsi="Times New Roman" w:eastAsia="仿宋" w:cs="Times New Roman"/>
                      <w:i w:val="0"/>
                      <w:color w:val="FF0000"/>
                      <w:kern w:val="0"/>
                      <w:sz w:val="21"/>
                      <w:szCs w:val="21"/>
                      <w:u w:val="none"/>
                      <w:lang w:val="en-US" w:eastAsia="zh-CN" w:bidi="ar"/>
                    </w:rPr>
                    <w:t>41.1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90"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rPr>
                  </w:pPr>
                  <w:r>
                    <w:rPr>
                      <w:rFonts w:hint="default" w:ascii="Times New Roman" w:hAnsi="Times New Roman" w:eastAsia="仿宋" w:cs="Times New Roman"/>
                      <w:i w:val="0"/>
                      <w:color w:val="FF0000"/>
                      <w:kern w:val="0"/>
                      <w:sz w:val="21"/>
                      <w:szCs w:val="21"/>
                      <w:u w:val="none"/>
                      <w:lang w:val="en-US" w:eastAsia="zh-CN" w:bidi="ar"/>
                    </w:rPr>
                    <w:t>47.2</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41.8</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lang w:val="en-US" w:eastAsia="zh-CN"/>
                    </w:rPr>
                  </w:pPr>
                  <w:r>
                    <w:rPr>
                      <w:rFonts w:hint="default" w:ascii="Times New Roman" w:hAnsi="Times New Roman" w:eastAsia="仿宋" w:cs="Times New Roman"/>
                      <w:i w:val="0"/>
                      <w:color w:val="FF0000"/>
                      <w:sz w:val="21"/>
                      <w:szCs w:val="21"/>
                      <w:u w:val="none"/>
                      <w:lang w:val="en-US" w:eastAsia="zh-CN"/>
                    </w:rPr>
                    <w:t>48.5</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sz w:val="21"/>
                      <w:szCs w:val="21"/>
                      <w:u w:val="none"/>
                    </w:rPr>
                  </w:pPr>
                  <w:r>
                    <w:rPr>
                      <w:rFonts w:hint="default" w:ascii="Times New Roman" w:hAnsi="Times New Roman" w:eastAsia="仿宋" w:cs="Times New Roman"/>
                      <w:i w:val="0"/>
                      <w:color w:val="FF0000"/>
                      <w:kern w:val="0"/>
                      <w:sz w:val="21"/>
                      <w:szCs w:val="21"/>
                      <w:u w:val="none"/>
                      <w:lang w:val="en-US" w:eastAsia="zh-CN" w:bidi="ar"/>
                    </w:rPr>
                    <w:t>40.7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5</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46.2</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40.4</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47.0</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39.9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6</w:t>
                  </w:r>
                  <w:r>
                    <w:rPr>
                      <w:rFonts w:hint="default" w:ascii="Times New Roman" w:hAnsi="Times New Roman" w:eastAsia="仿宋" w:cs="Times New Roman"/>
                      <w:i w:val="0"/>
                      <w:color w:val="FF0000"/>
                      <w:kern w:val="0"/>
                      <w:sz w:val="21"/>
                      <w:szCs w:val="21"/>
                      <w:u w:val="none"/>
                      <w:vertAlign w:val="superscript"/>
                      <w:lang w:val="en-US" w:eastAsia="zh-CN" w:bidi="ar"/>
                    </w:rPr>
                    <w:t>#</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43.8</w:t>
                  </w:r>
                </w:p>
              </w:tc>
              <w:tc>
                <w:tcPr>
                  <w:tcW w:w="15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39.7</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44.5</w:t>
                  </w:r>
                </w:p>
              </w:tc>
              <w:tc>
                <w:tcPr>
                  <w:tcW w:w="1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FF0000"/>
                      <w:kern w:val="0"/>
                      <w:sz w:val="21"/>
                      <w:szCs w:val="21"/>
                      <w:u w:val="none"/>
                      <w:lang w:val="en-US" w:eastAsia="zh-CN" w:bidi="ar"/>
                    </w:rPr>
                  </w:pPr>
                  <w:r>
                    <w:rPr>
                      <w:rFonts w:hint="default" w:ascii="Times New Roman" w:hAnsi="Times New Roman" w:eastAsia="仿宋" w:cs="Times New Roman"/>
                      <w:i w:val="0"/>
                      <w:color w:val="FF0000"/>
                      <w:kern w:val="0"/>
                      <w:sz w:val="21"/>
                      <w:szCs w:val="21"/>
                      <w:u w:val="none"/>
                      <w:lang w:val="en-US" w:eastAsia="zh-CN" w:bidi="ar"/>
                    </w:rPr>
                    <w:t>39.6</w:t>
                  </w:r>
                </w:p>
              </w:tc>
            </w:tr>
          </w:tbl>
          <w:p>
            <w:pPr>
              <w:wordWrap w:val="0"/>
              <w:spacing w:line="360" w:lineRule="auto"/>
              <w:ind w:firstLine="480" w:firstLineChars="200"/>
              <w:jc w:val="left"/>
              <w:rPr>
                <w:color w:val="000000" w:themeColor="text1"/>
                <w14:textFill>
                  <w14:solidFill>
                    <w14:schemeClr w14:val="tx1"/>
                  </w14:solidFill>
                </w14:textFill>
              </w:rPr>
            </w:pPr>
            <w:r>
              <w:rPr>
                <w:bCs/>
                <w:color w:val="000000" w:themeColor="text1"/>
                <w:sz w:val="24"/>
                <w14:textFill>
                  <w14:solidFill>
                    <w14:schemeClr w14:val="tx1"/>
                  </w14:solidFill>
                </w14:textFill>
              </w:rPr>
              <w:t>根据声环境现状监测结果可知，项目所在区域声环境监测值符合《声环境质量标准》（GB3096-2008）2类标准，本项目声环境质量现状良好。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855" w:type="dxa"/>
            <w:vAlign w:val="center"/>
          </w:tcPr>
          <w:p>
            <w:pPr>
              <w:adjustRightInd w:val="0"/>
              <w:snapToGrid w:val="0"/>
              <w:jc w:val="center"/>
              <w:rPr>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与项目有关的原有环境污染和生态破坏问题</w:t>
            </w:r>
          </w:p>
        </w:tc>
        <w:tc>
          <w:tcPr>
            <w:tcW w:w="7667" w:type="dxa"/>
            <w:vAlign w:val="center"/>
          </w:tcPr>
          <w:p>
            <w:pPr>
              <w:spacing w:line="360" w:lineRule="auto"/>
              <w:ind w:firstLine="480" w:firstLineChars="200"/>
              <w:rPr>
                <w:color w:val="FF0000"/>
                <w:sz w:val="24"/>
              </w:rPr>
            </w:pPr>
            <w:r>
              <w:rPr>
                <w:rFonts w:hint="eastAsia"/>
                <w:color w:val="FF0000"/>
                <w:sz w:val="24"/>
              </w:rPr>
              <w:t>现有公路存在的主要问题是由于路面结构强度低，缺少防、排水设施，原有土边沟淤积或填埋现象比较严重，导致路面和边沟积水，排水不畅，存在水毁隐患，导致路基软弱，路面坑槽、龟裂、松散等病害严重。</w:t>
            </w:r>
          </w:p>
          <w:p>
            <w:pPr>
              <w:spacing w:line="360" w:lineRule="auto"/>
              <w:ind w:firstLine="480" w:firstLineChars="200"/>
              <w:rPr>
                <w:color w:val="FF0000"/>
                <w:sz w:val="24"/>
              </w:rPr>
            </w:pPr>
            <w:r>
              <w:rPr>
                <w:color w:val="FF0000"/>
                <w:sz w:val="24"/>
              </w:rPr>
              <w:t>整改措施：</w:t>
            </w:r>
          </w:p>
          <w:p>
            <w:pPr>
              <w:spacing w:line="360" w:lineRule="auto"/>
              <w:ind w:firstLine="480" w:firstLineChars="200"/>
              <w:rPr>
                <w:color w:val="FF0000"/>
                <w:sz w:val="24"/>
              </w:rPr>
            </w:pPr>
            <w:r>
              <w:rPr>
                <w:color w:val="FF0000"/>
                <w:sz w:val="24"/>
              </w:rPr>
              <w:t>（1）</w:t>
            </w:r>
            <w:r>
              <w:rPr>
                <w:rFonts w:hint="eastAsia"/>
                <w:color w:val="FF0000"/>
                <w:sz w:val="24"/>
              </w:rPr>
              <w:t>本项目公路采用《公路工程技术标准》（JTGB01—2014）中的三级公路技术标准，全长25.2km，设计速30km/h，全线共布设各类涵洞27道，平面交叉74处。路基宽7.5m，行车道宽2x3.25m，土路肩0.5m。</w:t>
            </w:r>
          </w:p>
          <w:p>
            <w:pPr>
              <w:spacing w:line="360" w:lineRule="auto"/>
              <w:ind w:firstLine="480" w:firstLineChars="200"/>
              <w:rPr>
                <w:color w:val="FF0000"/>
                <w:sz w:val="24"/>
              </w:rPr>
            </w:pPr>
            <w:r>
              <w:rPr>
                <w:color w:val="FF0000"/>
                <w:sz w:val="24"/>
              </w:rPr>
              <w:t>（2）</w:t>
            </w:r>
            <w:r>
              <w:rPr>
                <w:rFonts w:hint="eastAsia"/>
                <w:color w:val="FF0000"/>
                <w:sz w:val="24"/>
              </w:rPr>
              <w:t>路面结构:结构层采用5cm AC-13沥青混凝土面层+18cm水泥稳定碎石基层+18cm冷再生底基层；春荣镇街道路面维持现有宽度采用5cmAC-13罩面处理;部分达不到冷再生要求路段采18cm3.5%水泥稳定砂砾铺筑底基层。</w:t>
            </w:r>
          </w:p>
          <w:p>
            <w:pPr>
              <w:spacing w:line="360" w:lineRule="auto"/>
              <w:ind w:firstLine="471"/>
              <w:contextualSpacing/>
              <w:rPr>
                <w:color w:val="000000" w:themeColor="text1"/>
                <w:sz w:val="24"/>
                <w14:textFill>
                  <w14:solidFill>
                    <w14:schemeClr w14:val="tx1"/>
                  </w14:solidFill>
                </w14:textFill>
              </w:rPr>
            </w:pPr>
            <w:r>
              <w:rPr>
                <w:color w:val="FF0000"/>
                <w:sz w:val="24"/>
              </w:rPr>
              <w:t>（3）建设雨水导排设施：设置边沟、排水沟</w:t>
            </w:r>
            <w:r>
              <w:rPr>
                <w:rFonts w:hint="eastAsia"/>
                <w:color w:val="FF0000"/>
                <w:sz w:val="24"/>
              </w:rPr>
              <w:t>、蒸发池</w:t>
            </w:r>
            <w:r>
              <w:rPr>
                <w:color w:val="FF0000"/>
                <w:sz w:val="24"/>
              </w:rPr>
              <w:t>等设施，形成完善的排水系统。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55"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生态环境保护目标</w:t>
            </w:r>
          </w:p>
        </w:tc>
        <w:tc>
          <w:tcPr>
            <w:tcW w:w="7667" w:type="dxa"/>
            <w:vAlign w:val="center"/>
          </w:tcPr>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根据项目建设所处地理位置和当地的自然环境功能以及本区域环境污染特征，其主要环境保护目标为：</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1、区域环境空气质量：保证项目所在区域及附近区域的空气质量达到《环境空气质量标准》（GB3095-2012）中二类标准。</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2、区域地表水环境：使项目所在区域的地表水环境质量达到《地表水环境质量标准》（GB3838-2002）</w:t>
            </w:r>
            <w:r>
              <w:rPr>
                <w:color w:val="000000" w:themeColor="text1"/>
                <w:sz w:val="24"/>
                <w14:textFill>
                  <w14:solidFill>
                    <w14:schemeClr w14:val="tx1"/>
                  </w14:solidFill>
                </w14:textFill>
              </w:rPr>
              <w:t>Ⅳ类</w:t>
            </w:r>
            <w:r>
              <w:rPr>
                <w:bCs/>
                <w:color w:val="000000" w:themeColor="text1"/>
                <w:sz w:val="24"/>
                <w14:textFill>
                  <w14:solidFill>
                    <w14:schemeClr w14:val="tx1"/>
                  </w14:solidFill>
                </w14:textFill>
              </w:rPr>
              <w:t>类标准。</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3、区域地下水环境：</w:t>
            </w:r>
            <w:r>
              <w:rPr>
                <w:bCs/>
                <w:color w:val="000000" w:themeColor="text1"/>
                <w:sz w:val="24"/>
                <w14:textFill>
                  <w14:solidFill>
                    <w14:schemeClr w14:val="tx1"/>
                  </w14:solidFill>
                </w14:textFill>
              </w:rPr>
              <w:t>使项目所在区域的地</w:t>
            </w:r>
            <w:r>
              <w:rPr>
                <w:rFonts w:hint="eastAsia"/>
                <w:bCs/>
                <w:color w:val="000000" w:themeColor="text1"/>
                <w:sz w:val="24"/>
                <w14:textFill>
                  <w14:solidFill>
                    <w14:schemeClr w14:val="tx1"/>
                  </w14:solidFill>
                </w14:textFill>
              </w:rPr>
              <w:t>下</w:t>
            </w:r>
            <w:r>
              <w:rPr>
                <w:bCs/>
                <w:color w:val="000000" w:themeColor="text1"/>
                <w:sz w:val="24"/>
                <w14:textFill>
                  <w14:solidFill>
                    <w14:schemeClr w14:val="tx1"/>
                  </w14:solidFill>
                </w14:textFill>
              </w:rPr>
              <w:t>水环境质量达到《地</w:t>
            </w:r>
            <w:r>
              <w:rPr>
                <w:rFonts w:hint="eastAsia"/>
                <w:bCs/>
                <w:color w:val="000000" w:themeColor="text1"/>
                <w:sz w:val="24"/>
                <w14:textFill>
                  <w14:solidFill>
                    <w14:schemeClr w14:val="tx1"/>
                  </w14:solidFill>
                </w14:textFill>
              </w:rPr>
              <w:t>下</w:t>
            </w:r>
            <w:r>
              <w:rPr>
                <w:bCs/>
                <w:color w:val="000000" w:themeColor="text1"/>
                <w:sz w:val="24"/>
                <w14:textFill>
                  <w14:solidFill>
                    <w14:schemeClr w14:val="tx1"/>
                  </w14:solidFill>
                </w14:textFill>
              </w:rPr>
              <w:t>水质量标准》（GB</w:t>
            </w:r>
            <w:r>
              <w:rPr>
                <w:rFonts w:hint="eastAsia"/>
                <w:bCs/>
                <w:color w:val="000000" w:themeColor="text1"/>
                <w:sz w:val="24"/>
                <w14:textFill>
                  <w14:solidFill>
                    <w14:schemeClr w14:val="tx1"/>
                  </w14:solidFill>
                </w14:textFill>
              </w:rPr>
              <w:t>/T14848</w:t>
            </w:r>
            <w:r>
              <w:rPr>
                <w:bCs/>
                <w:color w:val="000000" w:themeColor="text1"/>
                <w:sz w:val="24"/>
                <w14:textFill>
                  <w14:solidFill>
                    <w14:schemeClr w14:val="tx1"/>
                  </w14:solidFill>
                </w14:textFill>
              </w:rPr>
              <w:t>-20</w:t>
            </w:r>
            <w:r>
              <w:rPr>
                <w:rFonts w:hint="eastAsia"/>
                <w:bCs/>
                <w:color w:val="000000" w:themeColor="text1"/>
                <w:sz w:val="24"/>
                <w14:textFill>
                  <w14:solidFill>
                    <w14:schemeClr w14:val="tx1"/>
                  </w14:solidFill>
                </w14:textFill>
              </w:rPr>
              <w:t>17</w:t>
            </w:r>
            <w:r>
              <w:rPr>
                <w:bCs/>
                <w:color w:val="000000" w:themeColor="text1"/>
                <w:sz w:val="24"/>
                <w14:textFill>
                  <w14:solidFill>
                    <w14:schemeClr w14:val="tx1"/>
                  </w14:solidFill>
                </w14:textFill>
              </w:rPr>
              <w:t>）Ⅲ类标准。</w:t>
            </w:r>
          </w:p>
          <w:p>
            <w:pPr>
              <w:autoSpaceDE w:val="0"/>
              <w:autoSpaceDN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、区域环境噪声：使项目所在区域的声环境质量达到《声环境质量标准》（GB3096-2008）2类标准。</w:t>
            </w:r>
          </w:p>
          <w:p>
            <w:pPr>
              <w:spacing w:line="360" w:lineRule="auto"/>
              <w:ind w:firstLine="471"/>
              <w:contextualSpacing/>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、环境敏感目标：根据对项目地周边环境现状调查，项目建设和运行过程中需要特别关注的环境敏感点及主要环境保护级别见表</w:t>
            </w:r>
            <w:r>
              <w:rPr>
                <w:color w:val="000000" w:themeColor="text1"/>
                <w:sz w:val="24"/>
                <w14:textFill>
                  <w14:solidFill>
                    <w14:schemeClr w14:val="tx1"/>
                  </w14:solidFill>
                </w14:textFill>
              </w:rPr>
              <w:t>3-4。</w:t>
            </w:r>
          </w:p>
          <w:p>
            <w:pPr>
              <w:adjustRightInd w:val="0"/>
              <w:snapToGrid w:val="0"/>
              <w:jc w:val="center"/>
              <w:rPr>
                <w:b/>
                <w:color w:val="FF0000"/>
                <w:szCs w:val="21"/>
              </w:rPr>
            </w:pPr>
            <w:r>
              <w:rPr>
                <w:b/>
                <w:color w:val="FF0000"/>
                <w:szCs w:val="21"/>
              </w:rPr>
              <w:t>表3-4   本项目主要环境敏感保护目标及级别一览表</w:t>
            </w:r>
          </w:p>
          <w:tbl>
            <w:tblPr>
              <w:tblStyle w:val="31"/>
              <w:tblW w:w="76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280"/>
              <w:gridCol w:w="1279"/>
              <w:gridCol w:w="1279"/>
              <w:gridCol w:w="1279"/>
              <w:gridCol w:w="1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280" w:type="dxa"/>
                  <w:tcBorders>
                    <w:tl2br w:val="nil"/>
                    <w:tr2bl w:val="nil"/>
                  </w:tcBorders>
                  <w:vAlign w:val="center"/>
                </w:tcPr>
                <w:p>
                  <w:pPr>
                    <w:jc w:val="center"/>
                    <w:rPr>
                      <w:color w:val="FF0000"/>
                    </w:rPr>
                  </w:pPr>
                  <w:r>
                    <w:rPr>
                      <w:rFonts w:hint="eastAsia"/>
                      <w:color w:val="FF0000"/>
                    </w:rPr>
                    <w:t>敏感点</w:t>
                  </w:r>
                  <w:r>
                    <w:rPr>
                      <w:color w:val="FF0000"/>
                    </w:rPr>
                    <w:t>名称</w:t>
                  </w:r>
                </w:p>
              </w:tc>
              <w:tc>
                <w:tcPr>
                  <w:tcW w:w="1280" w:type="dxa"/>
                  <w:tcBorders>
                    <w:tl2br w:val="nil"/>
                    <w:tr2bl w:val="nil"/>
                  </w:tcBorders>
                  <w:vAlign w:val="center"/>
                </w:tcPr>
                <w:p>
                  <w:pPr>
                    <w:jc w:val="center"/>
                    <w:rPr>
                      <w:color w:val="FF0000"/>
                    </w:rPr>
                  </w:pPr>
                  <w:r>
                    <w:rPr>
                      <w:color w:val="FF0000"/>
                    </w:rPr>
                    <w:t>坐标</w:t>
                  </w:r>
                </w:p>
              </w:tc>
              <w:tc>
                <w:tcPr>
                  <w:tcW w:w="1279" w:type="dxa"/>
                  <w:tcBorders>
                    <w:tl2br w:val="nil"/>
                    <w:tr2bl w:val="nil"/>
                  </w:tcBorders>
                  <w:vAlign w:val="center"/>
                </w:tcPr>
                <w:p>
                  <w:pPr>
                    <w:jc w:val="center"/>
                    <w:rPr>
                      <w:color w:val="FF0000"/>
                    </w:rPr>
                  </w:pPr>
                  <w:r>
                    <w:rPr>
                      <w:color w:val="FF0000"/>
                    </w:rPr>
                    <w:t>规模</w:t>
                  </w:r>
                </w:p>
              </w:tc>
              <w:tc>
                <w:tcPr>
                  <w:tcW w:w="1279" w:type="dxa"/>
                  <w:tcBorders>
                    <w:tl2br w:val="nil"/>
                    <w:tr2bl w:val="nil"/>
                  </w:tcBorders>
                  <w:vAlign w:val="center"/>
                </w:tcPr>
                <w:p>
                  <w:pPr>
                    <w:jc w:val="center"/>
                    <w:rPr>
                      <w:color w:val="FF0000"/>
                    </w:rPr>
                  </w:pPr>
                  <w:r>
                    <w:rPr>
                      <w:color w:val="FF0000"/>
                    </w:rPr>
                    <w:t>方位</w:t>
                  </w:r>
                </w:p>
              </w:tc>
              <w:tc>
                <w:tcPr>
                  <w:tcW w:w="1279" w:type="dxa"/>
                  <w:tcBorders>
                    <w:tl2br w:val="nil"/>
                    <w:tr2bl w:val="nil"/>
                  </w:tcBorders>
                  <w:vAlign w:val="center"/>
                </w:tcPr>
                <w:p>
                  <w:pPr>
                    <w:jc w:val="center"/>
                    <w:rPr>
                      <w:color w:val="FF0000"/>
                    </w:rPr>
                  </w:pPr>
                  <w:r>
                    <w:rPr>
                      <w:color w:val="FF0000"/>
                    </w:rPr>
                    <w:t>最近距离</w:t>
                  </w:r>
                </w:p>
              </w:tc>
              <w:tc>
                <w:tcPr>
                  <w:tcW w:w="1279" w:type="dxa"/>
                  <w:tcBorders>
                    <w:tl2br w:val="nil"/>
                    <w:tr2bl w:val="nil"/>
                  </w:tcBorders>
                  <w:vAlign w:val="center"/>
                </w:tcPr>
                <w:p>
                  <w:pPr>
                    <w:jc w:val="center"/>
                    <w:rPr>
                      <w:color w:val="FF0000"/>
                    </w:rPr>
                  </w:pPr>
                  <w:r>
                    <w:rPr>
                      <w:color w:val="FF0000"/>
                    </w:rPr>
                    <w:t>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80" w:type="dxa"/>
                  <w:tcBorders>
                    <w:tl2br w:val="nil"/>
                    <w:tr2bl w:val="nil"/>
                  </w:tcBorders>
                  <w:vAlign w:val="center"/>
                </w:tcPr>
                <w:p>
                  <w:pPr>
                    <w:jc w:val="center"/>
                    <w:rPr>
                      <w:color w:val="FF0000"/>
                    </w:rPr>
                  </w:pPr>
                  <w:r>
                    <w:rPr>
                      <w:rFonts w:hint="eastAsia"/>
                      <w:color w:val="FF0000"/>
                    </w:rPr>
                    <w:t>下官庄</w:t>
                  </w:r>
                </w:p>
              </w:tc>
              <w:tc>
                <w:tcPr>
                  <w:tcW w:w="1280" w:type="dxa"/>
                  <w:tcBorders>
                    <w:tl2br w:val="nil"/>
                    <w:tr2bl w:val="nil"/>
                  </w:tcBorders>
                  <w:vAlign w:val="center"/>
                </w:tcPr>
                <w:p>
                  <w:pPr>
                    <w:jc w:val="center"/>
                    <w:rPr>
                      <w:color w:val="FF0000"/>
                    </w:rPr>
                  </w:pPr>
                  <w:r>
                    <w:rPr>
                      <w:color w:val="FF0000"/>
                    </w:rPr>
                    <w:t>107.953934</w:t>
                  </w:r>
                </w:p>
                <w:p>
                  <w:pPr>
                    <w:jc w:val="center"/>
                    <w:rPr>
                      <w:color w:val="FF0000"/>
                    </w:rPr>
                  </w:pPr>
                  <w:r>
                    <w:rPr>
                      <w:color w:val="FF0000"/>
                    </w:rPr>
                    <w:t>35.49960</w:t>
                  </w:r>
                  <w:r>
                    <w:rPr>
                      <w:rFonts w:hint="eastAsia"/>
                      <w:color w:val="FF0000"/>
                    </w:rPr>
                    <w:t>5</w:t>
                  </w:r>
                </w:p>
              </w:tc>
              <w:tc>
                <w:tcPr>
                  <w:tcW w:w="1279" w:type="dxa"/>
                  <w:tcBorders>
                    <w:tl2br w:val="nil"/>
                    <w:tr2bl w:val="nil"/>
                  </w:tcBorders>
                  <w:vAlign w:val="center"/>
                </w:tcPr>
                <w:p>
                  <w:pPr>
                    <w:jc w:val="center"/>
                    <w:rPr>
                      <w:color w:val="FF0000"/>
                    </w:rPr>
                  </w:pPr>
                  <w:r>
                    <w:rPr>
                      <w:rFonts w:hint="eastAsia"/>
                      <w:color w:val="FF0000"/>
                    </w:rPr>
                    <w:t>40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5</w:t>
                  </w:r>
                  <w:r>
                    <w:rPr>
                      <w:color w:val="FF0000"/>
                    </w:rPr>
                    <w:t>~</w:t>
                  </w:r>
                  <w:r>
                    <w:rPr>
                      <w:rFonts w:hint="eastAsia"/>
                      <w:color w:val="FF0000"/>
                    </w:rPr>
                    <w:t>500</w:t>
                  </w:r>
                </w:p>
              </w:tc>
              <w:tc>
                <w:tcPr>
                  <w:tcW w:w="1279" w:type="dxa"/>
                  <w:vMerge w:val="restart"/>
                  <w:tcBorders>
                    <w:tl2br w:val="nil"/>
                    <w:tr2bl w:val="nil"/>
                  </w:tcBorders>
                  <w:vAlign w:val="center"/>
                </w:tcPr>
                <w:p>
                  <w:pPr>
                    <w:jc w:val="center"/>
                    <w:rPr>
                      <w:color w:val="FF0000"/>
                    </w:rPr>
                  </w:pPr>
                  <w:r>
                    <w:rPr>
                      <w:color w:val="FF0000"/>
                    </w:rPr>
                    <w:t>按照《环境空气质量标准》（GB3095-2012）及其修改单中的二级标准保护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80" w:type="dxa"/>
                  <w:tcBorders>
                    <w:tl2br w:val="nil"/>
                    <w:tr2bl w:val="nil"/>
                  </w:tcBorders>
                  <w:vAlign w:val="center"/>
                </w:tcPr>
                <w:p>
                  <w:pPr>
                    <w:jc w:val="center"/>
                    <w:rPr>
                      <w:color w:val="FF0000"/>
                    </w:rPr>
                  </w:pPr>
                  <w:r>
                    <w:rPr>
                      <w:rFonts w:hint="eastAsia"/>
                      <w:color w:val="FF0000"/>
                    </w:rPr>
                    <w:t>上官庄</w:t>
                  </w:r>
                </w:p>
              </w:tc>
              <w:tc>
                <w:tcPr>
                  <w:tcW w:w="1280" w:type="dxa"/>
                  <w:tcBorders>
                    <w:tl2br w:val="nil"/>
                    <w:tr2bl w:val="nil"/>
                  </w:tcBorders>
                  <w:vAlign w:val="center"/>
                </w:tcPr>
                <w:p>
                  <w:pPr>
                    <w:jc w:val="center"/>
                    <w:rPr>
                      <w:color w:val="FF0000"/>
                    </w:rPr>
                  </w:pPr>
                  <w:r>
                    <w:rPr>
                      <w:color w:val="FF0000"/>
                    </w:rPr>
                    <w:t>107.968724</w:t>
                  </w:r>
                </w:p>
                <w:p>
                  <w:pPr>
                    <w:pStyle w:val="2"/>
                    <w:jc w:val="center"/>
                    <w:rPr>
                      <w:rFonts w:ascii="Times New Roman" w:eastAsia="宋体" w:cs="Times New Roman"/>
                      <w:color w:val="FF0000"/>
                      <w:sz w:val="21"/>
                    </w:rPr>
                  </w:pPr>
                  <w:r>
                    <w:rPr>
                      <w:rFonts w:ascii="Times New Roman" w:eastAsia="宋体" w:cs="Times New Roman"/>
                      <w:color w:val="FF0000"/>
                      <w:sz w:val="21"/>
                    </w:rPr>
                    <w:t>35.498382</w:t>
                  </w:r>
                </w:p>
              </w:tc>
              <w:tc>
                <w:tcPr>
                  <w:tcW w:w="1279" w:type="dxa"/>
                  <w:tcBorders>
                    <w:tl2br w:val="nil"/>
                    <w:tr2bl w:val="nil"/>
                  </w:tcBorders>
                  <w:vAlign w:val="center"/>
                </w:tcPr>
                <w:p>
                  <w:pPr>
                    <w:jc w:val="center"/>
                    <w:rPr>
                      <w:color w:val="FF0000"/>
                    </w:rPr>
                  </w:pPr>
                  <w:r>
                    <w:rPr>
                      <w:rFonts w:hint="eastAsia"/>
                      <w:color w:val="FF0000"/>
                    </w:rPr>
                    <w:t>35</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5~500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80" w:type="dxa"/>
                  <w:tcBorders>
                    <w:tl2br w:val="nil"/>
                    <w:tr2bl w:val="nil"/>
                  </w:tcBorders>
                  <w:vAlign w:val="center"/>
                </w:tcPr>
                <w:p>
                  <w:pPr>
                    <w:jc w:val="center"/>
                    <w:rPr>
                      <w:color w:val="FF0000"/>
                    </w:rPr>
                  </w:pPr>
                  <w:r>
                    <w:rPr>
                      <w:color w:val="FF0000"/>
                    </w:rPr>
                    <w:t>古城村</w:t>
                  </w:r>
                </w:p>
              </w:tc>
              <w:tc>
                <w:tcPr>
                  <w:tcW w:w="1280" w:type="dxa"/>
                  <w:tcBorders>
                    <w:tl2br w:val="nil"/>
                    <w:tr2bl w:val="nil"/>
                  </w:tcBorders>
                  <w:vAlign w:val="center"/>
                </w:tcPr>
                <w:p>
                  <w:pPr>
                    <w:jc w:val="center"/>
                    <w:rPr>
                      <w:color w:val="FF0000"/>
                    </w:rPr>
                  </w:pPr>
                  <w:r>
                    <w:rPr>
                      <w:color w:val="FF0000"/>
                    </w:rPr>
                    <w:t>107.975853</w:t>
                  </w:r>
                </w:p>
                <w:p>
                  <w:pPr>
                    <w:jc w:val="center"/>
                    <w:rPr>
                      <w:color w:val="FF0000"/>
                    </w:rPr>
                  </w:pPr>
                  <w:r>
                    <w:rPr>
                      <w:color w:val="FF0000"/>
                    </w:rPr>
                    <w:t>35.498748</w:t>
                  </w:r>
                </w:p>
              </w:tc>
              <w:tc>
                <w:tcPr>
                  <w:tcW w:w="1279" w:type="dxa"/>
                  <w:tcBorders>
                    <w:tl2br w:val="nil"/>
                    <w:tr2bl w:val="nil"/>
                  </w:tcBorders>
                  <w:vAlign w:val="center"/>
                </w:tcPr>
                <w:p>
                  <w:pPr>
                    <w:jc w:val="center"/>
                    <w:rPr>
                      <w:color w:val="FF0000"/>
                    </w:rPr>
                  </w:pPr>
                  <w:r>
                    <w:rPr>
                      <w:rFonts w:hint="eastAsia"/>
                      <w:color w:val="FF0000"/>
                    </w:rPr>
                    <w:t>150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2</w:t>
                  </w:r>
                  <w:r>
                    <w:rPr>
                      <w:color w:val="FF0000"/>
                    </w:rPr>
                    <w:t>~</w:t>
                  </w:r>
                  <w:r>
                    <w:rPr>
                      <w:rFonts w:hint="eastAsia"/>
                      <w:color w:val="FF0000"/>
                    </w:rPr>
                    <w:t>500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280" w:type="dxa"/>
                  <w:tcBorders>
                    <w:tl2br w:val="nil"/>
                    <w:tr2bl w:val="nil"/>
                  </w:tcBorders>
                  <w:vAlign w:val="center"/>
                </w:tcPr>
                <w:p>
                  <w:pPr>
                    <w:jc w:val="center"/>
                    <w:rPr>
                      <w:color w:val="FF0000"/>
                    </w:rPr>
                  </w:pPr>
                  <w:r>
                    <w:rPr>
                      <w:color w:val="FF0000"/>
                    </w:rPr>
                    <w:t>古城小学</w:t>
                  </w:r>
                </w:p>
              </w:tc>
              <w:tc>
                <w:tcPr>
                  <w:tcW w:w="1280" w:type="dxa"/>
                  <w:tcBorders>
                    <w:tl2br w:val="nil"/>
                    <w:tr2bl w:val="nil"/>
                  </w:tcBorders>
                  <w:vAlign w:val="center"/>
                </w:tcPr>
                <w:p>
                  <w:pPr>
                    <w:jc w:val="center"/>
                    <w:rPr>
                      <w:color w:val="FF0000"/>
                    </w:rPr>
                  </w:pPr>
                  <w:r>
                    <w:rPr>
                      <w:color w:val="FF0000"/>
                    </w:rPr>
                    <w:t>108.004309</w:t>
                  </w:r>
                </w:p>
                <w:p>
                  <w:pPr>
                    <w:jc w:val="center"/>
                    <w:rPr>
                      <w:color w:val="FF0000"/>
                    </w:rPr>
                  </w:pPr>
                  <w:r>
                    <w:rPr>
                      <w:color w:val="FF0000"/>
                    </w:rPr>
                    <w:t>35.515703</w:t>
                  </w:r>
                </w:p>
              </w:tc>
              <w:tc>
                <w:tcPr>
                  <w:tcW w:w="1279" w:type="dxa"/>
                  <w:tcBorders>
                    <w:tl2br w:val="nil"/>
                    <w:tr2bl w:val="nil"/>
                  </w:tcBorders>
                  <w:vAlign w:val="center"/>
                </w:tcPr>
                <w:p>
                  <w:pPr>
                    <w:jc w:val="center"/>
                    <w:rPr>
                      <w:color w:val="FF0000"/>
                    </w:rPr>
                  </w:pPr>
                  <w:r>
                    <w:rPr>
                      <w:rFonts w:hint="eastAsia"/>
                      <w:color w:val="FF0000"/>
                    </w:rPr>
                    <w:t>100人</w:t>
                  </w:r>
                </w:p>
              </w:tc>
              <w:tc>
                <w:tcPr>
                  <w:tcW w:w="1279" w:type="dxa"/>
                  <w:tcBorders>
                    <w:tl2br w:val="nil"/>
                    <w:tr2bl w:val="nil"/>
                  </w:tcBorders>
                  <w:vAlign w:val="center"/>
                </w:tcPr>
                <w:p>
                  <w:pPr>
                    <w:jc w:val="center"/>
                    <w:rPr>
                      <w:color w:val="FF0000"/>
                    </w:rPr>
                  </w:pPr>
                  <w:r>
                    <w:rPr>
                      <w:color w:val="FF0000"/>
                    </w:rPr>
                    <w:t>线路</w:t>
                  </w:r>
                  <w:r>
                    <w:rPr>
                      <w:rFonts w:hint="eastAsia"/>
                      <w:color w:val="FF0000"/>
                    </w:rPr>
                    <w:t>南</w:t>
                  </w:r>
                  <w:r>
                    <w:rPr>
                      <w:color w:val="FF0000"/>
                    </w:rPr>
                    <w:t>侧</w:t>
                  </w:r>
                </w:p>
              </w:tc>
              <w:tc>
                <w:tcPr>
                  <w:tcW w:w="1279" w:type="dxa"/>
                  <w:tcBorders>
                    <w:tl2br w:val="nil"/>
                    <w:tr2bl w:val="nil"/>
                  </w:tcBorders>
                  <w:vAlign w:val="center"/>
                </w:tcPr>
                <w:p>
                  <w:pPr>
                    <w:jc w:val="center"/>
                    <w:rPr>
                      <w:color w:val="FF0000"/>
                    </w:rPr>
                  </w:pPr>
                  <w:r>
                    <w:rPr>
                      <w:rFonts w:hint="eastAsia"/>
                      <w:color w:val="FF0000"/>
                    </w:rPr>
                    <w:t>10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80" w:type="dxa"/>
                  <w:tcBorders>
                    <w:tl2br w:val="nil"/>
                    <w:tr2bl w:val="nil"/>
                  </w:tcBorders>
                  <w:vAlign w:val="center"/>
                </w:tcPr>
                <w:p>
                  <w:pPr>
                    <w:jc w:val="center"/>
                    <w:rPr>
                      <w:color w:val="FF0000"/>
                    </w:rPr>
                  </w:pPr>
                  <w:r>
                    <w:rPr>
                      <w:color w:val="FF0000"/>
                    </w:rPr>
                    <w:t>春荣镇</w:t>
                  </w:r>
                </w:p>
              </w:tc>
              <w:tc>
                <w:tcPr>
                  <w:tcW w:w="1280" w:type="dxa"/>
                  <w:tcBorders>
                    <w:tl2br w:val="nil"/>
                    <w:tr2bl w:val="nil"/>
                  </w:tcBorders>
                  <w:vAlign w:val="center"/>
                </w:tcPr>
                <w:p>
                  <w:pPr>
                    <w:jc w:val="center"/>
                    <w:rPr>
                      <w:color w:val="FF0000"/>
                    </w:rPr>
                  </w:pPr>
                  <w:r>
                    <w:rPr>
                      <w:color w:val="FF0000"/>
                    </w:rPr>
                    <w:t>108.045870</w:t>
                  </w:r>
                </w:p>
                <w:p>
                  <w:pPr>
                    <w:jc w:val="center"/>
                    <w:rPr>
                      <w:color w:val="FF0000"/>
                    </w:rPr>
                  </w:pPr>
                  <w:r>
                    <w:rPr>
                      <w:color w:val="FF0000"/>
                    </w:rPr>
                    <w:t>35.532121</w:t>
                  </w:r>
                </w:p>
              </w:tc>
              <w:tc>
                <w:tcPr>
                  <w:tcW w:w="1279" w:type="dxa"/>
                  <w:tcBorders>
                    <w:tl2br w:val="nil"/>
                    <w:tr2bl w:val="nil"/>
                  </w:tcBorders>
                  <w:vAlign w:val="center"/>
                </w:tcPr>
                <w:p>
                  <w:pPr>
                    <w:jc w:val="center"/>
                    <w:rPr>
                      <w:color w:val="FF0000"/>
                    </w:rPr>
                  </w:pPr>
                  <w:r>
                    <w:rPr>
                      <w:rFonts w:hint="eastAsia"/>
                      <w:color w:val="FF0000"/>
                    </w:rPr>
                    <w:t>5000人</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5-500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80" w:type="dxa"/>
                  <w:tcBorders>
                    <w:tl2br w:val="nil"/>
                    <w:tr2bl w:val="nil"/>
                  </w:tcBorders>
                  <w:vAlign w:val="center"/>
                </w:tcPr>
                <w:p>
                  <w:pPr>
                    <w:jc w:val="center"/>
                    <w:rPr>
                      <w:color w:val="FF0000"/>
                    </w:rPr>
                  </w:pPr>
                  <w:r>
                    <w:rPr>
                      <w:color w:val="FF0000"/>
                    </w:rPr>
                    <w:t>罗家沟圈</w:t>
                  </w:r>
                </w:p>
              </w:tc>
              <w:tc>
                <w:tcPr>
                  <w:tcW w:w="1280" w:type="dxa"/>
                  <w:tcBorders>
                    <w:tl2br w:val="nil"/>
                    <w:tr2bl w:val="nil"/>
                  </w:tcBorders>
                  <w:vAlign w:val="center"/>
                </w:tcPr>
                <w:p>
                  <w:pPr>
                    <w:jc w:val="center"/>
                    <w:rPr>
                      <w:color w:val="FF0000"/>
                    </w:rPr>
                  </w:pPr>
                  <w:r>
                    <w:rPr>
                      <w:color w:val="FF0000"/>
                    </w:rPr>
                    <w:t>108.080556</w:t>
                  </w:r>
                </w:p>
                <w:p>
                  <w:pPr>
                    <w:jc w:val="center"/>
                    <w:rPr>
                      <w:color w:val="FF0000"/>
                    </w:rPr>
                  </w:pPr>
                  <w:r>
                    <w:rPr>
                      <w:color w:val="FF0000"/>
                    </w:rPr>
                    <w:t>35.542475</w:t>
                  </w:r>
                </w:p>
              </w:tc>
              <w:tc>
                <w:tcPr>
                  <w:tcW w:w="1279" w:type="dxa"/>
                  <w:tcBorders>
                    <w:tl2br w:val="nil"/>
                    <w:tr2bl w:val="nil"/>
                  </w:tcBorders>
                  <w:vAlign w:val="center"/>
                </w:tcPr>
                <w:p>
                  <w:pPr>
                    <w:jc w:val="center"/>
                    <w:rPr>
                      <w:color w:val="FF0000"/>
                    </w:rPr>
                  </w:pPr>
                  <w:r>
                    <w:rPr>
                      <w:rFonts w:hint="eastAsia"/>
                      <w:color w:val="FF0000"/>
                    </w:rPr>
                    <w:t>80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1</w:t>
                  </w:r>
                  <w:r>
                    <w:rPr>
                      <w:color w:val="FF0000"/>
                    </w:rPr>
                    <w:t>~</w:t>
                  </w:r>
                  <w:r>
                    <w:rPr>
                      <w:rFonts w:hint="eastAsia"/>
                      <w:color w:val="FF0000"/>
                    </w:rPr>
                    <w:t>50</w:t>
                  </w:r>
                  <w:r>
                    <w:rPr>
                      <w:color w:val="FF0000"/>
                    </w:rPr>
                    <w:t>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80" w:type="dxa"/>
                  <w:tcBorders>
                    <w:tl2br w:val="nil"/>
                    <w:tr2bl w:val="nil"/>
                  </w:tcBorders>
                  <w:vAlign w:val="center"/>
                </w:tcPr>
                <w:p>
                  <w:pPr>
                    <w:jc w:val="center"/>
                    <w:rPr>
                      <w:color w:val="FF0000"/>
                    </w:rPr>
                  </w:pPr>
                  <w:r>
                    <w:rPr>
                      <w:color w:val="FF0000"/>
                    </w:rPr>
                    <w:t>铁王村</w:t>
                  </w:r>
                </w:p>
              </w:tc>
              <w:tc>
                <w:tcPr>
                  <w:tcW w:w="1280" w:type="dxa"/>
                  <w:tcBorders>
                    <w:tl2br w:val="nil"/>
                    <w:tr2bl w:val="nil"/>
                  </w:tcBorders>
                  <w:vAlign w:val="center"/>
                </w:tcPr>
                <w:p>
                  <w:pPr>
                    <w:jc w:val="center"/>
                    <w:rPr>
                      <w:color w:val="FF0000"/>
                    </w:rPr>
                  </w:pPr>
                  <w:r>
                    <w:rPr>
                      <w:color w:val="FF0000"/>
                    </w:rPr>
                    <w:t>108.133192</w:t>
                  </w:r>
                </w:p>
                <w:p>
                  <w:pPr>
                    <w:jc w:val="center"/>
                    <w:rPr>
                      <w:color w:val="FF0000"/>
                    </w:rPr>
                  </w:pPr>
                  <w:r>
                    <w:rPr>
                      <w:color w:val="FF0000"/>
                    </w:rPr>
                    <w:t>35.545548</w:t>
                  </w:r>
                </w:p>
              </w:tc>
              <w:tc>
                <w:tcPr>
                  <w:tcW w:w="1279" w:type="dxa"/>
                  <w:tcBorders>
                    <w:tl2br w:val="nil"/>
                    <w:tr2bl w:val="nil"/>
                  </w:tcBorders>
                  <w:vAlign w:val="center"/>
                </w:tcPr>
                <w:p>
                  <w:pPr>
                    <w:jc w:val="center"/>
                    <w:rPr>
                      <w:color w:val="FF0000"/>
                    </w:rPr>
                  </w:pPr>
                  <w:r>
                    <w:rPr>
                      <w:rFonts w:hint="eastAsia"/>
                      <w:color w:val="FF0000"/>
                    </w:rPr>
                    <w:t>110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0</w:t>
                  </w:r>
                  <w:r>
                    <w:rPr>
                      <w:color w:val="FF0000"/>
                    </w:rPr>
                    <w:t>~</w:t>
                  </w:r>
                  <w:r>
                    <w:rPr>
                      <w:rFonts w:hint="eastAsia"/>
                      <w:color w:val="FF0000"/>
                    </w:rPr>
                    <w:t>5</w:t>
                  </w:r>
                  <w:r>
                    <w:rPr>
                      <w:color w:val="FF0000"/>
                    </w:rPr>
                    <w:t>00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280" w:type="dxa"/>
                  <w:tcBorders>
                    <w:tl2br w:val="nil"/>
                    <w:tr2bl w:val="nil"/>
                  </w:tcBorders>
                  <w:vAlign w:val="center"/>
                </w:tcPr>
                <w:p>
                  <w:pPr>
                    <w:jc w:val="center"/>
                    <w:rPr>
                      <w:color w:val="FF0000"/>
                    </w:rPr>
                  </w:pPr>
                  <w:r>
                    <w:rPr>
                      <w:color w:val="FF0000"/>
                    </w:rPr>
                    <w:t>石鼓村</w:t>
                  </w:r>
                </w:p>
              </w:tc>
              <w:tc>
                <w:tcPr>
                  <w:tcW w:w="1280" w:type="dxa"/>
                  <w:tcBorders>
                    <w:tl2br w:val="nil"/>
                    <w:tr2bl w:val="nil"/>
                  </w:tcBorders>
                  <w:vAlign w:val="center"/>
                </w:tcPr>
                <w:p>
                  <w:pPr>
                    <w:jc w:val="center"/>
                    <w:rPr>
                      <w:color w:val="FF0000"/>
                    </w:rPr>
                  </w:pPr>
                  <w:r>
                    <w:rPr>
                      <w:color w:val="FF0000"/>
                    </w:rPr>
                    <w:t>108.161516</w:t>
                  </w:r>
                </w:p>
                <w:p>
                  <w:pPr>
                    <w:jc w:val="center"/>
                    <w:rPr>
                      <w:color w:val="FF0000"/>
                    </w:rPr>
                  </w:pPr>
                  <w:r>
                    <w:rPr>
                      <w:color w:val="FF0000"/>
                    </w:rPr>
                    <w:t>35.550925</w:t>
                  </w:r>
                </w:p>
              </w:tc>
              <w:tc>
                <w:tcPr>
                  <w:tcW w:w="1279" w:type="dxa"/>
                  <w:tcBorders>
                    <w:tl2br w:val="nil"/>
                    <w:tr2bl w:val="nil"/>
                  </w:tcBorders>
                  <w:vAlign w:val="center"/>
                </w:tcPr>
                <w:p>
                  <w:pPr>
                    <w:jc w:val="center"/>
                    <w:rPr>
                      <w:color w:val="FF0000"/>
                    </w:rPr>
                  </w:pPr>
                  <w:r>
                    <w:rPr>
                      <w:rFonts w:hint="eastAsia"/>
                      <w:color w:val="FF0000"/>
                    </w:rPr>
                    <w:t>100户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2~500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280" w:type="dxa"/>
                  <w:tcBorders>
                    <w:tl2br w:val="nil"/>
                    <w:tr2bl w:val="nil"/>
                  </w:tcBorders>
                  <w:vAlign w:val="center"/>
                </w:tcPr>
                <w:p>
                  <w:pPr>
                    <w:jc w:val="center"/>
                    <w:rPr>
                      <w:color w:val="FF0000"/>
                    </w:rPr>
                  </w:pPr>
                  <w:r>
                    <w:rPr>
                      <w:rFonts w:hint="eastAsia"/>
                      <w:color w:val="FF0000"/>
                    </w:rPr>
                    <w:t>下官庄</w:t>
                  </w:r>
                </w:p>
              </w:tc>
              <w:tc>
                <w:tcPr>
                  <w:tcW w:w="1280" w:type="dxa"/>
                  <w:tcBorders>
                    <w:tl2br w:val="nil"/>
                    <w:tr2bl w:val="nil"/>
                  </w:tcBorders>
                  <w:vAlign w:val="center"/>
                </w:tcPr>
                <w:p>
                  <w:pPr>
                    <w:jc w:val="center"/>
                    <w:rPr>
                      <w:color w:val="FF0000"/>
                    </w:rPr>
                  </w:pPr>
                  <w:r>
                    <w:rPr>
                      <w:color w:val="FF0000"/>
                    </w:rPr>
                    <w:t>107.953934</w:t>
                  </w:r>
                </w:p>
                <w:p>
                  <w:pPr>
                    <w:jc w:val="center"/>
                    <w:rPr>
                      <w:color w:val="FF0000"/>
                    </w:rPr>
                  </w:pPr>
                  <w:r>
                    <w:rPr>
                      <w:color w:val="FF0000"/>
                    </w:rPr>
                    <w:t>35.49960</w:t>
                  </w:r>
                  <w:r>
                    <w:rPr>
                      <w:rFonts w:hint="eastAsia"/>
                      <w:color w:val="FF0000"/>
                    </w:rPr>
                    <w:t>5</w:t>
                  </w:r>
                </w:p>
              </w:tc>
              <w:tc>
                <w:tcPr>
                  <w:tcW w:w="1279" w:type="dxa"/>
                  <w:tcBorders>
                    <w:tl2br w:val="nil"/>
                    <w:tr2bl w:val="nil"/>
                  </w:tcBorders>
                  <w:vAlign w:val="center"/>
                </w:tcPr>
                <w:p>
                  <w:pPr>
                    <w:jc w:val="center"/>
                    <w:rPr>
                      <w:color w:val="FF0000"/>
                    </w:rPr>
                  </w:pPr>
                  <w:r>
                    <w:rPr>
                      <w:rFonts w:hint="eastAsia"/>
                      <w:color w:val="FF0000"/>
                    </w:rPr>
                    <w:t>12</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10</w:t>
                  </w:r>
                  <w:r>
                    <w:rPr>
                      <w:color w:val="FF0000"/>
                    </w:rPr>
                    <w:t>~</w:t>
                  </w:r>
                  <w:r>
                    <w:rPr>
                      <w:rFonts w:hint="eastAsia"/>
                      <w:color w:val="FF0000"/>
                    </w:rPr>
                    <w:t>50</w:t>
                  </w:r>
                </w:p>
              </w:tc>
              <w:tc>
                <w:tcPr>
                  <w:tcW w:w="1279" w:type="dxa"/>
                  <w:vMerge w:val="restart"/>
                  <w:tcBorders>
                    <w:tl2br w:val="nil"/>
                    <w:tr2bl w:val="nil"/>
                  </w:tcBorders>
                  <w:vAlign w:val="center"/>
                </w:tcPr>
                <w:p>
                  <w:pPr>
                    <w:jc w:val="center"/>
                    <w:rPr>
                      <w:color w:val="FF0000"/>
                    </w:rPr>
                  </w:pPr>
                  <w:r>
                    <w:rPr>
                      <w:color w:val="FF0000"/>
                    </w:rPr>
                    <w:t>《声环境质量标准》（GB3096-2008）</w:t>
                  </w:r>
                  <w:r>
                    <w:rPr>
                      <w:rFonts w:hint="eastAsia"/>
                      <w:color w:val="FF0000"/>
                    </w:rPr>
                    <w:t>1</w:t>
                  </w:r>
                  <w:r>
                    <w:rPr>
                      <w:color w:val="FF0000"/>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80" w:type="dxa"/>
                  <w:tcBorders>
                    <w:tl2br w:val="nil"/>
                    <w:tr2bl w:val="nil"/>
                  </w:tcBorders>
                  <w:vAlign w:val="center"/>
                </w:tcPr>
                <w:p>
                  <w:pPr>
                    <w:jc w:val="center"/>
                    <w:rPr>
                      <w:color w:val="FF0000"/>
                    </w:rPr>
                  </w:pPr>
                  <w:r>
                    <w:rPr>
                      <w:rFonts w:hint="eastAsia"/>
                      <w:color w:val="FF0000"/>
                    </w:rPr>
                    <w:t>上官庄</w:t>
                  </w:r>
                </w:p>
              </w:tc>
              <w:tc>
                <w:tcPr>
                  <w:tcW w:w="1280" w:type="dxa"/>
                  <w:tcBorders>
                    <w:tl2br w:val="nil"/>
                    <w:tr2bl w:val="nil"/>
                  </w:tcBorders>
                  <w:vAlign w:val="center"/>
                </w:tcPr>
                <w:p>
                  <w:pPr>
                    <w:jc w:val="center"/>
                    <w:rPr>
                      <w:color w:val="FF0000"/>
                    </w:rPr>
                  </w:pPr>
                  <w:r>
                    <w:rPr>
                      <w:color w:val="FF0000"/>
                    </w:rPr>
                    <w:t>107.968724</w:t>
                  </w:r>
                </w:p>
                <w:p>
                  <w:pPr>
                    <w:pStyle w:val="2"/>
                    <w:jc w:val="center"/>
                    <w:rPr>
                      <w:rFonts w:ascii="Times New Roman" w:eastAsia="宋体" w:cs="Times New Roman"/>
                      <w:color w:val="FF0000"/>
                      <w:sz w:val="21"/>
                    </w:rPr>
                  </w:pPr>
                  <w:r>
                    <w:rPr>
                      <w:rFonts w:ascii="Times New Roman" w:eastAsia="宋体" w:cs="Times New Roman"/>
                      <w:color w:val="FF0000"/>
                      <w:sz w:val="21"/>
                    </w:rPr>
                    <w:t>35.498382</w:t>
                  </w:r>
                </w:p>
              </w:tc>
              <w:tc>
                <w:tcPr>
                  <w:tcW w:w="1279" w:type="dxa"/>
                  <w:tcBorders>
                    <w:tl2br w:val="nil"/>
                    <w:tr2bl w:val="nil"/>
                  </w:tcBorders>
                  <w:vAlign w:val="center"/>
                </w:tcPr>
                <w:p>
                  <w:pPr>
                    <w:jc w:val="center"/>
                    <w:rPr>
                      <w:color w:val="FF0000"/>
                    </w:rPr>
                  </w:pPr>
                  <w:r>
                    <w:rPr>
                      <w:rFonts w:hint="eastAsia"/>
                      <w:color w:val="FF0000"/>
                    </w:rPr>
                    <w:t>10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5~50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280" w:type="dxa"/>
                  <w:tcBorders>
                    <w:tl2br w:val="nil"/>
                    <w:tr2bl w:val="nil"/>
                  </w:tcBorders>
                  <w:vAlign w:val="center"/>
                </w:tcPr>
                <w:p>
                  <w:pPr>
                    <w:jc w:val="center"/>
                    <w:rPr>
                      <w:color w:val="FF0000"/>
                    </w:rPr>
                  </w:pPr>
                  <w:r>
                    <w:rPr>
                      <w:color w:val="FF0000"/>
                    </w:rPr>
                    <w:t>古城村</w:t>
                  </w:r>
                </w:p>
              </w:tc>
              <w:tc>
                <w:tcPr>
                  <w:tcW w:w="1280" w:type="dxa"/>
                  <w:tcBorders>
                    <w:tl2br w:val="nil"/>
                    <w:tr2bl w:val="nil"/>
                  </w:tcBorders>
                  <w:vAlign w:val="center"/>
                </w:tcPr>
                <w:p>
                  <w:pPr>
                    <w:jc w:val="center"/>
                    <w:rPr>
                      <w:color w:val="FF0000"/>
                    </w:rPr>
                  </w:pPr>
                  <w:r>
                    <w:rPr>
                      <w:color w:val="FF0000"/>
                    </w:rPr>
                    <w:t>107.975853</w:t>
                  </w:r>
                </w:p>
                <w:p>
                  <w:pPr>
                    <w:jc w:val="center"/>
                    <w:rPr>
                      <w:color w:val="FF0000"/>
                    </w:rPr>
                  </w:pPr>
                  <w:r>
                    <w:rPr>
                      <w:color w:val="FF0000"/>
                    </w:rPr>
                    <w:t>35.498748</w:t>
                  </w:r>
                </w:p>
              </w:tc>
              <w:tc>
                <w:tcPr>
                  <w:tcW w:w="1279" w:type="dxa"/>
                  <w:tcBorders>
                    <w:tl2br w:val="nil"/>
                    <w:tr2bl w:val="nil"/>
                  </w:tcBorders>
                  <w:vAlign w:val="center"/>
                </w:tcPr>
                <w:p>
                  <w:pPr>
                    <w:jc w:val="center"/>
                    <w:rPr>
                      <w:color w:val="FF0000"/>
                    </w:rPr>
                  </w:pPr>
                  <w:r>
                    <w:rPr>
                      <w:rFonts w:hint="eastAsia"/>
                      <w:color w:val="FF0000"/>
                    </w:rPr>
                    <w:t>50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2~50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80" w:type="dxa"/>
                  <w:tcBorders>
                    <w:tl2br w:val="nil"/>
                    <w:tr2bl w:val="nil"/>
                  </w:tcBorders>
                  <w:vAlign w:val="center"/>
                </w:tcPr>
                <w:p>
                  <w:pPr>
                    <w:jc w:val="center"/>
                    <w:rPr>
                      <w:color w:val="FF0000"/>
                    </w:rPr>
                  </w:pPr>
                  <w:r>
                    <w:rPr>
                      <w:color w:val="FF0000"/>
                    </w:rPr>
                    <w:t>古城小学</w:t>
                  </w:r>
                </w:p>
              </w:tc>
              <w:tc>
                <w:tcPr>
                  <w:tcW w:w="1280" w:type="dxa"/>
                  <w:tcBorders>
                    <w:tl2br w:val="nil"/>
                    <w:tr2bl w:val="nil"/>
                  </w:tcBorders>
                  <w:vAlign w:val="center"/>
                </w:tcPr>
                <w:p>
                  <w:pPr>
                    <w:jc w:val="center"/>
                    <w:rPr>
                      <w:color w:val="FF0000"/>
                    </w:rPr>
                  </w:pPr>
                  <w:r>
                    <w:rPr>
                      <w:color w:val="FF0000"/>
                    </w:rPr>
                    <w:t>108.004309</w:t>
                  </w:r>
                </w:p>
                <w:p>
                  <w:pPr>
                    <w:jc w:val="center"/>
                    <w:rPr>
                      <w:color w:val="FF0000"/>
                    </w:rPr>
                  </w:pPr>
                  <w:r>
                    <w:rPr>
                      <w:color w:val="FF0000"/>
                    </w:rPr>
                    <w:t>35.515703</w:t>
                  </w:r>
                </w:p>
              </w:tc>
              <w:tc>
                <w:tcPr>
                  <w:tcW w:w="1279" w:type="dxa"/>
                  <w:tcBorders>
                    <w:tl2br w:val="nil"/>
                    <w:tr2bl w:val="nil"/>
                  </w:tcBorders>
                  <w:vAlign w:val="center"/>
                </w:tcPr>
                <w:p>
                  <w:pPr>
                    <w:jc w:val="center"/>
                    <w:rPr>
                      <w:color w:val="FF0000"/>
                    </w:rPr>
                  </w:pPr>
                  <w:r>
                    <w:rPr>
                      <w:rFonts w:hint="eastAsia"/>
                      <w:color w:val="FF0000"/>
                    </w:rPr>
                    <w:t>100人</w:t>
                  </w:r>
                </w:p>
              </w:tc>
              <w:tc>
                <w:tcPr>
                  <w:tcW w:w="1279" w:type="dxa"/>
                  <w:tcBorders>
                    <w:tl2br w:val="nil"/>
                    <w:tr2bl w:val="nil"/>
                  </w:tcBorders>
                  <w:vAlign w:val="center"/>
                </w:tcPr>
                <w:p>
                  <w:pPr>
                    <w:jc w:val="center"/>
                    <w:rPr>
                      <w:color w:val="FF0000"/>
                    </w:rPr>
                  </w:pPr>
                  <w:r>
                    <w:rPr>
                      <w:color w:val="FF0000"/>
                    </w:rPr>
                    <w:t>线路</w:t>
                  </w:r>
                  <w:r>
                    <w:rPr>
                      <w:rFonts w:hint="eastAsia"/>
                      <w:color w:val="FF0000"/>
                    </w:rPr>
                    <w:t>南</w:t>
                  </w:r>
                  <w:r>
                    <w:rPr>
                      <w:color w:val="FF0000"/>
                    </w:rPr>
                    <w:t>侧</w:t>
                  </w:r>
                </w:p>
              </w:tc>
              <w:tc>
                <w:tcPr>
                  <w:tcW w:w="1279" w:type="dxa"/>
                  <w:tcBorders>
                    <w:tl2br w:val="nil"/>
                    <w:tr2bl w:val="nil"/>
                  </w:tcBorders>
                  <w:vAlign w:val="center"/>
                </w:tcPr>
                <w:p>
                  <w:pPr>
                    <w:jc w:val="center"/>
                    <w:rPr>
                      <w:color w:val="FF0000"/>
                    </w:rPr>
                  </w:pPr>
                  <w:r>
                    <w:rPr>
                      <w:rFonts w:hint="eastAsia"/>
                      <w:color w:val="FF0000"/>
                    </w:rPr>
                    <w:t>10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tcBorders>
                    <w:tl2br w:val="nil"/>
                    <w:tr2bl w:val="nil"/>
                  </w:tcBorders>
                  <w:vAlign w:val="center"/>
                </w:tcPr>
                <w:p>
                  <w:pPr>
                    <w:jc w:val="center"/>
                    <w:rPr>
                      <w:color w:val="FF0000"/>
                    </w:rPr>
                  </w:pPr>
                  <w:r>
                    <w:rPr>
                      <w:color w:val="FF0000"/>
                    </w:rPr>
                    <w:t>春荣镇</w:t>
                  </w:r>
                </w:p>
              </w:tc>
              <w:tc>
                <w:tcPr>
                  <w:tcW w:w="1280" w:type="dxa"/>
                  <w:tcBorders>
                    <w:tl2br w:val="nil"/>
                    <w:tr2bl w:val="nil"/>
                  </w:tcBorders>
                  <w:vAlign w:val="center"/>
                </w:tcPr>
                <w:p>
                  <w:pPr>
                    <w:jc w:val="center"/>
                    <w:rPr>
                      <w:color w:val="FF0000"/>
                    </w:rPr>
                  </w:pPr>
                  <w:r>
                    <w:rPr>
                      <w:color w:val="FF0000"/>
                    </w:rPr>
                    <w:t>108.045870</w:t>
                  </w:r>
                </w:p>
                <w:p>
                  <w:pPr>
                    <w:jc w:val="center"/>
                    <w:rPr>
                      <w:color w:val="FF0000"/>
                    </w:rPr>
                  </w:pPr>
                  <w:r>
                    <w:rPr>
                      <w:color w:val="FF0000"/>
                    </w:rPr>
                    <w:t>35.532121</w:t>
                  </w:r>
                </w:p>
              </w:tc>
              <w:tc>
                <w:tcPr>
                  <w:tcW w:w="1279" w:type="dxa"/>
                  <w:tcBorders>
                    <w:tl2br w:val="nil"/>
                    <w:tr2bl w:val="nil"/>
                  </w:tcBorders>
                  <w:vAlign w:val="center"/>
                </w:tcPr>
                <w:p>
                  <w:pPr>
                    <w:jc w:val="center"/>
                    <w:rPr>
                      <w:color w:val="FF0000"/>
                    </w:rPr>
                  </w:pPr>
                  <w:r>
                    <w:rPr>
                      <w:rFonts w:hint="eastAsia"/>
                      <w:color w:val="FF0000"/>
                    </w:rPr>
                    <w:t>200人</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5-50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0" w:type="dxa"/>
                  <w:tcBorders>
                    <w:tl2br w:val="nil"/>
                    <w:tr2bl w:val="nil"/>
                  </w:tcBorders>
                  <w:vAlign w:val="center"/>
                </w:tcPr>
                <w:p>
                  <w:pPr>
                    <w:jc w:val="center"/>
                    <w:rPr>
                      <w:color w:val="FF0000"/>
                    </w:rPr>
                  </w:pPr>
                  <w:r>
                    <w:rPr>
                      <w:color w:val="FF0000"/>
                    </w:rPr>
                    <w:t>罗家沟圈</w:t>
                  </w:r>
                </w:p>
              </w:tc>
              <w:tc>
                <w:tcPr>
                  <w:tcW w:w="1280" w:type="dxa"/>
                  <w:tcBorders>
                    <w:tl2br w:val="nil"/>
                    <w:tr2bl w:val="nil"/>
                  </w:tcBorders>
                  <w:vAlign w:val="center"/>
                </w:tcPr>
                <w:p>
                  <w:pPr>
                    <w:jc w:val="center"/>
                    <w:rPr>
                      <w:color w:val="FF0000"/>
                    </w:rPr>
                  </w:pPr>
                  <w:r>
                    <w:rPr>
                      <w:color w:val="FF0000"/>
                    </w:rPr>
                    <w:t>108.080556</w:t>
                  </w:r>
                </w:p>
                <w:p>
                  <w:pPr>
                    <w:jc w:val="center"/>
                    <w:rPr>
                      <w:color w:val="FF0000"/>
                    </w:rPr>
                  </w:pPr>
                  <w:r>
                    <w:rPr>
                      <w:color w:val="FF0000"/>
                    </w:rPr>
                    <w:t>35.542475</w:t>
                  </w:r>
                </w:p>
              </w:tc>
              <w:tc>
                <w:tcPr>
                  <w:tcW w:w="1279" w:type="dxa"/>
                  <w:tcBorders>
                    <w:tl2br w:val="nil"/>
                    <w:tr2bl w:val="nil"/>
                  </w:tcBorders>
                  <w:vAlign w:val="center"/>
                </w:tcPr>
                <w:p>
                  <w:pPr>
                    <w:jc w:val="center"/>
                    <w:rPr>
                      <w:color w:val="FF0000"/>
                    </w:rPr>
                  </w:pPr>
                  <w:r>
                    <w:rPr>
                      <w:rFonts w:hint="eastAsia"/>
                      <w:color w:val="FF0000"/>
                    </w:rPr>
                    <w:t>20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1</w:t>
                  </w:r>
                  <w:r>
                    <w:rPr>
                      <w:color w:val="FF0000"/>
                    </w:rPr>
                    <w:t>~</w:t>
                  </w:r>
                  <w:r>
                    <w:rPr>
                      <w:rFonts w:hint="eastAsia"/>
                      <w:color w:val="FF0000"/>
                    </w:rPr>
                    <w:t>50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280" w:type="dxa"/>
                  <w:tcBorders>
                    <w:tl2br w:val="nil"/>
                    <w:tr2bl w:val="nil"/>
                  </w:tcBorders>
                  <w:vAlign w:val="center"/>
                </w:tcPr>
                <w:p>
                  <w:pPr>
                    <w:jc w:val="center"/>
                    <w:rPr>
                      <w:color w:val="FF0000"/>
                    </w:rPr>
                  </w:pPr>
                  <w:r>
                    <w:rPr>
                      <w:color w:val="FF0000"/>
                    </w:rPr>
                    <w:t>铁王村</w:t>
                  </w:r>
                </w:p>
              </w:tc>
              <w:tc>
                <w:tcPr>
                  <w:tcW w:w="1280" w:type="dxa"/>
                  <w:tcBorders>
                    <w:tl2br w:val="nil"/>
                    <w:tr2bl w:val="nil"/>
                  </w:tcBorders>
                  <w:vAlign w:val="center"/>
                </w:tcPr>
                <w:p>
                  <w:pPr>
                    <w:jc w:val="center"/>
                    <w:rPr>
                      <w:color w:val="FF0000"/>
                    </w:rPr>
                  </w:pPr>
                  <w:r>
                    <w:rPr>
                      <w:color w:val="FF0000"/>
                    </w:rPr>
                    <w:t>108.133192</w:t>
                  </w:r>
                </w:p>
                <w:p>
                  <w:pPr>
                    <w:jc w:val="center"/>
                    <w:rPr>
                      <w:color w:val="FF0000"/>
                    </w:rPr>
                  </w:pPr>
                  <w:r>
                    <w:rPr>
                      <w:color w:val="FF0000"/>
                    </w:rPr>
                    <w:t>35.545548</w:t>
                  </w:r>
                </w:p>
              </w:tc>
              <w:tc>
                <w:tcPr>
                  <w:tcW w:w="1279" w:type="dxa"/>
                  <w:tcBorders>
                    <w:tl2br w:val="nil"/>
                    <w:tr2bl w:val="nil"/>
                  </w:tcBorders>
                  <w:vAlign w:val="center"/>
                </w:tcPr>
                <w:p>
                  <w:pPr>
                    <w:jc w:val="center"/>
                    <w:rPr>
                      <w:color w:val="FF0000"/>
                    </w:rPr>
                  </w:pPr>
                  <w:r>
                    <w:rPr>
                      <w:rFonts w:hint="eastAsia"/>
                      <w:color w:val="FF0000"/>
                    </w:rPr>
                    <w:t>20</w:t>
                  </w:r>
                  <w:r>
                    <w:rPr>
                      <w:color w:val="FF0000"/>
                    </w:rPr>
                    <w:t>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0</w:t>
                  </w:r>
                  <w:r>
                    <w:rPr>
                      <w:color w:val="FF0000"/>
                    </w:rPr>
                    <w:t>~</w:t>
                  </w:r>
                  <w:r>
                    <w:rPr>
                      <w:rFonts w:hint="eastAsia"/>
                      <w:color w:val="FF0000"/>
                    </w:rPr>
                    <w:t>5</w:t>
                  </w:r>
                  <w:r>
                    <w:rPr>
                      <w:color w:val="FF0000"/>
                    </w:rPr>
                    <w:t>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0" w:type="dxa"/>
                  <w:tcBorders>
                    <w:tl2br w:val="nil"/>
                    <w:tr2bl w:val="nil"/>
                  </w:tcBorders>
                  <w:vAlign w:val="center"/>
                </w:tcPr>
                <w:p>
                  <w:pPr>
                    <w:jc w:val="center"/>
                    <w:rPr>
                      <w:color w:val="FF0000"/>
                    </w:rPr>
                  </w:pPr>
                  <w:r>
                    <w:rPr>
                      <w:color w:val="FF0000"/>
                    </w:rPr>
                    <w:t>石鼓村</w:t>
                  </w:r>
                </w:p>
              </w:tc>
              <w:tc>
                <w:tcPr>
                  <w:tcW w:w="1280" w:type="dxa"/>
                  <w:tcBorders>
                    <w:tl2br w:val="nil"/>
                    <w:tr2bl w:val="nil"/>
                  </w:tcBorders>
                  <w:vAlign w:val="center"/>
                </w:tcPr>
                <w:p>
                  <w:pPr>
                    <w:jc w:val="center"/>
                    <w:rPr>
                      <w:color w:val="FF0000"/>
                    </w:rPr>
                  </w:pPr>
                  <w:r>
                    <w:rPr>
                      <w:color w:val="FF0000"/>
                    </w:rPr>
                    <w:t>108.161516</w:t>
                  </w:r>
                </w:p>
                <w:p>
                  <w:pPr>
                    <w:jc w:val="center"/>
                    <w:rPr>
                      <w:color w:val="FF0000"/>
                    </w:rPr>
                  </w:pPr>
                  <w:r>
                    <w:rPr>
                      <w:color w:val="FF0000"/>
                    </w:rPr>
                    <w:t>35.550925</w:t>
                  </w:r>
                </w:p>
              </w:tc>
              <w:tc>
                <w:tcPr>
                  <w:tcW w:w="1279" w:type="dxa"/>
                  <w:tcBorders>
                    <w:tl2br w:val="nil"/>
                    <w:tr2bl w:val="nil"/>
                  </w:tcBorders>
                  <w:vAlign w:val="center"/>
                </w:tcPr>
                <w:p>
                  <w:pPr>
                    <w:jc w:val="center"/>
                    <w:rPr>
                      <w:color w:val="FF0000"/>
                    </w:rPr>
                  </w:pPr>
                  <w:r>
                    <w:rPr>
                      <w:rFonts w:hint="eastAsia"/>
                      <w:color w:val="FF0000"/>
                    </w:rPr>
                    <w:t>30户</w:t>
                  </w:r>
                </w:p>
              </w:tc>
              <w:tc>
                <w:tcPr>
                  <w:tcW w:w="1279" w:type="dxa"/>
                  <w:tcBorders>
                    <w:tl2br w:val="nil"/>
                    <w:tr2bl w:val="nil"/>
                  </w:tcBorders>
                  <w:vAlign w:val="center"/>
                </w:tcPr>
                <w:p>
                  <w:pPr>
                    <w:jc w:val="center"/>
                    <w:rPr>
                      <w:color w:val="FF0000"/>
                    </w:rPr>
                  </w:pPr>
                  <w:r>
                    <w:rPr>
                      <w:color w:val="FF0000"/>
                    </w:rPr>
                    <w:t>线路两侧</w:t>
                  </w:r>
                </w:p>
              </w:tc>
              <w:tc>
                <w:tcPr>
                  <w:tcW w:w="1279" w:type="dxa"/>
                  <w:tcBorders>
                    <w:tl2br w:val="nil"/>
                    <w:tr2bl w:val="nil"/>
                  </w:tcBorders>
                  <w:vAlign w:val="center"/>
                </w:tcPr>
                <w:p>
                  <w:pPr>
                    <w:jc w:val="center"/>
                    <w:rPr>
                      <w:color w:val="FF0000"/>
                    </w:rPr>
                  </w:pPr>
                  <w:r>
                    <w:rPr>
                      <w:rFonts w:hint="eastAsia"/>
                      <w:color w:val="FF0000"/>
                    </w:rPr>
                    <w:t>2~50</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560" w:type="dxa"/>
                  <w:gridSpan w:val="2"/>
                  <w:tcBorders>
                    <w:tl2br w:val="nil"/>
                    <w:tr2bl w:val="nil"/>
                  </w:tcBorders>
                  <w:vAlign w:val="center"/>
                </w:tcPr>
                <w:p>
                  <w:pPr>
                    <w:jc w:val="center"/>
                    <w:rPr>
                      <w:color w:val="FF0000"/>
                    </w:rPr>
                  </w:pPr>
                  <w:r>
                    <w:rPr>
                      <w:rFonts w:hint="eastAsia"/>
                      <w:color w:val="FF0000"/>
                    </w:rPr>
                    <w:t>宁县盘克镇岘头村岘下组饮用水源地</w:t>
                  </w:r>
                </w:p>
              </w:tc>
              <w:tc>
                <w:tcPr>
                  <w:tcW w:w="1279" w:type="dxa"/>
                  <w:vMerge w:val="restart"/>
                  <w:tcBorders>
                    <w:tl2br w:val="nil"/>
                    <w:tr2bl w:val="nil"/>
                  </w:tcBorders>
                  <w:vAlign w:val="center"/>
                </w:tcPr>
                <w:p>
                  <w:pPr>
                    <w:jc w:val="center"/>
                    <w:rPr>
                      <w:color w:val="FF0000"/>
                    </w:rPr>
                  </w:pPr>
                  <w:r>
                    <w:rPr>
                      <w:rFonts w:hint="eastAsia"/>
                      <w:color w:val="FF0000"/>
                    </w:rPr>
                    <w:t>乡镇水源地</w:t>
                  </w:r>
                </w:p>
              </w:tc>
              <w:tc>
                <w:tcPr>
                  <w:tcW w:w="2558" w:type="dxa"/>
                  <w:gridSpan w:val="2"/>
                  <w:tcBorders>
                    <w:tl2br w:val="nil"/>
                    <w:tr2bl w:val="nil"/>
                  </w:tcBorders>
                  <w:vAlign w:val="center"/>
                </w:tcPr>
                <w:p>
                  <w:pPr>
                    <w:jc w:val="center"/>
                    <w:rPr>
                      <w:color w:val="FF0000"/>
                    </w:rPr>
                  </w:pPr>
                  <w:r>
                    <w:rPr>
                      <w:rFonts w:hint="eastAsia"/>
                      <w:color w:val="FF0000"/>
                    </w:rPr>
                    <w:t>穿越二级保护区</w:t>
                  </w:r>
                </w:p>
              </w:tc>
              <w:tc>
                <w:tcPr>
                  <w:tcW w:w="1279" w:type="dxa"/>
                  <w:vMerge w:val="restart"/>
                  <w:tcBorders>
                    <w:tl2br w:val="nil"/>
                    <w:tr2bl w:val="nil"/>
                  </w:tcBorders>
                  <w:vAlign w:val="center"/>
                </w:tcPr>
                <w:p>
                  <w:pPr>
                    <w:jc w:val="center"/>
                    <w:rPr>
                      <w:color w:val="FF0000"/>
                    </w:rPr>
                  </w:pPr>
                  <w:r>
                    <w:rPr>
                      <w:rFonts w:hint="eastAsia"/>
                      <w:color w:val="FF0000"/>
                    </w:rPr>
                    <w:t>《地下水质量标准》（GB/T14848-2017）Ⅲ类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560" w:type="dxa"/>
                  <w:gridSpan w:val="2"/>
                  <w:tcBorders>
                    <w:tl2br w:val="nil"/>
                    <w:tr2bl w:val="nil"/>
                  </w:tcBorders>
                  <w:vAlign w:val="center"/>
                </w:tcPr>
                <w:p>
                  <w:pPr>
                    <w:jc w:val="center"/>
                    <w:rPr>
                      <w:color w:val="FF0000"/>
                    </w:rPr>
                  </w:pPr>
                  <w:r>
                    <w:rPr>
                      <w:rFonts w:hint="eastAsia"/>
                      <w:color w:val="FF0000"/>
                    </w:rPr>
                    <w:t>宁县盘克镇上庄村北畔组饮用水源地</w:t>
                  </w:r>
                </w:p>
              </w:tc>
              <w:tc>
                <w:tcPr>
                  <w:tcW w:w="1279" w:type="dxa"/>
                  <w:vMerge w:val="continue"/>
                  <w:tcBorders>
                    <w:tl2br w:val="nil"/>
                    <w:tr2bl w:val="nil"/>
                  </w:tcBorders>
                  <w:vAlign w:val="center"/>
                </w:tcPr>
                <w:p>
                  <w:pPr>
                    <w:jc w:val="center"/>
                    <w:rPr>
                      <w:color w:val="FF0000"/>
                    </w:rPr>
                  </w:pPr>
                </w:p>
              </w:tc>
              <w:tc>
                <w:tcPr>
                  <w:tcW w:w="2558" w:type="dxa"/>
                  <w:gridSpan w:val="2"/>
                  <w:tcBorders>
                    <w:tl2br w:val="nil"/>
                    <w:tr2bl w:val="nil"/>
                  </w:tcBorders>
                  <w:vAlign w:val="center"/>
                </w:tcPr>
                <w:p>
                  <w:pPr>
                    <w:jc w:val="center"/>
                    <w:rPr>
                      <w:color w:val="FF0000"/>
                    </w:rPr>
                  </w:pPr>
                  <w:r>
                    <w:rPr>
                      <w:rFonts w:hint="eastAsia"/>
                      <w:color w:val="FF0000"/>
                    </w:rPr>
                    <w:t>穿越二级保护区</w:t>
                  </w:r>
                </w:p>
              </w:tc>
              <w:tc>
                <w:tcPr>
                  <w:tcW w:w="1279" w:type="dxa"/>
                  <w:vMerge w:val="continue"/>
                  <w:tcBorders>
                    <w:tl2br w:val="nil"/>
                    <w:tr2bl w:val="nil"/>
                  </w:tcBorders>
                  <w:vAlign w:val="center"/>
                </w:tcPr>
                <w:p>
                  <w:pPr>
                    <w:jc w:val="center"/>
                    <w:rPr>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2560" w:type="dxa"/>
                  <w:gridSpan w:val="2"/>
                  <w:tcBorders>
                    <w:tl2br w:val="nil"/>
                    <w:tr2bl w:val="nil"/>
                  </w:tcBorders>
                  <w:vAlign w:val="center"/>
                </w:tcPr>
                <w:p>
                  <w:pPr>
                    <w:jc w:val="center"/>
                    <w:rPr>
                      <w:color w:val="FF0000"/>
                    </w:rPr>
                  </w:pPr>
                  <w:r>
                    <w:rPr>
                      <w:rFonts w:hint="eastAsia"/>
                      <w:color w:val="FF0000"/>
                    </w:rPr>
                    <w:t>耕地</w:t>
                  </w:r>
                </w:p>
              </w:tc>
              <w:tc>
                <w:tcPr>
                  <w:tcW w:w="1279" w:type="dxa"/>
                  <w:tcBorders>
                    <w:tl2br w:val="nil"/>
                    <w:tr2bl w:val="nil"/>
                  </w:tcBorders>
                  <w:vAlign w:val="center"/>
                </w:tcPr>
                <w:p>
                  <w:pPr>
                    <w:jc w:val="center"/>
                    <w:rPr>
                      <w:color w:val="FF0000"/>
                    </w:rPr>
                  </w:pPr>
                  <w:r>
                    <w:rPr>
                      <w:rFonts w:hint="eastAsia"/>
                      <w:color w:val="FF0000"/>
                    </w:rPr>
                    <w:t>土壤</w:t>
                  </w:r>
                </w:p>
              </w:tc>
              <w:tc>
                <w:tcPr>
                  <w:tcW w:w="2558" w:type="dxa"/>
                  <w:gridSpan w:val="2"/>
                  <w:tcBorders>
                    <w:tl2br w:val="nil"/>
                    <w:tr2bl w:val="nil"/>
                  </w:tcBorders>
                  <w:vAlign w:val="center"/>
                </w:tcPr>
                <w:p>
                  <w:pPr>
                    <w:jc w:val="center"/>
                    <w:rPr>
                      <w:color w:val="FF0000"/>
                    </w:rPr>
                  </w:pPr>
                  <w:r>
                    <w:rPr>
                      <w:rFonts w:hint="eastAsia"/>
                      <w:color w:val="FF0000"/>
                    </w:rPr>
                    <w:t>沿线两侧50m</w:t>
                  </w:r>
                </w:p>
              </w:tc>
              <w:tc>
                <w:tcPr>
                  <w:tcW w:w="1279" w:type="dxa"/>
                  <w:tcBorders>
                    <w:tl2br w:val="nil"/>
                    <w:tr2bl w:val="nil"/>
                  </w:tcBorders>
                  <w:vAlign w:val="center"/>
                </w:tcPr>
                <w:p>
                  <w:pPr>
                    <w:jc w:val="both"/>
                    <w:rPr>
                      <w:color w:val="FF0000"/>
                    </w:rPr>
                  </w:pPr>
                  <w:r>
                    <w:rPr>
                      <w:color w:val="FF0000"/>
                      <w:sz w:val="24"/>
                      <w:lang w:bidi="ar"/>
                    </w:rPr>
                    <w:t>《</w:t>
                  </w:r>
                  <w:r>
                    <w:rPr>
                      <w:rFonts w:hint="eastAsia"/>
                      <w:color w:val="FF0000"/>
                    </w:rPr>
                    <w:t>土壤环境质量 农用地土壤污染风险管控标准（试行）》（GB15618-2018）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560" w:type="dxa"/>
                  <w:gridSpan w:val="2"/>
                  <w:tcBorders>
                    <w:tl2br w:val="nil"/>
                    <w:tr2bl w:val="nil"/>
                  </w:tcBorders>
                  <w:vAlign w:val="center"/>
                </w:tcPr>
                <w:p>
                  <w:pPr>
                    <w:pStyle w:val="87"/>
                    <w:rPr>
                      <w:b w:val="0"/>
                      <w:color w:val="FF0000"/>
                    </w:rPr>
                  </w:pPr>
                  <w:r>
                    <w:rPr>
                      <w:rFonts w:hint="eastAsia"/>
                      <w:b w:val="0"/>
                      <w:color w:val="FF0000"/>
                    </w:rPr>
                    <w:t>植被、农作物</w:t>
                  </w:r>
                </w:p>
              </w:tc>
              <w:tc>
                <w:tcPr>
                  <w:tcW w:w="1279" w:type="dxa"/>
                  <w:tcBorders>
                    <w:tl2br w:val="nil"/>
                    <w:tr2bl w:val="nil"/>
                  </w:tcBorders>
                  <w:vAlign w:val="center"/>
                </w:tcPr>
                <w:p>
                  <w:pPr>
                    <w:jc w:val="center"/>
                    <w:rPr>
                      <w:color w:val="FF0000"/>
                    </w:rPr>
                  </w:pPr>
                  <w:r>
                    <w:rPr>
                      <w:rFonts w:hint="eastAsia"/>
                      <w:color w:val="FF0000"/>
                    </w:rPr>
                    <w:t>生态</w:t>
                  </w:r>
                </w:p>
              </w:tc>
              <w:tc>
                <w:tcPr>
                  <w:tcW w:w="2558" w:type="dxa"/>
                  <w:gridSpan w:val="2"/>
                  <w:tcBorders>
                    <w:tl2br w:val="nil"/>
                    <w:tr2bl w:val="nil"/>
                  </w:tcBorders>
                  <w:vAlign w:val="center"/>
                </w:tcPr>
                <w:p>
                  <w:pPr>
                    <w:jc w:val="center"/>
                    <w:rPr>
                      <w:color w:val="FF0000"/>
                    </w:rPr>
                  </w:pPr>
                  <w:r>
                    <w:rPr>
                      <w:rFonts w:hint="eastAsia"/>
                      <w:color w:val="FF0000"/>
                    </w:rPr>
                    <w:t>沿线两侧50m</w:t>
                  </w:r>
                </w:p>
              </w:tc>
              <w:tc>
                <w:tcPr>
                  <w:tcW w:w="1279" w:type="dxa"/>
                  <w:tcBorders>
                    <w:tl2br w:val="nil"/>
                    <w:tr2bl w:val="nil"/>
                  </w:tcBorders>
                  <w:vAlign w:val="center"/>
                </w:tcPr>
                <w:p>
                  <w:pPr>
                    <w:jc w:val="center"/>
                    <w:rPr>
                      <w:bCs/>
                      <w:color w:val="FF0000"/>
                    </w:rPr>
                  </w:pPr>
                  <w:r>
                    <w:rPr>
                      <w:rFonts w:hint="eastAsia"/>
                      <w:bCs/>
                      <w:color w:val="FF0000"/>
                    </w:rPr>
                    <w:t>严格控制破坏压占土地</w:t>
                  </w:r>
                </w:p>
                <w:p>
                  <w:pPr>
                    <w:jc w:val="center"/>
                    <w:rPr>
                      <w:color w:val="FF0000"/>
                    </w:rPr>
                  </w:pPr>
                  <w:r>
                    <w:rPr>
                      <w:rFonts w:hint="eastAsia"/>
                      <w:bCs/>
                      <w:color w:val="FF0000"/>
                    </w:rPr>
                    <w:t>范围，施工后及时恢复</w:t>
                  </w:r>
                </w:p>
              </w:tc>
            </w:tr>
          </w:tbl>
          <w:p>
            <w:pPr>
              <w:adjustRightInd w:val="0"/>
              <w:snapToGrid w:val="0"/>
              <w:rPr>
                <w:color w:val="000000" w:themeColor="text1"/>
                <w:kern w:val="0"/>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5"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评价</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标准</w:t>
            </w:r>
          </w:p>
        </w:tc>
        <w:tc>
          <w:tcPr>
            <w:tcW w:w="7667" w:type="dxa"/>
            <w:vAlign w:val="center"/>
          </w:tcPr>
          <w:p>
            <w:pPr>
              <w:spacing w:line="360" w:lineRule="auto"/>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1、质量标准</w:t>
            </w:r>
          </w:p>
          <w:p>
            <w:pPr>
              <w:spacing w:line="360" w:lineRule="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w:t>
            </w:r>
            <w:r>
              <w:rPr>
                <w:color w:val="000000" w:themeColor="text1"/>
                <w:kern w:val="0"/>
                <w:sz w:val="24"/>
                <w14:textFill>
                  <w14:solidFill>
                    <w14:schemeClr w14:val="tx1"/>
                  </w14:solidFill>
                </w14:textFill>
              </w:rPr>
              <w:t>环境空气质量标准</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环境空气质量现状执行《环境空气质量标准》（GB3095-2012）中的二级标准；各项污染物浓度限值见表3-5。</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表3-5   环境空气二级标准污染物浓度限值</w:t>
            </w:r>
          </w:p>
          <w:tbl>
            <w:tblPr>
              <w:tblStyle w:val="30"/>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2340"/>
              <w:gridCol w:w="2095"/>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取值时间</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浓度限值</w:t>
                  </w:r>
                </w:p>
              </w:tc>
              <w:tc>
                <w:tcPr>
                  <w:tcW w:w="14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476"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ug/m³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160（8h）</w:t>
                  </w:r>
                </w:p>
              </w:tc>
              <w:tc>
                <w:tcPr>
                  <w:tcW w:w="147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476"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087" w:type="dxa"/>
                  <w:vMerge w:val="continue"/>
                  <w:vAlign w:val="center"/>
                </w:tcPr>
                <w:p>
                  <w:pPr>
                    <w:jc w:val="center"/>
                    <w:rPr>
                      <w:color w:val="000000" w:themeColor="text1"/>
                      <w:szCs w:val="21"/>
                      <w14:textFill>
                        <w14:solidFill>
                          <w14:schemeClr w14:val="tx1"/>
                        </w14:solidFill>
                      </w14:textFill>
                    </w:rPr>
                  </w:pPr>
                </w:p>
              </w:tc>
              <w:tc>
                <w:tcPr>
                  <w:tcW w:w="2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w:t>
                  </w:r>
                </w:p>
              </w:tc>
              <w:tc>
                <w:tcPr>
                  <w:tcW w:w="20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476" w:type="dxa"/>
                  <w:vMerge w:val="continue"/>
                  <w:vAlign w:val="center"/>
                </w:tcPr>
                <w:p>
                  <w:pPr>
                    <w:jc w:val="center"/>
                    <w:rPr>
                      <w:color w:val="000000" w:themeColor="text1"/>
                      <w:szCs w:val="21"/>
                      <w14:textFill>
                        <w14:solidFill>
                          <w14:schemeClr w14:val="tx1"/>
                        </w14:solidFill>
                      </w14:textFill>
                    </w:rPr>
                  </w:pPr>
                </w:p>
              </w:tc>
            </w:tr>
          </w:tbl>
          <w:p>
            <w:pPr>
              <w:spacing w:line="360" w:lineRule="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水环境质量标准</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1）拟建地项目地表水环境质量评价执行《地表水环境质量标准》（GB3838-2002）Ⅲ类，具体标准限值见下表。</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表3-6      地表水环境质量标准    单位：mg/L（pH除外）</w:t>
            </w:r>
          </w:p>
          <w:tbl>
            <w:tblPr>
              <w:tblStyle w:val="30"/>
              <w:tblW w:w="7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8"/>
              <w:gridCol w:w="2273"/>
              <w:gridCol w:w="1324"/>
              <w:gridCol w:w="649"/>
              <w:gridCol w:w="1280"/>
              <w:gridCol w:w="1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8" w:type="dxa"/>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273" w:type="dxa"/>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w:t>
                  </w:r>
                </w:p>
              </w:tc>
              <w:tc>
                <w:tcPr>
                  <w:tcW w:w="649" w:type="dxa"/>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280" w:type="dxa"/>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2273" w:type="dxa"/>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Ⅲ</w:t>
                  </w:r>
                  <w:r>
                    <w:rPr>
                      <w:color w:val="000000" w:themeColor="text1"/>
                      <w:szCs w:val="21"/>
                      <w14:textFill>
                        <w14:solidFill>
                          <w14:schemeClr w14:val="tx1"/>
                        </w14:solidFill>
                      </w14:textFill>
                    </w:rPr>
                    <w:t>类</w:t>
                  </w:r>
                </w:p>
              </w:tc>
              <w:tc>
                <w:tcPr>
                  <w:tcW w:w="649" w:type="dxa"/>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1280" w:type="dxa"/>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Ⅲ</w:t>
                  </w:r>
                  <w:r>
                    <w:rPr>
                      <w:color w:val="000000" w:themeColor="text1"/>
                      <w:szCs w:val="21"/>
                      <w14:textFill>
                        <w14:solidFill>
                          <w14:schemeClr w14:val="tx1"/>
                        </w14:solidFill>
                      </w14:textFill>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27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pH值（无量纲）</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六价铬</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27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溶解氧</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氰化物</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27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化学需氧量(COD)</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挥发酚</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27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五日生化需氧量(BOD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27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硫化物</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氟化物</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1324"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128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硒</w:t>
                  </w:r>
                </w:p>
              </w:tc>
              <w:tc>
                <w:tcPr>
                  <w:tcW w:w="163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粪大肠菌群</w:t>
                  </w:r>
                </w:p>
              </w:tc>
              <w:tc>
                <w:tcPr>
                  <w:tcW w:w="1324"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≤10000（个/L）</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128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汞</w:t>
                  </w:r>
                </w:p>
              </w:tc>
              <w:tc>
                <w:tcPr>
                  <w:tcW w:w="163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高锰酸盐指数</w:t>
                  </w:r>
                </w:p>
              </w:tc>
              <w:tc>
                <w:tcPr>
                  <w:tcW w:w="1324"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128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铅</w:t>
                  </w:r>
                </w:p>
              </w:tc>
              <w:tc>
                <w:tcPr>
                  <w:tcW w:w="163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阴离子表面活性剂</w:t>
                  </w:r>
                </w:p>
              </w:tc>
              <w:tc>
                <w:tcPr>
                  <w:tcW w:w="1324"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280" w:type="dxa"/>
                  <w:tcBorders>
                    <w:tl2br w:val="nil"/>
                    <w:tr2bl w:val="nil"/>
                  </w:tcBorders>
                  <w:vAlign w:val="center"/>
                </w:tcPr>
                <w:p>
                  <w:pPr>
                    <w:jc w:val="center"/>
                    <w:rPr>
                      <w:color w:val="000000" w:themeColor="text1"/>
                      <w:szCs w:val="21"/>
                      <w:vertAlign w:val="superscript"/>
                      <w14:textFill>
                        <w14:solidFill>
                          <w14:schemeClr w14:val="tx1"/>
                        </w14:solidFill>
                      </w14:textFill>
                    </w:rPr>
                  </w:pPr>
                  <w:r>
                    <w:rPr>
                      <w:color w:val="000000" w:themeColor="text1"/>
                      <w:szCs w:val="21"/>
                      <w14:textFill>
                        <w14:solidFill>
                          <w14:schemeClr w14:val="tx1"/>
                        </w14:solidFill>
                      </w14:textFill>
                    </w:rPr>
                    <w:t>镉</w:t>
                  </w:r>
                </w:p>
              </w:tc>
              <w:tc>
                <w:tcPr>
                  <w:tcW w:w="163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铜</w:t>
                  </w:r>
                </w:p>
              </w:tc>
              <w:tc>
                <w:tcPr>
                  <w:tcW w:w="1324"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28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总氮</w:t>
                  </w:r>
                </w:p>
              </w:tc>
              <w:tc>
                <w:tcPr>
                  <w:tcW w:w="163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8"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2273"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锌</w:t>
                  </w:r>
                </w:p>
              </w:tc>
              <w:tc>
                <w:tcPr>
                  <w:tcW w:w="1324"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49"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1280"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砷</w:t>
                  </w:r>
                </w:p>
              </w:tc>
              <w:tc>
                <w:tcPr>
                  <w:tcW w:w="1633" w:type="dxa"/>
                  <w:tcBorders>
                    <w:tl2br w:val="nil"/>
                    <w:tr2bl w:val="nil"/>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w:t>
                  </w:r>
                </w:p>
              </w:tc>
            </w:tr>
          </w:tbl>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2）拟建地项目地下水环境质量执行《地下水质量标准》（GB/T14848-2017）Ⅲ类，具体标准限值见下表。</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表3-7  （GB/T14848—2017）Ⅲ类标准限值单位：mg/l</w:t>
            </w:r>
          </w:p>
          <w:tbl>
            <w:tblPr>
              <w:tblStyle w:val="30"/>
              <w:tblW w:w="7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00"/>
              <w:gridCol w:w="813"/>
              <w:gridCol w:w="770"/>
              <w:gridCol w:w="771"/>
              <w:gridCol w:w="814"/>
              <w:gridCol w:w="814"/>
              <w:gridCol w:w="854"/>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0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项目标准</w:t>
                  </w:r>
                </w:p>
              </w:tc>
              <w:tc>
                <w:tcPr>
                  <w:tcW w:w="13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81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硝酸盐</w:t>
                  </w:r>
                </w:p>
              </w:tc>
              <w:tc>
                <w:tcPr>
                  <w:tcW w:w="77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7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亚硝酸盐</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氟化物</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总硬度</w:t>
                  </w:r>
                </w:p>
              </w:tc>
              <w:tc>
                <w:tcPr>
                  <w:tcW w:w="85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六价铬</w:t>
                  </w:r>
                </w:p>
              </w:tc>
              <w:tc>
                <w:tcPr>
                  <w:tcW w:w="85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挥发酚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04"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Ⅲ类</w:t>
                  </w:r>
                </w:p>
              </w:tc>
              <w:tc>
                <w:tcPr>
                  <w:tcW w:w="13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6.5≤pH≤8.5</w:t>
                  </w:r>
                </w:p>
              </w:tc>
              <w:tc>
                <w:tcPr>
                  <w:tcW w:w="813"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c>
                <w:tcPr>
                  <w:tcW w:w="770"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≤0.5</w:t>
                  </w:r>
                </w:p>
              </w:tc>
              <w:tc>
                <w:tcPr>
                  <w:tcW w:w="771"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≤450</w:t>
                  </w:r>
                </w:p>
              </w:tc>
              <w:tc>
                <w:tcPr>
                  <w:tcW w:w="85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85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04" w:type="dxa"/>
                  <w:vMerge w:val="continue"/>
                  <w:vAlign w:val="center"/>
                </w:tcPr>
                <w:p>
                  <w:pPr>
                    <w:jc w:val="center"/>
                    <w:rPr>
                      <w:color w:val="000000" w:themeColor="text1"/>
                      <w:szCs w:val="21"/>
                      <w14:textFill>
                        <w14:solidFill>
                          <w14:schemeClr w14:val="tx1"/>
                        </w14:solidFill>
                      </w14:textFill>
                    </w:rPr>
                  </w:pPr>
                </w:p>
              </w:tc>
              <w:tc>
                <w:tcPr>
                  <w:tcW w:w="13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81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氰化物</w:t>
                  </w:r>
                </w:p>
              </w:tc>
              <w:tc>
                <w:tcPr>
                  <w:tcW w:w="77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铁</w:t>
                  </w:r>
                </w:p>
              </w:tc>
              <w:tc>
                <w:tcPr>
                  <w:tcW w:w="7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锰</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铅</w:t>
                  </w:r>
                </w:p>
              </w:tc>
              <w:tc>
                <w:tcPr>
                  <w:tcW w:w="8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砷</w:t>
                  </w:r>
                </w:p>
              </w:tc>
              <w:tc>
                <w:tcPr>
                  <w:tcW w:w="85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汞</w:t>
                  </w:r>
                </w:p>
              </w:tc>
              <w:tc>
                <w:tcPr>
                  <w:tcW w:w="85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04" w:type="dxa"/>
                  <w:vMerge w:val="continue"/>
                  <w:vAlign w:val="center"/>
                </w:tcPr>
                <w:p>
                  <w:pPr>
                    <w:jc w:val="center"/>
                    <w:rPr>
                      <w:color w:val="000000" w:themeColor="text1"/>
                      <w:szCs w:val="21"/>
                      <w14:textFill>
                        <w14:solidFill>
                          <w14:schemeClr w14:val="tx1"/>
                        </w14:solidFill>
                      </w14:textFill>
                    </w:rPr>
                  </w:pPr>
                </w:p>
              </w:tc>
              <w:tc>
                <w:tcPr>
                  <w:tcW w:w="1300"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≤0.05</w:t>
                  </w:r>
                </w:p>
              </w:tc>
              <w:tc>
                <w:tcPr>
                  <w:tcW w:w="813"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≤0.05</w:t>
                  </w:r>
                </w:p>
              </w:tc>
              <w:tc>
                <w:tcPr>
                  <w:tcW w:w="770"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≤0.3</w:t>
                  </w:r>
                </w:p>
              </w:tc>
              <w:tc>
                <w:tcPr>
                  <w:tcW w:w="771"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≤0.1</w:t>
                  </w:r>
                </w:p>
              </w:tc>
              <w:tc>
                <w:tcPr>
                  <w:tcW w:w="814"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≤0.01</w:t>
                  </w:r>
                </w:p>
              </w:tc>
              <w:tc>
                <w:tcPr>
                  <w:tcW w:w="814"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≤0.01</w:t>
                  </w:r>
                </w:p>
              </w:tc>
              <w:tc>
                <w:tcPr>
                  <w:tcW w:w="854"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≤0.001</w:t>
                  </w:r>
                </w:p>
              </w:tc>
              <w:tc>
                <w:tcPr>
                  <w:tcW w:w="856"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≤0.005</w:t>
                  </w:r>
                </w:p>
              </w:tc>
            </w:tr>
          </w:tbl>
          <w:p>
            <w:pPr>
              <w:spacing w:line="360" w:lineRule="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声环境质量标准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道路两侧200m范围内执行《声环境质量标准》（GB 3096-2008）2类功能区，学校等特殊敏感点，划为1类功能区。具体限值见表3-8。</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表3-8     环境噪声限值    单位：dB（A）</w:t>
            </w:r>
          </w:p>
          <w:tbl>
            <w:tblPr>
              <w:tblStyle w:val="30"/>
              <w:tblpPr w:leftFromText="180" w:rightFromText="180" w:vertAnchor="text" w:horzAnchor="margin" w:tblpXSpec="center" w:tblpY="59"/>
              <w:tblOverlap w:val="never"/>
              <w:tblW w:w="7639"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729"/>
              <w:gridCol w:w="2922"/>
              <w:gridCol w:w="19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2729"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类别</w:t>
                  </w:r>
                </w:p>
              </w:tc>
              <w:tc>
                <w:tcPr>
                  <w:tcW w:w="2922"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昼间</w:t>
                  </w:r>
                </w:p>
              </w:tc>
              <w:tc>
                <w:tcPr>
                  <w:tcW w:w="1988"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2729"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2922"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1988"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2729"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2922"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1988" w:type="dxa"/>
                  <w:vAlign w:val="center"/>
                </w:tcPr>
                <w:p>
                  <w:pPr>
                    <w:pStyle w:val="72"/>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r>
          </w:tbl>
          <w:p>
            <w:pPr>
              <w:spacing w:line="360" w:lineRule="auto"/>
              <w:ind w:right="-1"/>
              <w:rPr>
                <w:color w:val="000000" w:themeColor="text1"/>
                <w:sz w:val="24"/>
                <w14:textFill>
                  <w14:solidFill>
                    <w14:schemeClr w14:val="tx1"/>
                  </w14:solidFill>
                </w14:textFill>
              </w:rPr>
            </w:pPr>
            <w:r>
              <w:rPr>
                <w:color w:val="000000" w:themeColor="text1"/>
                <w:sz w:val="24"/>
                <w14:textFill>
                  <w14:solidFill>
                    <w14:schemeClr w14:val="tx1"/>
                  </w14:solidFill>
                </w14:textFill>
              </w:rPr>
              <w:t>备注：夜间突发的噪声，其最大声级超过环境噪声限值的幅度不得高于15dB（A）。</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土壤环境质量标准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项目用地为基础设施用地，项目区土壤执行《土壤环境质量 建设用地土壤污染风险管控标准（试行）》（GB36600-2018）表1第二类用地筛选值标准，</w:t>
            </w:r>
            <w:r>
              <w:rPr>
                <w:rFonts w:hint="eastAsia"/>
                <w:color w:val="000000" w:themeColor="text1"/>
                <w:sz w:val="24"/>
                <w:lang w:bidi="ar"/>
                <w14:textFill>
                  <w14:solidFill>
                    <w14:schemeClr w14:val="tx1"/>
                  </w14:solidFill>
                </w14:textFill>
              </w:rPr>
              <w:t>项目周边农用地执行</w:t>
            </w:r>
            <w:r>
              <w:rPr>
                <w:color w:val="000000" w:themeColor="text1"/>
                <w:sz w:val="24"/>
                <w:lang w:bidi="ar"/>
                <w14:textFill>
                  <w14:solidFill>
                    <w14:schemeClr w14:val="tx1"/>
                  </w14:solidFill>
                </w14:textFill>
              </w:rPr>
              <w:t xml:space="preserve">《土壤环境质量 </w:t>
            </w:r>
            <w:r>
              <w:rPr>
                <w:rFonts w:hint="eastAsia"/>
                <w:color w:val="000000" w:themeColor="text1"/>
                <w:sz w:val="24"/>
                <w:lang w:bidi="ar"/>
                <w14:textFill>
                  <w14:solidFill>
                    <w14:schemeClr w14:val="tx1"/>
                  </w14:solidFill>
                </w14:textFill>
              </w:rPr>
              <w:t>农</w:t>
            </w:r>
            <w:r>
              <w:rPr>
                <w:color w:val="000000" w:themeColor="text1"/>
                <w:sz w:val="24"/>
                <w:lang w:bidi="ar"/>
                <w14:textFill>
                  <w14:solidFill>
                    <w14:schemeClr w14:val="tx1"/>
                  </w14:solidFill>
                </w14:textFill>
              </w:rPr>
              <w:t>用地土壤污染风险管控标准（试行）》（GB</w:t>
            </w:r>
            <w:r>
              <w:rPr>
                <w:rFonts w:hint="eastAsia"/>
                <w:color w:val="000000" w:themeColor="text1"/>
                <w:sz w:val="24"/>
                <w:lang w:bidi="ar"/>
                <w14:textFill>
                  <w14:solidFill>
                    <w14:schemeClr w14:val="tx1"/>
                  </w14:solidFill>
                </w14:textFill>
              </w:rPr>
              <w:t>15618</w:t>
            </w:r>
            <w:r>
              <w:rPr>
                <w:color w:val="000000" w:themeColor="text1"/>
                <w:sz w:val="24"/>
                <w:lang w:bidi="ar"/>
                <w14:textFill>
                  <w14:solidFill>
                    <w14:schemeClr w14:val="tx1"/>
                  </w14:solidFill>
                </w14:textFill>
              </w:rPr>
              <w:t>-2018）表1</w:t>
            </w:r>
            <w:r>
              <w:rPr>
                <w:rFonts w:hint="eastAsia"/>
                <w:color w:val="000000" w:themeColor="text1"/>
                <w:sz w:val="24"/>
                <w:lang w:bidi="ar"/>
                <w14:textFill>
                  <w14:solidFill>
                    <w14:schemeClr w14:val="tx1"/>
                  </w14:solidFill>
                </w14:textFill>
              </w:rPr>
              <w:t>中</w:t>
            </w:r>
            <w:r>
              <w:rPr>
                <w:color w:val="000000" w:themeColor="text1"/>
                <w:sz w:val="24"/>
                <w:lang w:bidi="ar"/>
                <w14:textFill>
                  <w14:solidFill>
                    <w14:schemeClr w14:val="tx1"/>
                  </w14:solidFill>
                </w14:textFill>
              </w:rPr>
              <w:t>筛选值标准，具体标准值见表</w:t>
            </w:r>
            <w:r>
              <w:rPr>
                <w:rFonts w:hint="eastAsia"/>
                <w:color w:val="000000" w:themeColor="text1"/>
                <w:sz w:val="24"/>
                <w:lang w:bidi="ar"/>
                <w14:textFill>
                  <w14:solidFill>
                    <w14:schemeClr w14:val="tx1"/>
                  </w14:solidFill>
                </w14:textFill>
              </w:rPr>
              <w:t>3-10和表3-11</w:t>
            </w:r>
            <w:r>
              <w:rPr>
                <w:color w:val="000000" w:themeColor="text1"/>
                <w:sz w:val="24"/>
                <w:lang w:bidi="ar"/>
                <w14:textFill>
                  <w14:solidFill>
                    <w14:schemeClr w14:val="tx1"/>
                  </w14:solidFill>
                </w14:textFill>
              </w:rPr>
              <w:t>。</w:t>
            </w:r>
          </w:p>
          <w:p>
            <w:pPr>
              <w:spacing w:line="440" w:lineRule="exact"/>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表</w:t>
            </w:r>
            <w:r>
              <w:rPr>
                <w:rFonts w:hint="eastAsia"/>
                <w:b/>
                <w:color w:val="000000" w:themeColor="text1"/>
                <w:szCs w:val="21"/>
                <w:lang w:bidi="ar"/>
                <w14:textFill>
                  <w14:solidFill>
                    <w14:schemeClr w14:val="tx1"/>
                  </w14:solidFill>
                </w14:textFill>
              </w:rPr>
              <w:t>3-10</w:t>
            </w:r>
            <w:r>
              <w:rPr>
                <w:b/>
                <w:color w:val="000000" w:themeColor="text1"/>
                <w:szCs w:val="21"/>
                <w:lang w:bidi="ar"/>
                <w14:textFill>
                  <w14:solidFill>
                    <w14:schemeClr w14:val="tx1"/>
                  </w14:solidFill>
                </w14:textFill>
              </w:rPr>
              <w:t xml:space="preserve">  建设用地土壤污染风险筛选值（基本项目）  单位：mg/kg</w:t>
            </w:r>
          </w:p>
          <w:tbl>
            <w:tblPr>
              <w:tblStyle w:val="30"/>
              <w:tblW w:w="74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846"/>
              <w:gridCol w:w="2409"/>
              <w:gridCol w:w="26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Merge w:val="restart"/>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序号</w:t>
                  </w:r>
                </w:p>
              </w:tc>
              <w:tc>
                <w:tcPr>
                  <w:tcW w:w="1846" w:type="dxa"/>
                  <w:vMerge w:val="restart"/>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监测项目</w:t>
                  </w:r>
                </w:p>
              </w:tc>
              <w:tc>
                <w:tcPr>
                  <w:tcW w:w="5012" w:type="dxa"/>
                  <w:gridSpan w:val="2"/>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建设用地土壤污染风险管控标准（第二类用地）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Merge w:val="continue"/>
                  <w:vAlign w:val="center"/>
                </w:tcPr>
                <w:p>
                  <w:pPr>
                    <w:rPr>
                      <w:color w:val="000000" w:themeColor="text1"/>
                      <w:sz w:val="20"/>
                      <w:szCs w:val="20"/>
                      <w14:textFill>
                        <w14:solidFill>
                          <w14:schemeClr w14:val="tx1"/>
                        </w14:solidFill>
                      </w14:textFill>
                    </w:rPr>
                  </w:pPr>
                </w:p>
              </w:tc>
              <w:tc>
                <w:tcPr>
                  <w:tcW w:w="1846" w:type="dxa"/>
                  <w:vMerge w:val="continue"/>
                  <w:vAlign w:val="center"/>
                </w:tcPr>
                <w:p>
                  <w:pPr>
                    <w:rPr>
                      <w:color w:val="000000" w:themeColor="text1"/>
                      <w:sz w:val="20"/>
                      <w:szCs w:val="20"/>
                      <w14:textFill>
                        <w14:solidFill>
                          <w14:schemeClr w14:val="tx1"/>
                        </w14:solidFill>
                      </w14:textFill>
                    </w:rPr>
                  </w:pP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筛选值</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管制值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镉</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铬（六价）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≤5.7</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铜</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≤18000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铅</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≤800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汞</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镍</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≤900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8</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四氯化碳</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氯仿</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≤0.9</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氯甲烷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≤37</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1,1-二氯乙烷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≤9</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1,2-二氯乙烷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13</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1,1-二氯乙烯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≤66</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14</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顺-1,2-二氯乙烯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≤596</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反-1,2-二氯乙烯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≤54</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16</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二氯甲烷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≤616</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17</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1,2-二氯丙烷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18</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1,1,1,2-四氯乙烷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19</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1,1,2,2-四氯乙烷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四氯乙烯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≤53</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21</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1,1,1-三氯乙烷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≤840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22</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1,1,2-三氯乙烷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23</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三氯乙烯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24</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1,2,3-三氯丙烷</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25</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≤0.43</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26</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27</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氯苯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≤270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1,2-二氯苯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≤560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29</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1,4-二氯苯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30</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乙苯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31</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苯乙烯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≤1290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32</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甲苯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≤1200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33</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间+对二甲苯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≤570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34</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邻二甲苯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≤640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35</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硝基苯</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≤76</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36</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苯胺</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≤260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37</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2-氯酚</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≤2256</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38</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苯并[ａ]蒽</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39</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苯并[ａ]芘</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40</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苯并[ｂ]荧蒽</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41</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苯并[k]荧蒽</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≤151</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42</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䓛</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≤1293</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43</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二苯并[ａ、h]蒽</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44</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茚并[1,2,3-cd]芘</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592"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45</w:t>
                  </w:r>
                </w:p>
              </w:tc>
              <w:tc>
                <w:tcPr>
                  <w:tcW w:w="1846"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萘</w:t>
                  </w:r>
                </w:p>
              </w:tc>
              <w:tc>
                <w:tcPr>
                  <w:tcW w:w="2409"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≤70</w:t>
                  </w:r>
                </w:p>
              </w:tc>
              <w:tc>
                <w:tcPr>
                  <w:tcW w:w="2603" w:type="dxa"/>
                  <w:vAlign w:val="center"/>
                </w:tcPr>
                <w:p>
                  <w:pPr>
                    <w:spacing w:line="240" w:lineRule="exact"/>
                    <w:jc w:val="center"/>
                    <w:outlineLvl w:val="4"/>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≤700</w:t>
                  </w:r>
                </w:p>
              </w:tc>
            </w:tr>
          </w:tbl>
          <w:p>
            <w:pPr>
              <w:spacing w:line="440" w:lineRule="exact"/>
              <w:jc w:val="center"/>
              <w:rPr>
                <w:b/>
                <w:color w:val="000000" w:themeColor="text1"/>
                <w:szCs w:val="21"/>
                <w:lang w:bidi="ar"/>
                <w14:textFill>
                  <w14:solidFill>
                    <w14:schemeClr w14:val="tx1"/>
                  </w14:solidFill>
                </w14:textFill>
              </w:rPr>
            </w:pPr>
            <w:r>
              <w:rPr>
                <w:b/>
                <w:color w:val="000000" w:themeColor="text1"/>
                <w:szCs w:val="21"/>
                <w:lang w:bidi="ar"/>
                <w14:textFill>
                  <w14:solidFill>
                    <w14:schemeClr w14:val="tx1"/>
                  </w14:solidFill>
                </w14:textFill>
              </w:rPr>
              <w:t>表</w:t>
            </w:r>
            <w:r>
              <w:rPr>
                <w:rFonts w:hint="eastAsia"/>
                <w:b/>
                <w:color w:val="000000" w:themeColor="text1"/>
                <w:szCs w:val="21"/>
                <w:lang w:bidi="ar"/>
                <w14:textFill>
                  <w14:solidFill>
                    <w14:schemeClr w14:val="tx1"/>
                  </w14:solidFill>
                </w14:textFill>
              </w:rPr>
              <w:t>3-11</w:t>
            </w:r>
            <w:r>
              <w:rPr>
                <w:b/>
                <w:color w:val="000000" w:themeColor="text1"/>
                <w:szCs w:val="21"/>
                <w:lang w:bidi="ar"/>
                <w14:textFill>
                  <w14:solidFill>
                    <w14:schemeClr w14:val="tx1"/>
                  </w14:solidFill>
                </w14:textFill>
              </w:rPr>
              <w:t xml:space="preserve">  </w:t>
            </w:r>
            <w:r>
              <w:rPr>
                <w:rFonts w:hint="eastAsia"/>
                <w:b/>
                <w:color w:val="000000" w:themeColor="text1"/>
                <w:szCs w:val="21"/>
                <w:lang w:bidi="ar"/>
                <w14:textFill>
                  <w14:solidFill>
                    <w14:schemeClr w14:val="tx1"/>
                  </w14:solidFill>
                </w14:textFill>
              </w:rPr>
              <w:t>农</w:t>
            </w:r>
            <w:r>
              <w:rPr>
                <w:b/>
                <w:color w:val="000000" w:themeColor="text1"/>
                <w:szCs w:val="21"/>
                <w:lang w:bidi="ar"/>
                <w14:textFill>
                  <w14:solidFill>
                    <w14:schemeClr w14:val="tx1"/>
                  </w14:solidFill>
                </w14:textFill>
              </w:rPr>
              <w:t>用地土壤污染风险筛选值（基本项目）  单位：mg/kg</w:t>
            </w:r>
          </w:p>
          <w:tbl>
            <w:tblPr>
              <w:tblStyle w:val="30"/>
              <w:tblW w:w="7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579"/>
              <w:gridCol w:w="865"/>
              <w:gridCol w:w="883"/>
              <w:gridCol w:w="1662"/>
              <w:gridCol w:w="1662"/>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序号</w:t>
                  </w:r>
                </w:p>
              </w:tc>
              <w:tc>
                <w:tcPr>
                  <w:tcW w:w="1444"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污染物项目</w:t>
                  </w:r>
                </w:p>
              </w:tc>
              <w:tc>
                <w:tcPr>
                  <w:tcW w:w="5273" w:type="dxa"/>
                  <w:gridSpan w:val="4"/>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14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pH</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5.5</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pH</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6.5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6.5</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pH</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7.5</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pH</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镉</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0.3</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0.4</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0.6</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0.3</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0.3</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0.3</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汞</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0.5</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0.6</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1.3</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1.8</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2.4</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砷</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40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40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4</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铅</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80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100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140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70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90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120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5</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铬</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6</w:t>
                  </w:r>
                </w:p>
              </w:tc>
              <w:tc>
                <w:tcPr>
                  <w:tcW w:w="5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铜</w:t>
                  </w: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水田</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5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themeColor="text1"/>
                      <w:szCs w:val="21"/>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其他</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50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7</w:t>
                  </w:r>
                </w:p>
              </w:tc>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镍</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60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70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8</w:t>
                  </w:r>
                </w:p>
              </w:tc>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锌</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200</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250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441" w:type="dxa"/>
                  <w:gridSpan w:val="7"/>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注：</w:t>
                  </w:r>
                  <w:r>
                    <w:rPr>
                      <w:rFonts w:hAnsi="宋体"/>
                      <w:color w:val="000000" w:themeColor="text1"/>
                      <w:szCs w:val="21"/>
                      <w14:textFill>
                        <w14:solidFill>
                          <w14:schemeClr w14:val="tx1"/>
                        </w14:solidFill>
                      </w14:textFill>
                    </w:rPr>
                    <w:fldChar w:fldCharType="begin"/>
                  </w:r>
                  <w:r>
                    <w:rPr>
                      <w:rFonts w:hAnsi="宋体"/>
                      <w:color w:val="000000" w:themeColor="text1"/>
                      <w:szCs w:val="21"/>
                      <w14:textFill>
                        <w14:solidFill>
                          <w14:schemeClr w14:val="tx1"/>
                        </w14:solidFill>
                      </w14:textFill>
                    </w:rPr>
                    <w:instrText xml:space="preserve"> = 1 \* GB3 </w:instrText>
                  </w:r>
                  <w:r>
                    <w:rPr>
                      <w:rFonts w:hAnsi="宋体"/>
                      <w:color w:val="000000" w:themeColor="text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color w:val="000000" w:themeColor="text1"/>
                      <w:szCs w:val="21"/>
                      <w14:textFill>
                        <w14:solidFill>
                          <w14:schemeClr w14:val="tx1"/>
                        </w14:solidFill>
                      </w14:textFill>
                    </w:rPr>
                    <w:fldChar w:fldCharType="end"/>
                  </w:r>
                  <w:r>
                    <w:rPr>
                      <w:rFonts w:hint="eastAsia" w:hAnsi="宋体"/>
                      <w:color w:val="000000" w:themeColor="text1"/>
                      <w:szCs w:val="21"/>
                      <w14:textFill>
                        <w14:solidFill>
                          <w14:schemeClr w14:val="tx1"/>
                        </w14:solidFill>
                      </w14:textFill>
                    </w:rPr>
                    <w:t>重金属和类金属砷均按元素总量计。</w:t>
                  </w:r>
                </w:p>
                <w:p>
                  <w:pPr>
                    <w:jc w:val="center"/>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 xml:space="preserve">    </w:t>
                  </w:r>
                  <w:r>
                    <w:rPr>
                      <w:rFonts w:hAnsi="宋体"/>
                      <w:color w:val="000000" w:themeColor="text1"/>
                      <w:szCs w:val="21"/>
                      <w14:textFill>
                        <w14:solidFill>
                          <w14:schemeClr w14:val="tx1"/>
                        </w14:solidFill>
                      </w14:textFill>
                    </w:rPr>
                    <w:fldChar w:fldCharType="begin"/>
                  </w:r>
                  <w:r>
                    <w:rPr>
                      <w:rFonts w:hAnsi="宋体"/>
                      <w:color w:val="000000" w:themeColor="text1"/>
                      <w:szCs w:val="21"/>
                      <w14:textFill>
                        <w14:solidFill>
                          <w14:schemeClr w14:val="tx1"/>
                        </w14:solidFill>
                      </w14:textFill>
                    </w:rPr>
                    <w:instrText xml:space="preserve"> = 2 \* GB3 </w:instrText>
                  </w:r>
                  <w:r>
                    <w:rPr>
                      <w:rFonts w:hAnsi="宋体"/>
                      <w:color w:val="000000" w:themeColor="text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②</w:t>
                  </w:r>
                  <w:r>
                    <w:rPr>
                      <w:rFonts w:hAnsi="宋体"/>
                      <w:color w:val="000000" w:themeColor="text1"/>
                      <w:szCs w:val="21"/>
                      <w14:textFill>
                        <w14:solidFill>
                          <w14:schemeClr w14:val="tx1"/>
                        </w14:solidFill>
                      </w14:textFill>
                    </w:rPr>
                    <w:fldChar w:fldCharType="end"/>
                  </w:r>
                  <w:r>
                    <w:rPr>
                      <w:rFonts w:hint="eastAsia" w:hAnsi="宋体"/>
                      <w:color w:val="000000" w:themeColor="text1"/>
                      <w:szCs w:val="21"/>
                      <w14:textFill>
                        <w14:solidFill>
                          <w14:schemeClr w14:val="tx1"/>
                        </w14:solidFill>
                      </w14:textFill>
                    </w:rPr>
                    <w:t>对于水旱轮作地，采取其中较严格的风险筛选值。</w:t>
                  </w:r>
                </w:p>
              </w:tc>
            </w:tr>
          </w:tbl>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2、排放标准</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大气污染物排放标准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项目施工期扬尘和施工车辆尾气排放执行《大气污染物综合排放标准》（GB16297-1996）中的无组织排放监控浓度限值。具体限值可见下表3-1</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表3-1</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   《大气污染物综合排放标准》</w:t>
            </w:r>
          </w:p>
          <w:tbl>
            <w:tblPr>
              <w:tblStyle w:val="30"/>
              <w:tblW w:w="765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787"/>
              <w:gridCol w:w="1276"/>
              <w:gridCol w:w="361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78"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78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最高允许排放浓度（mg/m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4893"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无组织排放监控浓度限值（mg/m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78" w:type="dxa"/>
                  <w:vMerge w:val="continue"/>
                  <w:vAlign w:val="center"/>
                </w:tcPr>
                <w:p>
                  <w:pPr>
                    <w:jc w:val="center"/>
                    <w:rPr>
                      <w:color w:val="000000" w:themeColor="text1"/>
                      <w:szCs w:val="21"/>
                      <w14:textFill>
                        <w14:solidFill>
                          <w14:schemeClr w14:val="tx1"/>
                        </w14:solidFill>
                      </w14:textFill>
                    </w:rPr>
                  </w:pPr>
                </w:p>
              </w:tc>
              <w:tc>
                <w:tcPr>
                  <w:tcW w:w="1787" w:type="dxa"/>
                  <w:vMerge w:val="continue"/>
                  <w:vAlign w:val="center"/>
                </w:tcPr>
                <w:p>
                  <w:pPr>
                    <w:jc w:val="center"/>
                    <w:rPr>
                      <w:color w:val="000000" w:themeColor="text1"/>
                      <w:szCs w:val="21"/>
                      <w14:textFill>
                        <w14:solidFill>
                          <w14:schemeClr w14:val="tx1"/>
                        </w14:solidFill>
                      </w14:textFill>
                    </w:rPr>
                  </w:pPr>
                </w:p>
              </w:tc>
              <w:tc>
                <w:tcPr>
                  <w:tcW w:w="12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监控点</w:t>
                  </w:r>
                </w:p>
              </w:tc>
              <w:tc>
                <w:tcPr>
                  <w:tcW w:w="36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78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w:t>
                  </w:r>
                </w:p>
              </w:tc>
              <w:tc>
                <w:tcPr>
                  <w:tcW w:w="1276"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周界外浓度最高点</w:t>
                  </w:r>
                </w:p>
              </w:tc>
              <w:tc>
                <w:tcPr>
                  <w:tcW w:w="36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p>
              </w:tc>
              <w:tc>
                <w:tcPr>
                  <w:tcW w:w="178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w:t>
                  </w:r>
                </w:p>
              </w:tc>
              <w:tc>
                <w:tcPr>
                  <w:tcW w:w="1276" w:type="dxa"/>
                  <w:vMerge w:val="continue"/>
                  <w:vAlign w:val="center"/>
                </w:tcPr>
                <w:p>
                  <w:pPr>
                    <w:jc w:val="center"/>
                    <w:rPr>
                      <w:color w:val="000000" w:themeColor="text1"/>
                      <w:szCs w:val="21"/>
                      <w14:textFill>
                        <w14:solidFill>
                          <w14:schemeClr w14:val="tx1"/>
                        </w14:solidFill>
                      </w14:textFill>
                    </w:rPr>
                  </w:pPr>
                </w:p>
              </w:tc>
              <w:tc>
                <w:tcPr>
                  <w:tcW w:w="36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78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1276" w:type="dxa"/>
                  <w:vMerge w:val="continue"/>
                  <w:vAlign w:val="center"/>
                </w:tcPr>
                <w:p>
                  <w:pPr>
                    <w:jc w:val="center"/>
                    <w:rPr>
                      <w:color w:val="000000" w:themeColor="text1"/>
                      <w:szCs w:val="21"/>
                      <w14:textFill>
                        <w14:solidFill>
                          <w14:schemeClr w14:val="tx1"/>
                        </w14:solidFill>
                      </w14:textFill>
                    </w:rPr>
                  </w:pPr>
                </w:p>
              </w:tc>
              <w:tc>
                <w:tcPr>
                  <w:tcW w:w="36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沥青烟</w:t>
                  </w:r>
                </w:p>
              </w:tc>
              <w:tc>
                <w:tcPr>
                  <w:tcW w:w="178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276" w:type="dxa"/>
                  <w:vMerge w:val="continue"/>
                  <w:vAlign w:val="center"/>
                </w:tcPr>
                <w:p>
                  <w:pPr>
                    <w:jc w:val="center"/>
                    <w:rPr>
                      <w:color w:val="000000" w:themeColor="text1"/>
                      <w:szCs w:val="21"/>
                      <w14:textFill>
                        <w14:solidFill>
                          <w14:schemeClr w14:val="tx1"/>
                        </w14:solidFill>
                      </w14:textFill>
                    </w:rPr>
                  </w:pPr>
                </w:p>
              </w:tc>
              <w:tc>
                <w:tcPr>
                  <w:tcW w:w="36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生产设备不得有明显的无组织排放存在</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废水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项目施工期废水不外排。</w:t>
            </w:r>
          </w:p>
          <w:p>
            <w:pPr>
              <w:pStyle w:val="12"/>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噪声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项目噪声执行《建筑施工场界噪声排放标准》（GB12523－2011）标准，见表3-1</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表3-1</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 建筑施工场界噪声排放标准（GB12523-2011） 单位：dB(A)</w:t>
            </w:r>
          </w:p>
          <w:tbl>
            <w:tblPr>
              <w:tblStyle w:val="30"/>
              <w:tblW w:w="767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18"/>
              <w:gridCol w:w="39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3718" w:type="dxa"/>
                  <w:vAlign w:val="center"/>
                </w:tcPr>
                <w:p>
                  <w:pPr>
                    <w:tabs>
                      <w:tab w:val="left" w:pos="360"/>
                    </w:tabs>
                    <w:adjustRightInd w:val="0"/>
                    <w:snapToGrid w:val="0"/>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3961" w:type="dxa"/>
                  <w:vAlign w:val="center"/>
                </w:tcPr>
                <w:p>
                  <w:pPr>
                    <w:tabs>
                      <w:tab w:val="left" w:pos="360"/>
                    </w:tabs>
                    <w:adjustRightInd w:val="0"/>
                    <w:snapToGrid w:val="0"/>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3718" w:type="dxa"/>
                  <w:vAlign w:val="center"/>
                </w:tcPr>
                <w:p>
                  <w:pPr>
                    <w:tabs>
                      <w:tab w:val="left" w:pos="360"/>
                    </w:tabs>
                    <w:adjustRightInd w:val="0"/>
                    <w:snapToGrid w:val="0"/>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3961" w:type="dxa"/>
                  <w:vAlign w:val="center"/>
                </w:tcPr>
                <w:p>
                  <w:pPr>
                    <w:tabs>
                      <w:tab w:val="left" w:pos="360"/>
                    </w:tabs>
                    <w:adjustRightInd w:val="0"/>
                    <w:snapToGrid w:val="0"/>
                    <w:ind w:firstLine="4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固废</w:t>
            </w:r>
          </w:p>
          <w:p>
            <w:pPr>
              <w:pStyle w:val="29"/>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本项目固废排放执行《一般工业固体废物贮存和填埋污染控制标准》（GB18599-2020）中的相关规定。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855"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w:t>
            </w:r>
          </w:p>
        </w:tc>
        <w:tc>
          <w:tcPr>
            <w:tcW w:w="7667" w:type="dxa"/>
            <w:vAlign w:val="center"/>
          </w:tcPr>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总量控制指标</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本项目为道路建设工程，属</w:t>
            </w:r>
            <w:r>
              <w:rPr>
                <w:rFonts w:hint="eastAsia"/>
                <w:color w:val="000000" w:themeColor="text1"/>
                <w:sz w:val="24"/>
                <w14:textFill>
                  <w14:solidFill>
                    <w14:schemeClr w14:val="tx1"/>
                  </w14:solidFill>
                </w14:textFill>
              </w:rPr>
              <w:t>生态类</w:t>
            </w:r>
            <w:r>
              <w:rPr>
                <w:color w:val="000000" w:themeColor="text1"/>
                <w:sz w:val="24"/>
                <w14:textFill>
                  <w14:solidFill>
                    <w14:schemeClr w14:val="tx1"/>
                  </w14:solidFill>
                </w14:textFill>
              </w:rPr>
              <w:t>项目，不涉及总量控制指标。</w:t>
            </w:r>
          </w:p>
          <w:p>
            <w:pPr>
              <w:pStyle w:val="2"/>
              <w:rPr>
                <w:color w:val="000000" w:themeColor="text1"/>
                <w:sz w:val="24"/>
                <w14:textFill>
                  <w14:solidFill>
                    <w14:schemeClr w14:val="tx1"/>
                  </w14:solidFill>
                </w14:textFill>
              </w:rPr>
            </w:pPr>
          </w:p>
          <w:p>
            <w:pPr>
              <w:pStyle w:val="4"/>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pStyle w:val="2"/>
              <w:rPr>
                <w:color w:val="000000" w:themeColor="text1"/>
                <w:sz w:val="24"/>
                <w14:textFill>
                  <w14:solidFill>
                    <w14:schemeClr w14:val="tx1"/>
                  </w14:solidFill>
                </w14:textFill>
              </w:rPr>
            </w:pPr>
          </w:p>
          <w:p>
            <w:pPr>
              <w:pStyle w:val="4"/>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pStyle w:val="2"/>
              <w:rPr>
                <w:color w:val="000000" w:themeColor="text1"/>
                <w:sz w:val="24"/>
                <w14:textFill>
                  <w14:solidFill>
                    <w14:schemeClr w14:val="tx1"/>
                  </w14:solidFill>
                </w14:textFill>
              </w:rPr>
            </w:pPr>
          </w:p>
          <w:p>
            <w:pPr>
              <w:pStyle w:val="4"/>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pStyle w:val="2"/>
              <w:rPr>
                <w:color w:val="000000" w:themeColor="text1"/>
                <w:sz w:val="24"/>
                <w14:textFill>
                  <w14:solidFill>
                    <w14:schemeClr w14:val="tx1"/>
                  </w14:solidFill>
                </w14:textFill>
              </w:rPr>
            </w:pPr>
          </w:p>
          <w:p>
            <w:pPr>
              <w:pStyle w:val="4"/>
              <w:rPr>
                <w:color w:val="000000" w:themeColor="text1"/>
                <w:sz w:val="24"/>
                <w14:textFill>
                  <w14:solidFill>
                    <w14:schemeClr w14:val="tx1"/>
                  </w14:solidFill>
                </w14:textFill>
              </w:rPr>
            </w:pPr>
          </w:p>
          <w:p/>
          <w:p>
            <w:pPr>
              <w:pStyle w:val="4"/>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pStyle w:val="2"/>
              <w:rPr>
                <w:color w:val="000000" w:themeColor="text1"/>
                <w:sz w:val="24"/>
                <w14:textFill>
                  <w14:solidFill>
                    <w14:schemeClr w14:val="tx1"/>
                  </w14:solidFill>
                </w14:textFill>
              </w:rPr>
            </w:pPr>
          </w:p>
          <w:p>
            <w:pPr>
              <w:pStyle w:val="4"/>
              <w:rPr>
                <w:color w:val="000000" w:themeColor="text1"/>
                <w:sz w:val="24"/>
                <w14:textFill>
                  <w14:solidFill>
                    <w14:schemeClr w14:val="tx1"/>
                  </w14:solidFill>
                </w14:textFill>
              </w:rPr>
            </w:pPr>
          </w:p>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snapToGrid w:val="0"/>
          <w:color w:val="000000" w:themeColor="text1"/>
          <w:kern w:val="2"/>
          <w:sz w:val="36"/>
          <w:szCs w:val="36"/>
          <w14:textFill>
            <w14:solidFill>
              <w14:schemeClr w14:val="tx1"/>
            </w14:solidFill>
          </w14:textFill>
        </w:rPr>
        <w:br w:type="page"/>
      </w:r>
      <w:r>
        <w:rPr>
          <w:rFonts w:ascii="Times New Roman" w:hAnsi="Times New Roman"/>
          <w:b/>
          <w:snapToGrid w:val="0"/>
          <w:color w:val="000000" w:themeColor="text1"/>
          <w:sz w:val="30"/>
          <w:szCs w:val="30"/>
          <w14:textFill>
            <w14:solidFill>
              <w14:schemeClr w14:val="tx1"/>
            </w14:solidFill>
          </w14:textFill>
        </w:rPr>
        <w:t>四、生态环境影响分析</w:t>
      </w:r>
    </w:p>
    <w:tbl>
      <w:tblPr>
        <w:tblStyle w:val="30"/>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7"/>
        <w:gridCol w:w="79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447" w:type="dxa"/>
            <w:tcMar>
              <w:left w:w="28" w:type="dxa"/>
              <w:right w:w="28" w:type="dxa"/>
            </w:tcMar>
            <w:vAlign w:val="center"/>
          </w:tcPr>
          <w:p>
            <w:pPr>
              <w:pStyle w:val="26"/>
              <w:adjustRightInd w:val="0"/>
              <w:snapToGrid w:val="0"/>
              <w:spacing w:before="0" w:beforeAutospacing="0" w:after="0" w:afterAutospacing="0"/>
              <w:jc w:val="center"/>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spacing w:val="10"/>
                <w:kern w:val="2"/>
                <w14:textFill>
                  <w14:solidFill>
                    <w14:schemeClr w14:val="tx1"/>
                  </w14:solidFill>
                </w14:textFill>
              </w:rPr>
              <w:t>施工期生态环境影响分析</w:t>
            </w:r>
          </w:p>
        </w:tc>
        <w:tc>
          <w:tcPr>
            <w:tcW w:w="7995" w:type="dxa"/>
          </w:tcPr>
          <w:p>
            <w:pPr>
              <w:pStyle w:val="15"/>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1、生态环境影响分析</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根据《甘肃省生态功能区划》，本项目位于黄土高原农业生态区中宁南-陇东黄土丘陵农业生态亚区中的西南部高原沟壑生态恢复区范围内，主要生态功能为土壤保持，生态保护对策主要是塬面发展旱作农业，塬坡和沟谷营造人工林和经济林，固坡保塬，防止溯源侵蚀。施工过程清理地表附着物，尤其是地表植被，遇降水季节和大风天气，会造成水土流失，本工程占地使区域水土保持设施面积减少，增加水土流失。施工过程中，取土场、弃土场应设顺地表横坡的排水沟，将水引出取土区、弃土场，每层的取土面应尽量保持坡面水平，以利迅速排除地表水。取土场内取完土后，根据实地情况在80-230m间设土质或片石排水沟，以防取土坑积水，铺设表土，对边坡及开挖区进行植草坡（撒草籽）和植树防护。路线两侧设排水沟等排水设施，可最大限度地减少水土流失。在临时堆土完毕后，临时堆土场地作为项目的一部分，进行原状恢复。临时表土堆放场地，其周边应挖好排水沟及临时沉沙凼，避免雨季时的水土流失。堆土的边坡要小，尽量压实，设置挡墙、临时遮盖等措施使其不易被雨水冲刷造成流失。施工完成后，尽快完成覆土翻耕。因此不会改变目前的生态功能区功能。</w:t>
            </w:r>
          </w:p>
          <w:p>
            <w:pPr>
              <w:pStyle w:val="15"/>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2、大气环境影响分析</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（1）扬尘</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扬尘主要包括：基础开挖、回填等作业产生的扬尘；施工渣土堆场扬尘；筑路材料堆放、搬运、装卸等产生的扬尘；施工垃圾的清理及堆放扬尘；车辆运输产生的道路扬尘。扬尘与路面情况、管理措施密切相关，道路扬尘浓度随着离扬尘点的距离的增加而迅速下降，影响范围一般在道路两侧200m内。</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根据对同类工程施工现场实测，风速≥3.5m/s时，相对湿度≤60%施工扬尘影响强度和范围见表4-1。</w:t>
            </w:r>
          </w:p>
          <w:p>
            <w:pPr>
              <w:pStyle w:val="70"/>
              <w:autoSpaceDE w:val="0"/>
              <w:autoSpaceDN w:val="0"/>
              <w:spacing w:line="240" w:lineRule="auto"/>
              <w:ind w:firstLine="422" w:firstLineChars="20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表4-1  施工扬尘影响程度</w:t>
            </w:r>
          </w:p>
          <w:tbl>
            <w:tblPr>
              <w:tblStyle w:val="30"/>
              <w:tblW w:w="776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044"/>
              <w:gridCol w:w="1046"/>
              <w:gridCol w:w="1046"/>
              <w:gridCol w:w="1046"/>
              <w:gridCol w:w="1046"/>
              <w:gridCol w:w="10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下风向距离</w:t>
                  </w:r>
                </w:p>
              </w:tc>
              <w:tc>
                <w:tcPr>
                  <w:tcW w:w="1044"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m</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10</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20</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30</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50</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TSP浓度</w:t>
                  </w:r>
                </w:p>
              </w:tc>
              <w:tc>
                <w:tcPr>
                  <w:tcW w:w="1044"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mg/m</w:t>
                  </w:r>
                  <w:r>
                    <w:rPr>
                      <w:color w:val="000000" w:themeColor="text1"/>
                      <w:kern w:val="18"/>
                      <w:vertAlign w:val="superscript"/>
                      <w14:textFill>
                        <w14:solidFill>
                          <w14:schemeClr w14:val="tx1"/>
                        </w14:solidFill>
                      </w14:textFill>
                    </w:rPr>
                    <w:t>3</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10.14</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2.89</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1.15</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0.86</w:t>
                  </w:r>
                </w:p>
              </w:tc>
              <w:tc>
                <w:tcPr>
                  <w:tcW w:w="1046"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0.61</w:t>
                  </w:r>
                </w:p>
              </w:tc>
            </w:tr>
          </w:tbl>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施工期扬尘对周围100m范围的空气环境产生较大的影响，但采取一定措施可有效防止扬尘污染，施工场地洒水抑尘后扬尘影响情况见表4-2。</w:t>
            </w:r>
          </w:p>
          <w:p>
            <w:pPr>
              <w:pStyle w:val="70"/>
              <w:autoSpaceDE w:val="0"/>
              <w:autoSpaceDN w:val="0"/>
              <w:spacing w:line="240" w:lineRule="auto"/>
              <w:ind w:firstLine="422" w:firstLineChars="200"/>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表4-2  施工期洒水降尘后的扬尘影响程度</w:t>
            </w:r>
          </w:p>
          <w:tbl>
            <w:tblPr>
              <w:tblStyle w:val="30"/>
              <w:tblW w:w="776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090"/>
              <w:gridCol w:w="1048"/>
              <w:gridCol w:w="1048"/>
              <w:gridCol w:w="1048"/>
              <w:gridCol w:w="1048"/>
              <w:gridCol w:w="104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下风向距离</w:t>
                  </w:r>
                </w:p>
              </w:tc>
              <w:tc>
                <w:tcPr>
                  <w:tcW w:w="1090"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m</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20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30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50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9"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TSP浓度</w:t>
                  </w:r>
                </w:p>
              </w:tc>
              <w:tc>
                <w:tcPr>
                  <w:tcW w:w="1090"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mg/m</w:t>
                  </w:r>
                  <w:r>
                    <w:rPr>
                      <w:color w:val="000000" w:themeColor="text1"/>
                      <w:kern w:val="18"/>
                      <w:vertAlign w:val="superscript"/>
                      <w14:textFill>
                        <w14:solidFill>
                          <w14:schemeClr w14:val="tx1"/>
                        </w14:solidFill>
                      </w14:textFill>
                    </w:rPr>
                    <w:t>3</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2.10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1.40</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0.67</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0.27</w:t>
                  </w:r>
                </w:p>
              </w:tc>
              <w:tc>
                <w:tcPr>
                  <w:tcW w:w="1048" w:type="dxa"/>
                  <w:vAlign w:val="center"/>
                </w:tcPr>
                <w:p>
                  <w:pPr>
                    <w:jc w:val="center"/>
                    <w:rPr>
                      <w:color w:val="000000" w:themeColor="text1"/>
                      <w:kern w:val="18"/>
                      <w14:textFill>
                        <w14:solidFill>
                          <w14:schemeClr w14:val="tx1"/>
                        </w14:solidFill>
                      </w14:textFill>
                    </w:rPr>
                  </w:pPr>
                  <w:r>
                    <w:rPr>
                      <w:color w:val="000000" w:themeColor="text1"/>
                      <w:kern w:val="18"/>
                      <w14:textFill>
                        <w14:solidFill>
                          <w14:schemeClr w14:val="tx1"/>
                        </w14:solidFill>
                      </w14:textFill>
                    </w:rPr>
                    <w:t>0.21</w:t>
                  </w:r>
                </w:p>
              </w:tc>
            </w:tr>
          </w:tbl>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由表4-4可知，对施工场地和运输道路进行洒水，可有效的减小扬尘的危害。本项目路段位于乡村，距离沿线居民等环境敏感点较近，须严格规范施工管理制度，文明施工，对生活垃圾、建筑垃圾定点堆放，及时清运处置；对工地道路、施工作业面定期适时洒水，减少施工期扬尘对周围环境的影响。</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（2）运输车辆及作业机械排放的尾气</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施工作业机械如推土机、压路机、运输车辆等会排放尾气，施工作业机械和运输车辆均以柴油作为动力源，施工作业机械和运输车辆产生的尾气主要污染物为CO、THC、NO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等。本项目处于农村，且工程量较小，周围地势开阔，大气扩散条件好，只要在施工过程中加强车辆管理，合理安排，项目施工将不会造成明显的环境空气质量影响，并且其影响具有局部和间断性特点，随着施工的结束，其影响亦将随之消除。</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（3）沥青烟气</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项目在摊铺沥青过程中会产生少量沥青烟气，沥青烟气中含有苯并芘等有毒有害物质，环评建议施工人员佩戴口罩和手套进行防护，随着铺路的结束此类影响将消失。</w:t>
            </w:r>
          </w:p>
          <w:p>
            <w:pPr>
              <w:pStyle w:val="15"/>
              <w:spacing w:line="360" w:lineRule="auto"/>
              <w:rPr>
                <w:b/>
                <w:bCs/>
                <w:color w:val="000000" w:themeColor="text1"/>
                <w:sz w:val="24"/>
                <w14:textFill>
                  <w14:solidFill>
                    <w14:schemeClr w14:val="tx1"/>
                  </w14:solidFill>
                </w14:textFill>
              </w:rPr>
            </w:pPr>
            <w:r>
              <w:rPr>
                <w:b/>
                <w:bCs/>
                <w:color w:val="000000" w:themeColor="text1"/>
                <w:sz w:val="24"/>
                <w:szCs w:val="36"/>
                <w14:textFill>
                  <w14:solidFill>
                    <w14:schemeClr w14:val="tx1"/>
                  </w14:solidFill>
                </w14:textFill>
              </w:rPr>
              <w:t>3、水环境影响分析</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本项目施工人员多来自附近，不设施工营地，项目施工期废水主要为施工废水。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施工废水主要包括施工机械跑、冒、滴、漏的污油及冲洗后产生的油污水，基础开挖、道路铺装过程中产生的泥浆水，工程养护废水，暴雨后的地表径流冲刷浮土、建筑砂石，垃圾等形成的泥浆水等。</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评要求在施工现场开挖形成临时废水沉淀池，可用防水布或塑料薄膜防渗，废水排入沉淀池后静置沉淀2h，处理后废水全部回用不外排，泥浆在间歇期通过蒸发、晒干等自然干化脱水，外运至就近垃圾填埋场，施工结束后沉淀池填埋处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采取上述措施后，施工期生产废水不会对周围水环境造成明显影响。施工期的环境影响是暂时的，随着基础施工的结束，这种影响将逐渐消失。</w:t>
            </w:r>
          </w:p>
          <w:p>
            <w:pPr>
              <w:spacing w:line="360" w:lineRule="auto"/>
              <w:ind w:firstLine="480" w:firstLineChars="200"/>
              <w:outlineLvl w:val="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区域雨季多集中在七、八月份，占全年降水量的60%~65%。雨季施工作业，雨水冲刷作业面，易形成地表雨污水径流，产生大量的泥污水，如不采取必要的疏导措施，则雨污水流入河流对河流水环境造成一定的污染影响。因此，施工过程中应做好临时雨污水导排设施，确保雨污水合理排放，防止雨污水漫流对区域环境造成不良影响。</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本项目穿越</w:t>
            </w:r>
            <w:r>
              <w:rPr>
                <w:rFonts w:hint="eastAsia"/>
                <w:bCs/>
                <w:color w:val="000000" w:themeColor="text1"/>
                <w:sz w:val="24"/>
                <w14:textFill>
                  <w14:solidFill>
                    <w14:schemeClr w14:val="tx1"/>
                  </w14:solidFill>
                </w14:textFill>
              </w:rPr>
              <w:t>宁县春荣镇路户村安头组2#机井水源地二级保护区</w:t>
            </w:r>
            <w:r>
              <w:rPr>
                <w:rFonts w:hint="eastAsia"/>
                <w:color w:val="000000" w:themeColor="text1"/>
                <w:sz w:val="24"/>
                <w14:textFill>
                  <w14:solidFill>
                    <w14:schemeClr w14:val="tx1"/>
                  </w14:solidFill>
                </w14:textFill>
              </w:rPr>
              <w:t>，地址位置特殊，为了确保项目施工期对饮用水源不会造成影响，应严格按照以下水污染防治措施进行实施，确保环保措施落实到位。</w:t>
            </w:r>
          </w:p>
          <w:p>
            <w:pPr>
              <w:spacing w:line="360" w:lineRule="auto"/>
              <w:ind w:firstLine="480" w:firstLineChars="200"/>
              <w:rPr>
                <w:color w:val="000000" w:themeColor="text1"/>
                <w:sz w:val="24"/>
                <w:highlight w:val="yellow"/>
                <w14:textFill>
                  <w14:solidFill>
                    <w14:schemeClr w14:val="tx1"/>
                  </w14:solidFill>
                </w14:textFill>
              </w:rPr>
            </w:pPr>
            <w:r>
              <w:rPr>
                <w:rFonts w:hint="eastAsia"/>
                <w:color w:val="000000" w:themeColor="text1"/>
                <w:sz w:val="24"/>
                <w14:textFill>
                  <w14:solidFill>
                    <w14:schemeClr w14:val="tx1"/>
                  </w14:solidFill>
                </w14:textFill>
              </w:rPr>
              <w:t>①宣传饮用水源保护相关法律法规，促使建设单位和施工单位重视沿线饮用水源的保护，严格贯彻国家和地方相关法律法规中有关饮用水源的规定。</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②加强施工管理，合理安排施工期，要求在非汛期施工，杜绝破坏水源地各种设施和取水井；严禁在水源地附近或上游随意打井取水，保证水源地供水量。</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禁止在饮用水水源准保护区范围内设立施工营地、搅拌站、预制场等施工场所；施工人员居住也可租用施工路段附近村庄的民房，避免新建施工营地；物料的堆放应远离保护区，堆放前地面应进行硬化，修建围栏进行遮盖，防止其被雨水冲刷。施工期间对施工场地进行洒水处理，保持路面一定湿度，防止产生大量的道路扬尘。</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④加强施工管理，严格控制施工范围，施工期间在水源保护区路段及两侧的施工区域边界设置临时围栏，防止施工物料、土石填料、弃渣等进入水源保护区。</w:t>
            </w:r>
          </w:p>
          <w:p>
            <w:pPr>
              <w:spacing w:line="360" w:lineRule="auto"/>
              <w:ind w:firstLine="480" w:firstLineChars="200"/>
              <w:rPr>
                <w:color w:val="000000" w:themeColor="text1"/>
                <w:sz w:val="24"/>
                <w:highlight w:val="yellow"/>
                <w14:textFill>
                  <w14:solidFill>
                    <w14:schemeClr w14:val="tx1"/>
                  </w14:solidFill>
                </w14:textFill>
              </w:rPr>
            </w:pPr>
            <w:r>
              <w:rPr>
                <w:rFonts w:hint="eastAsia" w:ascii="宋体" w:hAnsi="宋体"/>
                <w:color w:val="000000" w:themeColor="text1"/>
                <w:sz w:val="24"/>
                <w14:textFill>
                  <w14:solidFill>
                    <w14:schemeClr w14:val="tx1"/>
                  </w14:solidFill>
                </w14:textFill>
              </w:rPr>
              <w:t>⑤</w:t>
            </w:r>
            <w:r>
              <w:rPr>
                <w:rFonts w:hint="eastAsia"/>
                <w:color w:val="000000" w:themeColor="text1"/>
                <w:sz w:val="24"/>
                <w14:textFill>
                  <w14:solidFill>
                    <w14:schemeClr w14:val="tx1"/>
                  </w14:solidFill>
                </w14:textFill>
              </w:rPr>
              <w:t>在水源保护区施工边界立牌标明“</w:t>
            </w:r>
            <w:r>
              <w:rPr>
                <w:rFonts w:hint="eastAsia"/>
                <w:bCs/>
                <w:color w:val="000000" w:themeColor="text1"/>
                <w:sz w:val="24"/>
                <w14:textFill>
                  <w14:solidFill>
                    <w14:schemeClr w14:val="tx1"/>
                  </w14:solidFill>
                </w14:textFill>
              </w:rPr>
              <w:t>宁县春荣镇路户村安头组2#机井水源地二级保护区</w:t>
            </w:r>
            <w:r>
              <w:rPr>
                <w:rFonts w:hint="eastAsia"/>
                <w:color w:val="000000" w:themeColor="text1"/>
                <w:sz w:val="24"/>
                <w14:textFill>
                  <w14:solidFill>
                    <w14:schemeClr w14:val="tx1"/>
                  </w14:solidFill>
                </w14:textFill>
              </w:rPr>
              <w:t>”的字样，提醒施工人员保护，建议施工前与该水源地沟通联系，协商解决水源地附近施工过程中保护饮用水源的方案。</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⑥禁止在水源地保护区范围设取土、弃渣场，禁止向水源保护区及其附近河道倾倒、排放废渣和生活垃圾、污水及其他废弃物，洒漏的机械油污等进行回收处理，杜绝其进入水源保护区。</w:t>
            </w:r>
          </w:p>
          <w:p>
            <w:pPr>
              <w:pStyle w:val="15"/>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4、声环境影响分析</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施工期机械设备噪声源可近似为点源，根据点源声衰减模式，计算施工期离声源不同距离处的噪声值，预测模式如下：</w:t>
            </w:r>
          </w:p>
          <w:p>
            <w:pPr>
              <w:spacing w:line="360" w:lineRule="auto"/>
              <w:jc w:val="center"/>
              <w:outlineLvl w:val="2"/>
              <w:rPr>
                <w:color w:val="000000" w:themeColor="text1"/>
                <w:sz w:val="24"/>
                <w14:textFill>
                  <w14:solidFill>
                    <w14:schemeClr w14:val="tx1"/>
                  </w14:solidFill>
                </w14:textFill>
              </w:rPr>
            </w:pP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―距声源r处的施工噪声预测值dB（A）；</w:t>
            </w:r>
          </w:p>
          <w:p>
            <w:pPr>
              <w:spacing w:line="360" w:lineRule="auto"/>
              <w:ind w:firstLine="1200" w:firstLineChars="5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p0</w:t>
            </w:r>
            <w:r>
              <w:rPr>
                <w:color w:val="000000" w:themeColor="text1"/>
                <w:sz w:val="24"/>
                <w14:textFill>
                  <w14:solidFill>
                    <w14:schemeClr w14:val="tx1"/>
                  </w14:solidFill>
                </w14:textFill>
              </w:rPr>
              <w:t>―距声源r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处的参考声级dB（A）。</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主要施工设备噪声距离衰减情况见表4-3。</w:t>
            </w:r>
          </w:p>
          <w:p>
            <w:pPr>
              <w:adjustRightInd w:val="0"/>
              <w:snapToGrid w:val="0"/>
              <w:jc w:val="center"/>
              <w:outlineLvl w:val="2"/>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表4-3  施工机械不同距离处的噪声级  单位：dB（A）</w:t>
            </w:r>
          </w:p>
          <w:tbl>
            <w:tblPr>
              <w:tblStyle w:val="30"/>
              <w:tblW w:w="7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20"/>
              <w:gridCol w:w="757"/>
              <w:gridCol w:w="869"/>
              <w:gridCol w:w="869"/>
              <w:gridCol w:w="869"/>
              <w:gridCol w:w="869"/>
              <w:gridCol w:w="909"/>
              <w:gridCol w:w="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614" w:type="dxa"/>
                  <w:vMerge w:val="restar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320" w:type="dxa"/>
                  <w:vMerge w:val="restart"/>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机械类型</w:t>
                  </w:r>
                </w:p>
              </w:tc>
              <w:tc>
                <w:tcPr>
                  <w:tcW w:w="6064" w:type="dxa"/>
                  <w:gridSpan w:val="7"/>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噪声预测值dB（A）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14" w:type="dxa"/>
                  <w:vMerge w:val="continue"/>
                  <w:tcBorders>
                    <w:tl2br w:val="nil"/>
                    <w:tr2bl w:val="nil"/>
                  </w:tcBorders>
                  <w:vAlign w:val="center"/>
                </w:tcPr>
                <w:p>
                  <w:pPr>
                    <w:widowControl/>
                    <w:jc w:val="left"/>
                    <w:rPr>
                      <w:color w:val="000000" w:themeColor="text1"/>
                      <w14:textFill>
                        <w14:solidFill>
                          <w14:schemeClr w14:val="tx1"/>
                        </w14:solidFill>
                      </w14:textFill>
                    </w:rPr>
                  </w:pPr>
                </w:p>
              </w:tc>
              <w:tc>
                <w:tcPr>
                  <w:tcW w:w="1320" w:type="dxa"/>
                  <w:vMerge w:val="continue"/>
                  <w:tcBorders>
                    <w:tl2br w:val="nil"/>
                    <w:tr2bl w:val="nil"/>
                  </w:tcBorders>
                  <w:vAlign w:val="center"/>
                </w:tcPr>
                <w:p>
                  <w:pPr>
                    <w:widowControl/>
                    <w:jc w:val="left"/>
                    <w:rPr>
                      <w:color w:val="000000" w:themeColor="text1"/>
                      <w14:textFill>
                        <w14:solidFill>
                          <w14:schemeClr w14:val="tx1"/>
                        </w14:solidFill>
                      </w14:textFill>
                    </w:rPr>
                  </w:pPr>
                </w:p>
              </w:tc>
              <w:tc>
                <w:tcPr>
                  <w:tcW w:w="757"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5m</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10m</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20m</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40m</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60m</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100m</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装载机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72</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64</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推土机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64</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液压挖掘机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72</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66</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62</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58</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打桩机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88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82</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78</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74</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平地机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72</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64</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摊铺机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87</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81</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69</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65</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61</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压路机</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64</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1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132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混凝土泵车</w:t>
                  </w:r>
                </w:p>
              </w:tc>
              <w:tc>
                <w:tcPr>
                  <w:tcW w:w="757"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86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78</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72</w:t>
                  </w:r>
                </w:p>
              </w:tc>
              <w:tc>
                <w:tcPr>
                  <w:tcW w:w="86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90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64</w:t>
                  </w:r>
                </w:p>
              </w:tc>
              <w:tc>
                <w:tcPr>
                  <w:tcW w:w="92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58</w:t>
                  </w:r>
                </w:p>
              </w:tc>
            </w:tr>
          </w:tbl>
          <w:p>
            <w:pPr>
              <w:spacing w:line="360" w:lineRule="auto"/>
              <w:ind w:firstLine="480" w:firstLineChars="200"/>
              <w:outlineLvl w:val="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预测结果可知，本项目施工期采取围挡措施、设置封闭的护围结构和移动式声屏障、缩短施工作业时间，合理安排施工阶段，避免多台高噪声设备同时施工，加快施工进度，夜间禁止施工后，可减小项目施工噪声对周围居民的影响。采取以上措施后施工期施工噪声对道路沿线敏感点影响较小，满足《建筑施工场界噪声排放标准》（GB12523－2011）标准</w:t>
            </w:r>
            <w:r>
              <w:rPr>
                <w:color w:val="000000" w:themeColor="text1"/>
                <w:sz w:val="24"/>
                <w14:textFill>
                  <w14:solidFill>
                    <w14:schemeClr w14:val="tx1"/>
                  </w14:solidFill>
                </w14:textFill>
              </w:rPr>
              <w:t>。</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5、</w:t>
            </w:r>
            <w:r>
              <w:rPr>
                <w:b/>
                <w:color w:val="000000" w:themeColor="text1"/>
                <w:sz w:val="24"/>
                <w14:textFill>
                  <w14:solidFill>
                    <w14:schemeClr w14:val="tx1"/>
                  </w14:solidFill>
                </w14:textFill>
              </w:rPr>
              <w:t>固体废弃物环境影响分析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本项目在施工期产生的固体废弃物主要为施工人员产生的生活垃圾和部分建筑垃圾。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（1）生活垃圾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项目施工期高峰人数约20人，工期</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个月，施工人员生活垃圾产生量按0.5kg/人·d计，整个施工期生活垃圾产生量为</w:t>
            </w:r>
            <w:r>
              <w:rPr>
                <w:rFonts w:hint="eastAsia"/>
                <w:color w:val="000000" w:themeColor="text1"/>
                <w:sz w:val="24"/>
                <w14:textFill>
                  <w14:solidFill>
                    <w14:schemeClr w14:val="tx1"/>
                  </w14:solidFill>
                </w14:textFill>
              </w:rPr>
              <w:t>1.8</w:t>
            </w:r>
            <w:r>
              <w:rPr>
                <w:color w:val="000000" w:themeColor="text1"/>
                <w:sz w:val="24"/>
                <w14:textFill>
                  <w14:solidFill>
                    <w14:schemeClr w14:val="tx1"/>
                  </w14:solidFill>
                </w14:textFill>
              </w:rPr>
              <w:t>t，生活垃圾应定点收集，交由环卫部门统一运至政府指定的生活垃圾填埋场处理，对周围环境影响较小。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（2）建筑垃圾</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施工期建筑垃圾主要类型为路基处理开挖的泥土、施工过程中的残余混凝土、碎石、钢材边角料等，这类垃圾基本上不溶解或溶解度很低、不飞扬、不腐烂变质，如管理不当，随意丢弃，将会影响周围环境。其中土方、碎石可用于基础回填，不能回用的运至指定建筑垃圾填埋场处置，不会对周围环境产生较大影响。</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6、交通环境影响分析</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本工程为改建工程，施工时应做好交通指挥工作，道路施工对原老路交通影响较大。施工期间路面需分两幅先后施工，施工期间由双向四车道调整为双向两车道。路面施工阶段可根据老路现有路面状况，通过合理组织各地的车流来分段施工。而分段的另一层含义是根据工程量的大小进度的要求，合理安排施工力量，分段安排，确保工期。</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本工程建设施工将增加另一幅道路的车流量，会使项目分段施工段及各道路交叉口的交通出现堵塞现象。在施工期内，应和交通管理部门沟通，合理制定施工运输车辆运输路线、运输时间，加强现场指挥管理，安排专人进行交通疏导，并且项目分段施工、分段回填，对周边道路交通的影响是局部的、暂时的，随着施工期的结束，影响也随之消失。</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7、对沿线住户的影响分析</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会对沿线居民生活、工作学习、交通、出行带来不便。道路施工引起噪声、扬尘对沿线环境的影响，进而影响临近住户的生活质量，只要采取相应的防治措施及减缓措施，对沿线敏感点的上述影响将减至最低程度，并随着施工期的结束而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447" w:type="dxa"/>
            <w:tcMar>
              <w:left w:w="28" w:type="dxa"/>
              <w:right w:w="28" w:type="dxa"/>
            </w:tcMar>
            <w:vAlign w:val="center"/>
          </w:tcPr>
          <w:p>
            <w:pPr>
              <w:pStyle w:val="26"/>
              <w:adjustRightInd w:val="0"/>
              <w:snapToGrid w:val="0"/>
              <w:spacing w:before="0" w:beforeAutospacing="0" w:after="0" w:afterAutospacing="0"/>
              <w:jc w:val="center"/>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spacing w:val="10"/>
                <w:kern w:val="2"/>
                <w14:textFill>
                  <w14:solidFill>
                    <w14:schemeClr w14:val="tx1"/>
                  </w14:solidFill>
                </w14:textFill>
              </w:rPr>
              <w:t>运营期生态环境影响分析</w:t>
            </w:r>
          </w:p>
        </w:tc>
        <w:tc>
          <w:tcPr>
            <w:tcW w:w="7995" w:type="dxa"/>
          </w:tcPr>
          <w:p>
            <w:pPr>
              <w:spacing w:line="360" w:lineRule="auto"/>
              <w:contextualSpacing/>
              <w:outlineLvl w:val="2"/>
              <w:rPr>
                <w:b/>
                <w:color w:val="000000" w:themeColor="text1"/>
                <w:sz w:val="24"/>
                <w14:textFill>
                  <w14:solidFill>
                    <w14:schemeClr w14:val="tx1"/>
                  </w14:solidFill>
                </w14:textFill>
              </w:rPr>
            </w:pPr>
            <w:r>
              <w:rPr>
                <w:b/>
                <w:color w:val="000000" w:themeColor="text1"/>
                <w:sz w:val="24"/>
                <w14:textFill>
                  <w14:solidFill>
                    <w14:schemeClr w14:val="tx1"/>
                  </w14:solidFill>
                </w14:textFill>
              </w:rPr>
              <w:t>运行期</w:t>
            </w:r>
          </w:p>
          <w:p>
            <w:pPr>
              <w:spacing w:line="360" w:lineRule="auto"/>
              <w:ind w:firstLine="482" w:firstLineChars="200"/>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1、大气环境影响分析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本项目机动车尾气中CO、NO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的排放速率均较低。汽车尾气是随距离道路增加而随之衰减的，一般情况下污染物最大落地浓度大多出现在路面范围内，随着距离增加，CO、NO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会出现较大幅度的衰减。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路面采用沥青混凝土，因而扬尘污染较小；但随着本路交通量的不断增大，汽车尾气排放量也呈增加趋势，加剧了对大气环境的污染，因此，建议有关部门加强管理，严格执行国家规定的汽车尾气排放标准，减少汽车尾气污染物的排放量。加强路面养护，使其经常处于良好状态，尽可能减小路面坡度。同时，该项目所在地是典型的农村自然环境，周围地势开阔，根据环境监测站的大气环境监测结果，表明项目所在区大气环境质量较好。项目所在地区植被茂盛，亦具有较好的空气净化效果。</w:t>
            </w:r>
          </w:p>
          <w:p>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因此，在加强管理的基础上，项目在营运期不会对当地大气环境产生明显影响。</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2、水环境影响分析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营运期对水体产生影响主要来自暴雨冲刷路面，形成地面径流污染水体，运输中事故泄露对区域地表水的影响。其中路面雨水径流是造成道路沿线水环境污染的主要形式，它有可能携带路面扬尘，尾气排放物及汽车漏油等污染物进入水体。</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随着降雨时间延长，路面径流中污染物含量降低，对水体污染减少。建议通过加强营运期管理，及时清除运输车辆抛洒在路面的污染物，保持路面清洁，达到改善径流水质和保护地表水体的目的。</w:t>
            </w:r>
          </w:p>
          <w:p>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项目在采取以上措施后，本项目运营期产生的废水不会对沿线水环境造成太大影响</w:t>
            </w:r>
            <w:r>
              <w:rPr>
                <w:bCs/>
                <w:color w:val="000000" w:themeColor="text1"/>
                <w:sz w:val="24"/>
                <w14:textFill>
                  <w14:solidFill>
                    <w14:schemeClr w14:val="tx1"/>
                  </w14:solidFill>
                </w14:textFill>
              </w:rPr>
              <w:t>。</w:t>
            </w:r>
          </w:p>
          <w:p>
            <w:pPr>
              <w:tabs>
                <w:tab w:val="left" w:pos="3673"/>
              </w:tabs>
              <w:spacing w:line="360" w:lineRule="auto"/>
              <w:ind w:firstLine="482" w:firstLineChars="200"/>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3、声环境影响分析</w:t>
            </w:r>
          </w:p>
          <w:p>
            <w:pPr>
              <w:tabs>
                <w:tab w:val="left" w:pos="3673"/>
              </w:tabs>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具体见声环境影响专章。</w:t>
            </w:r>
          </w:p>
          <w:p>
            <w:pPr>
              <w:tabs>
                <w:tab w:val="left" w:pos="3673"/>
              </w:tabs>
              <w:spacing w:line="360" w:lineRule="auto"/>
              <w:ind w:firstLine="482" w:firstLineChars="200"/>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4、固体废物环境影响分析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营运期固体废弃物主要为道路沿线过往行人产生的垃圾，由环卫部门统一收集后清运，进行无害化处理。由于产生的垃圾数量较少，成分较单一，因此对环境的影响很小，但是如处理不当会破坏地貌和植被的优美形态，造成视觉污染，影响道路两侧的景观舒适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由交通事故产生的含油、含油漆等固体废弃物，属危险废物，应送有资质的单位进行妥善处置。</w:t>
            </w:r>
          </w:p>
          <w:p>
            <w:pPr>
              <w:spacing w:before="120" w:beforeLines="50"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综上处理，固体废物对环境的不利影响很小。</w:t>
            </w:r>
          </w:p>
          <w:p>
            <w:pPr>
              <w:tabs>
                <w:tab w:val="left" w:pos="3673"/>
              </w:tabs>
              <w:spacing w:line="360" w:lineRule="auto"/>
              <w:ind w:firstLine="482" w:firstLineChars="200"/>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5、社会环境影响分析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的建设将极大地改善本区域的交通条件，促进区域资源优势向经济优势的转化，扩大产品市场范围，增强企业竞争力，形成新的经济增长带，促进区域经济社会全面协调和可持续发展，对经济社会和人民生活产生非常积极的影响。</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对交通安全的影响</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原有道路已破损不堪，危险路段没有采取任何防护措施，路况很差，部分路面坑洼不平、坑槽等严重病害，路基残蚀缺口、边沟堵塞，道路每逢雨天，泥泞难行，严重影响行车安全。随着经济的发展，交通量及重载车辆的日益增加，现有路面的服务水平，已不能满足行车需求。本项目的建设改善了道路通行能力，加快了当地交通基础设施建设，完善了路网结构，提高了车辆运行安全性，也使现有街道化程度较高的路段居民出行更为安全。</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对就业的影响</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设期增加了当地农民的就业机会，同时将吸引大量的外来民工，将对当地第三产业发展起到很大的促进作用。项目的建设还将消耗大量的物资，如水泥、沙石材料等，一般就近选取，这也将带动当地经济的发展。</w:t>
            </w:r>
          </w:p>
          <w:p>
            <w:pPr>
              <w:spacing w:line="360" w:lineRule="auto"/>
              <w:ind w:firstLine="482" w:firstLineChars="200"/>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6、事故风险环境影响分析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本项目穿越</w:t>
            </w:r>
            <w:r>
              <w:rPr>
                <w:rFonts w:hint="eastAsia"/>
                <w:bCs/>
                <w:color w:val="000000" w:themeColor="text1"/>
                <w:sz w:val="24"/>
                <w14:textFill>
                  <w14:solidFill>
                    <w14:schemeClr w14:val="tx1"/>
                  </w14:solidFill>
                </w14:textFill>
              </w:rPr>
              <w:t>宁县春荣镇路户村安头组2#机井水源地二级保护区</w:t>
            </w:r>
            <w:r>
              <w:rPr>
                <w:rFonts w:hint="eastAsia"/>
                <w:color w:val="000000" w:themeColor="text1"/>
                <w:sz w:val="24"/>
                <w14:textFill>
                  <w14:solidFill>
                    <w14:schemeClr w14:val="tx1"/>
                  </w14:solidFill>
                </w14:textFill>
              </w:rPr>
              <w:t>，根据《集中式饮用水水源地规范化建设环境保护技术》，应设置禁止运输危险化学品的标识标牌。拟建道路全线发生危险品运输事故的概率较小，但是一旦发生危险品运输翻车泄漏事故，仍会对区域水环境造成污染和破坏，因此，应制定危险品运输事故污染风险防治措施及应急预案。</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道路运输系统中最危险的为危险化学品的运输，由危险化学品及其包装、车辆的设备设施状况、有关人员、道路条件状况及环境因素所构成。尽管造成道路运输发生事故的直接原因众多，但主要可以归结为安全管理、人员操作情况、车辆设备设施状况及道路环境状况等4个方面。</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（1）危险化学品分类</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危险性分类依据《化学品分类和危险性公示 通则》（GB13690-2009）和《危险货物分类和品名编号》（GB6944-2012）两个标准，将危险化学品按其危险性划分为9类20项，具体见表</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6。</w:t>
            </w:r>
          </w:p>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w:t>
            </w:r>
            <w:r>
              <w:rPr>
                <w:b/>
                <w:color w:val="000000" w:themeColor="text1"/>
                <w:szCs w:val="21"/>
                <w14:textFill>
                  <w14:solidFill>
                    <w14:schemeClr w14:val="tx1"/>
                  </w14:solidFill>
                </w14:textFill>
              </w:rPr>
              <w:t>4-</w:t>
            </w:r>
            <w:r>
              <w:rPr>
                <w:rFonts w:hint="eastAsia"/>
                <w:b/>
                <w:color w:val="000000" w:themeColor="text1"/>
                <w:szCs w:val="21"/>
                <w14:textFill>
                  <w14:solidFill>
                    <w14:schemeClr w14:val="tx1"/>
                  </w14:solidFill>
                </w14:textFill>
              </w:rPr>
              <w:t>6  危险化学品分类</w:t>
            </w:r>
          </w:p>
          <w:tbl>
            <w:tblPr>
              <w:tblStyle w:val="30"/>
              <w:tblW w:w="805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158"/>
              <w:gridCol w:w="871"/>
              <w:gridCol w:w="31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第1类</w:t>
                  </w:r>
                </w:p>
              </w:tc>
              <w:tc>
                <w:tcPr>
                  <w:tcW w:w="3158" w:type="dxa"/>
                  <w:tcBorders>
                    <w:tl2br w:val="nil"/>
                    <w:tr2bl w:val="nil"/>
                  </w:tcBorders>
                  <w:vAlign w:val="center"/>
                </w:tcPr>
                <w:p>
                  <w:pPr>
                    <w:widowControl/>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爆炸品</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第4类</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易燃固体、</w:t>
                  </w:r>
                  <w:r>
                    <w:rPr>
                      <w:rFonts w:hint="eastAsia"/>
                      <w:b/>
                      <w:color w:val="000000" w:themeColor="text1"/>
                      <w:szCs w:val="21"/>
                      <w14:textFill>
                        <w14:solidFill>
                          <w14:schemeClr w14:val="tx1"/>
                        </w14:solidFill>
                      </w14:textFill>
                    </w:rPr>
                    <w:t>易于</w:t>
                  </w:r>
                  <w:r>
                    <w:rPr>
                      <w:b/>
                      <w:color w:val="000000" w:themeColor="text1"/>
                      <w:szCs w:val="21"/>
                      <w14:textFill>
                        <w14:solidFill>
                          <w14:schemeClr w14:val="tx1"/>
                        </w14:solidFill>
                      </w14:textFill>
                    </w:rPr>
                    <w:t>自燃的物质</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遇水放出易燃气体的物质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有整体爆炸危险的物质和物品</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易燃固体、自反应物质和固态退敏爆炸品</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有迸射危险</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但无整体</w:t>
                  </w:r>
                  <w:r>
                    <w:rPr>
                      <w:rFonts w:hint="eastAsia"/>
                      <w:color w:val="000000" w:themeColor="text1"/>
                      <w:kern w:val="0"/>
                      <w:szCs w:val="21"/>
                      <w14:textFill>
                        <w14:solidFill>
                          <w14:schemeClr w14:val="tx1"/>
                        </w14:solidFill>
                      </w14:textFill>
                    </w:rPr>
                    <w:t>爆炸危险的物质和物品。</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易于自燃的物质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1.3项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有燃烧危险并有局部爆炸危险或局部迸射危险或这两种危险都有</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但无整体爆炸危险的物质和物品</w:t>
                  </w:r>
                  <w:r>
                    <w:rPr>
                      <w:rFonts w:hint="eastAsia"/>
                      <w:color w:val="000000" w:themeColor="text1"/>
                      <w:kern w:val="0"/>
                      <w:szCs w:val="21"/>
                      <w14:textFill>
                        <w14:solidFill>
                          <w14:schemeClr w14:val="tx1"/>
                        </w14:solidFill>
                      </w14:textFill>
                    </w:rPr>
                    <w:t>。</w:t>
                  </w:r>
                </w:p>
              </w:tc>
              <w:tc>
                <w:tcPr>
                  <w:tcW w:w="871"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4.3项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遇水放出易燃气体的物质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不呈现重大危险的物质和物品</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第5类</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氧化</w:t>
                  </w:r>
                  <w:r>
                    <w:rPr>
                      <w:rFonts w:hint="eastAsia"/>
                      <w:b/>
                      <w:color w:val="000000" w:themeColor="text1"/>
                      <w:kern w:val="0"/>
                      <w:szCs w:val="21"/>
                      <w14:textFill>
                        <w14:solidFill>
                          <w14:schemeClr w14:val="tx1"/>
                        </w14:solidFill>
                      </w14:textFill>
                    </w:rPr>
                    <w:t>性</w:t>
                  </w:r>
                  <w:r>
                    <w:rPr>
                      <w:b/>
                      <w:color w:val="000000" w:themeColor="text1"/>
                      <w:kern w:val="0"/>
                      <w:szCs w:val="21"/>
                      <w14:textFill>
                        <w14:solidFill>
                          <w14:schemeClr w14:val="tx1"/>
                        </w14:solidFill>
                      </w14:textFill>
                    </w:rPr>
                    <w:t>物质和有机过氧化物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有整体爆炸危险的非常不敏感物质</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氧化性物质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w:t>
                  </w:r>
                  <w:r>
                    <w:rPr>
                      <w:color w:val="000000" w:themeColor="text1"/>
                      <w:kern w:val="0"/>
                      <w:szCs w:val="21"/>
                      <w14:textFill>
                        <w14:solidFill>
                          <w14:schemeClr w14:val="tx1"/>
                        </w14:solidFill>
                      </w14:textFill>
                    </w:rPr>
                    <w:t>整体爆炸危险的极端不敏感物品</w:t>
                  </w:r>
                </w:p>
              </w:tc>
              <w:tc>
                <w:tcPr>
                  <w:tcW w:w="871"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5.2项</w:t>
                  </w:r>
                </w:p>
              </w:tc>
              <w:tc>
                <w:tcPr>
                  <w:tcW w:w="3158"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有机过氧化物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第2类</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气体</w:t>
                  </w:r>
                </w:p>
              </w:tc>
              <w:tc>
                <w:tcPr>
                  <w:tcW w:w="871"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第6类</w:t>
                  </w:r>
                </w:p>
              </w:tc>
              <w:tc>
                <w:tcPr>
                  <w:tcW w:w="3158" w:type="dxa"/>
                  <w:tcBorders>
                    <w:tl2br w:val="nil"/>
                    <w:tr2bl w:val="nil"/>
                  </w:tcBorders>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毒</w:t>
                  </w:r>
                  <w:r>
                    <w:rPr>
                      <w:rFonts w:hint="eastAsia"/>
                      <w:b/>
                      <w:color w:val="000000" w:themeColor="text1"/>
                      <w:kern w:val="0"/>
                      <w:szCs w:val="21"/>
                      <w14:textFill>
                        <w14:solidFill>
                          <w14:schemeClr w14:val="tx1"/>
                        </w14:solidFill>
                      </w14:textFill>
                    </w:rPr>
                    <w:t>性</w:t>
                  </w:r>
                  <w:r>
                    <w:rPr>
                      <w:b/>
                      <w:color w:val="000000" w:themeColor="text1"/>
                      <w:kern w:val="0"/>
                      <w:szCs w:val="21"/>
                      <w14:textFill>
                        <w14:solidFill>
                          <w14:schemeClr w14:val="tx1"/>
                        </w14:solidFill>
                      </w14:textFill>
                    </w:rPr>
                    <w:t>物质和感染性物质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2.1项</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易燃气体</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6.1项</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2.2项</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非易燃无毒气体</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6.2项</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感染性物质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2.3项</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毒性气体</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第7类</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放</w:t>
                  </w:r>
                  <w:r>
                    <w:rPr>
                      <w:b/>
                      <w:color w:val="000000" w:themeColor="text1"/>
                      <w:kern w:val="0"/>
                      <w:szCs w:val="21"/>
                      <w14:textFill>
                        <w14:solidFill>
                          <w14:schemeClr w14:val="tx1"/>
                        </w14:solidFill>
                      </w14:textFill>
                    </w:rPr>
                    <w:t>射性</w:t>
                  </w:r>
                  <w:r>
                    <w:rPr>
                      <w:rFonts w:hint="eastAsia"/>
                      <w:b/>
                      <w:color w:val="000000" w:themeColor="text1"/>
                      <w:kern w:val="0"/>
                      <w:szCs w:val="21"/>
                      <w14:textFill>
                        <w14:solidFill>
                          <w14:schemeClr w14:val="tx1"/>
                        </w14:solidFill>
                      </w14:textFill>
                    </w:rPr>
                    <w:t>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第3类</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易燃液体</w:t>
                  </w:r>
                </w:p>
              </w:tc>
              <w:tc>
                <w:tcPr>
                  <w:tcW w:w="871" w:type="dxa"/>
                  <w:tcBorders>
                    <w:tl2br w:val="nil"/>
                    <w:tr2bl w:val="nil"/>
                  </w:tcBorders>
                  <w:vAlign w:val="center"/>
                </w:tcPr>
                <w:p>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第8类</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腐蚀性物质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158" w:type="dxa"/>
                  <w:tcBorders>
                    <w:tl2br w:val="nil"/>
                    <w:tr2bl w:val="nil"/>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71" w:type="dxa"/>
                  <w:tcBorders>
                    <w:tl2br w:val="nil"/>
                    <w:tr2bl w:val="nil"/>
                  </w:tcBorders>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w:t>
                  </w:r>
                  <w:r>
                    <w:rPr>
                      <w:rFonts w:hint="eastAsia"/>
                      <w:b/>
                      <w:color w:val="000000" w:themeColor="text1"/>
                      <w:szCs w:val="21"/>
                      <w14:textFill>
                        <w14:solidFill>
                          <w14:schemeClr w14:val="tx1"/>
                        </w14:solidFill>
                      </w14:textFill>
                    </w:rPr>
                    <w:t>9</w:t>
                  </w:r>
                  <w:r>
                    <w:rPr>
                      <w:b/>
                      <w:color w:val="000000" w:themeColor="text1"/>
                      <w:szCs w:val="21"/>
                      <w14:textFill>
                        <w14:solidFill>
                          <w14:schemeClr w14:val="tx1"/>
                        </w14:solidFill>
                      </w14:textFill>
                    </w:rPr>
                    <w:t>类</w:t>
                  </w:r>
                </w:p>
              </w:tc>
              <w:tc>
                <w:tcPr>
                  <w:tcW w:w="3158" w:type="dxa"/>
                  <w:tcBorders>
                    <w:tl2br w:val="nil"/>
                    <w:tr2bl w:val="nil"/>
                  </w:tcBorders>
                  <w:vAlign w:val="center"/>
                </w:tcPr>
                <w:p>
                  <w:pPr>
                    <w:widowControl/>
                    <w:adjustRightInd w:val="0"/>
                    <w:snapToGrid w:val="0"/>
                    <w:jc w:val="center"/>
                    <w:rPr>
                      <w:b/>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杂项</w:t>
                  </w:r>
                  <w:r>
                    <w:rPr>
                      <w:b/>
                      <w:color w:val="000000" w:themeColor="text1"/>
                      <w:kern w:val="0"/>
                      <w:szCs w:val="21"/>
                      <w14:textFill>
                        <w14:solidFill>
                          <w14:schemeClr w14:val="tx1"/>
                        </w14:solidFill>
                      </w14:textFill>
                    </w:rPr>
                    <w:t>危险物质和物品</w:t>
                  </w:r>
                  <w:r>
                    <w:rPr>
                      <w:rFonts w:hint="eastAsia"/>
                      <w:b/>
                      <w:color w:val="000000" w:themeColor="text1"/>
                      <w:kern w:val="0"/>
                      <w:szCs w:val="21"/>
                      <w14:textFill>
                        <w14:solidFill>
                          <w14:schemeClr w14:val="tx1"/>
                        </w14:solidFill>
                      </w14:textFill>
                    </w:rPr>
                    <w:t>，</w:t>
                  </w:r>
                  <w:r>
                    <w:rPr>
                      <w:b/>
                      <w:color w:val="000000" w:themeColor="text1"/>
                      <w:kern w:val="0"/>
                      <w:szCs w:val="21"/>
                      <w14:textFill>
                        <w14:solidFill>
                          <w14:schemeClr w14:val="tx1"/>
                        </w14:solidFill>
                      </w14:textFill>
                    </w:rPr>
                    <w:t>包括危险环境物质</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（2）环境风险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物品（尤其是危险化学品）在道路运输过程中，通过本路段时，由于设备缺陷、撞击、挤压等原因，盛装易燃、易爆、有毒危险品的容器及相关辅助设施有可能被击穿或破裂、损坏，泄漏出所运的大量易燃、易爆、有毒化学品，进而导致火灾、爆炸、中毒等重大事故发生。</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在道路运输过程中，运输易燃易爆有毒危险化学品的容器一旦发生泄漏或翻车事故时，危险化学品通过边沟进入周边水系，将给当地水环境造成影响。针对此类突发性事故应引起高度重视，管理部门作好应急处理计划，通过加强管理，使污染影响降至最低限度。</w:t>
            </w:r>
          </w:p>
          <w:p>
            <w:pPr>
              <w:pStyle w:val="2"/>
              <w:rPr>
                <w:rFonts w:hint="eastAsia"/>
                <w:color w:val="000000" w:themeColor="text1"/>
                <w:sz w:val="24"/>
                <w14:textFill>
                  <w14:solidFill>
                    <w14:schemeClr w14:val="tx1"/>
                  </w14:solidFill>
                </w14:textFill>
              </w:rPr>
            </w:pPr>
          </w:p>
          <w:p>
            <w:pPr>
              <w:pStyle w:val="4"/>
              <w:rPr>
                <w:rFonts w:hint="eastAsia"/>
                <w:color w:val="000000" w:themeColor="text1"/>
                <w:sz w:val="24"/>
                <w14:textFill>
                  <w14:solidFill>
                    <w14:schemeClr w14:val="tx1"/>
                  </w14:solidFill>
                </w14:textFill>
              </w:rPr>
            </w:pPr>
          </w:p>
          <w:p>
            <w:pPr>
              <w:rPr>
                <w:rFonts w:hint="eastAsia"/>
                <w:color w:val="000000" w:themeColor="text1"/>
                <w:sz w:val="24"/>
                <w14:textFill>
                  <w14:solidFill>
                    <w14:schemeClr w14:val="tx1"/>
                  </w14:solidFill>
                </w14:textFill>
              </w:rPr>
            </w:pPr>
          </w:p>
          <w:p>
            <w:pPr>
              <w:pStyle w:val="2"/>
              <w:rPr>
                <w:rFonts w:hint="eastAsia"/>
                <w:color w:val="000000" w:themeColor="text1"/>
                <w:sz w:val="24"/>
                <w14:textFill>
                  <w14:solidFill>
                    <w14:schemeClr w14:val="tx1"/>
                  </w14:solidFill>
                </w14:textFill>
              </w:rPr>
            </w:pPr>
          </w:p>
          <w:p>
            <w:pPr>
              <w:pStyle w:val="4"/>
            </w:pPr>
          </w:p>
          <w:p>
            <w:pPr>
              <w:pStyle w:val="2"/>
            </w:pPr>
          </w:p>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6" w:hRule="atLeast"/>
          <w:jc w:val="center"/>
        </w:trPr>
        <w:tc>
          <w:tcPr>
            <w:tcW w:w="447" w:type="dxa"/>
            <w:vAlign w:val="center"/>
          </w:tcPr>
          <w:p>
            <w:pPr>
              <w:pStyle w:val="26"/>
              <w:adjustRightInd w:val="0"/>
              <w:snapToGrid w:val="0"/>
              <w:spacing w:before="0" w:beforeAutospacing="0" w:after="0" w:afterAutospacing="0"/>
              <w:jc w:val="center"/>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kern w:val="2"/>
                <w14:textFill>
                  <w14:solidFill>
                    <w14:schemeClr w14:val="tx1"/>
                  </w14:solidFill>
                </w14:textFill>
              </w:rPr>
              <w:t>选址选线环境合理性分析</w:t>
            </w:r>
          </w:p>
        </w:tc>
        <w:tc>
          <w:tcPr>
            <w:tcW w:w="7995" w:type="dxa"/>
          </w:tcPr>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FF0000"/>
                <w:szCs w:val="21"/>
              </w:rPr>
            </w:pPr>
            <w:r>
              <w:rPr>
                <w:rFonts w:cs="Times New Roman"/>
                <w:color w:val="FF0000"/>
                <w:szCs w:val="21"/>
              </w:rPr>
              <w:t>在《庆阳市“十四五”交通运输发展规划》中，要求在继续完善主骨架的前提下，重点实施县乡公路通三级路建设，加大通村油路(混凝土路面)建设力度，连通断头路，项目区沿线基本以低等级农村公路为主。</w:t>
            </w:r>
          </w:p>
          <w:p>
            <w:pPr>
              <w:pStyle w:val="61"/>
              <w:rPr>
                <w:rFonts w:cs="Times New Roman"/>
                <w:color w:val="FF0000"/>
                <w:kern w:val="2"/>
              </w:rPr>
            </w:pPr>
            <w:r>
              <w:rPr>
                <w:rFonts w:cs="Times New Roman"/>
                <w:color w:val="FF0000"/>
                <w:szCs w:val="21"/>
              </w:rPr>
              <w:t>因此，本项目建设符合《庆阳市宁县农村公路网调整规划（2020-2035）》和《庆阳市“十四五”交通运输发展规划》，符合</w:t>
            </w:r>
            <w:r>
              <w:rPr>
                <w:rFonts w:hint="eastAsia" w:cs="Times New Roman"/>
                <w:color w:val="FF0000"/>
                <w:szCs w:val="21"/>
              </w:rPr>
              <w:t>宁县盘克镇</w:t>
            </w:r>
            <w:r>
              <w:rPr>
                <w:rFonts w:cs="Times New Roman"/>
                <w:color w:val="FF0000"/>
                <w:szCs w:val="21"/>
              </w:rPr>
              <w:t>土地利用规划。</w:t>
            </w:r>
          </w:p>
          <w:p>
            <w:pPr>
              <w:pStyle w:val="61"/>
              <w:rPr>
                <w:rFonts w:ascii="Times New Roman" w:hAnsi="Times New Roman" w:eastAsia="宋体" w:cs="Times New Roman"/>
                <w:color w:val="FF0000"/>
                <w:szCs w:val="21"/>
              </w:rPr>
            </w:pPr>
            <w:r>
              <w:rPr>
                <w:rFonts w:hint="eastAsia" w:ascii="Times New Roman" w:hAnsi="Times New Roman" w:eastAsia="宋体" w:cs="Times New Roman"/>
                <w:color w:val="FF0000"/>
                <w:szCs w:val="21"/>
                <w:lang w:val="en-US" w:eastAsia="zh-CN"/>
              </w:rPr>
              <w:t>本项目为公路工程，部分选线位于优先管控单元，属于一般生态空间允许进行的活动，应依法采取避让措施，本项目选线为旧路，对当地扰动为最小，项目选线已为最优方案，项目实施期间严格按照相关要求采取水土保持措施，在一般生态空间区域内不设置临时工程，工程实施期间对区域影响在可接受范围内。</w:t>
            </w:r>
          </w:p>
          <w:p>
            <w:pPr>
              <w:pStyle w:val="61"/>
              <w:rPr>
                <w:rFonts w:cs="Times New Roman"/>
                <w:color w:val="FF0000"/>
                <w:szCs w:val="21"/>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rPr>
                <w:rFonts w:cs="Times New Roman"/>
                <w:color w:val="000000" w:themeColor="text1"/>
                <w:szCs w:val="21"/>
                <w14:textFill>
                  <w14:solidFill>
                    <w14:schemeClr w14:val="tx1"/>
                  </w14:solidFill>
                </w14:textFill>
              </w:rPr>
            </w:pPr>
          </w:p>
          <w:p>
            <w:pPr>
              <w:pStyle w:val="61"/>
              <w:ind w:firstLine="0" w:firstLineChars="0"/>
              <w:rPr>
                <w:color w:val="000000" w:themeColor="text1"/>
                <w:lang w:val="zh-CN"/>
                <w14:textFill>
                  <w14:solidFill>
                    <w14:schemeClr w14:val="tx1"/>
                  </w14:solidFill>
                </w14:textFill>
              </w:rPr>
            </w:pPr>
          </w:p>
        </w:tc>
      </w:tr>
    </w:tbl>
    <w:p>
      <w:pPr>
        <w:pStyle w:val="26"/>
        <w:jc w:val="center"/>
        <w:rPr>
          <w:rFonts w:ascii="Times New Roman" w:hAnsi="Times New Roman"/>
          <w:snapToGrid w:val="0"/>
          <w:color w:val="000000" w:themeColor="text1"/>
          <w:sz w:val="36"/>
          <w:szCs w:val="36"/>
          <w14:textFill>
            <w14:solidFill>
              <w14:schemeClr w14:val="tx1"/>
            </w14:solidFill>
          </w14:textFill>
        </w:rPr>
        <w:sectPr>
          <w:footerReference r:id="rId5" w:type="default"/>
          <w:pgSz w:w="11906" w:h="16838"/>
          <w:pgMar w:top="1440" w:right="1800" w:bottom="1440" w:left="1800" w:header="851" w:footer="1077" w:gutter="0"/>
          <w:pgNumType w:start="1"/>
          <w:cols w:space="425" w:num="1"/>
          <w:docGrid w:linePitch="312" w:charSpace="0"/>
        </w:sectPr>
      </w:pPr>
    </w:p>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b/>
          <w:snapToGrid w:val="0"/>
          <w:color w:val="000000" w:themeColor="text1"/>
          <w:sz w:val="30"/>
          <w:szCs w:val="30"/>
          <w14:textFill>
            <w14:solidFill>
              <w14:schemeClr w14:val="tx1"/>
            </w14:solidFill>
          </w14:textFill>
        </w:rPr>
        <w:t>五、主要生态环境保护措施</w:t>
      </w:r>
    </w:p>
    <w:tbl>
      <w:tblPr>
        <w:tblStyle w:val="30"/>
        <w:tblW w:w="84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79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52" w:type="dxa"/>
            <w:tcMar>
              <w:left w:w="28" w:type="dxa"/>
              <w:right w:w="28" w:type="dxa"/>
            </w:tcMar>
            <w:vAlign w:val="center"/>
          </w:tcPr>
          <w:p>
            <w:pPr>
              <w:adjustRightInd w:val="0"/>
              <w:snapToGrid w:val="0"/>
              <w:jc w:val="center"/>
              <w:rPr>
                <w:bCs/>
                <w:color w:val="000000" w:themeColor="text1"/>
                <w:sz w:val="24"/>
                <w14:textFill>
                  <w14:solidFill>
                    <w14:schemeClr w14:val="tx1"/>
                  </w14:solidFill>
                </w14:textFill>
              </w:rPr>
            </w:pPr>
            <w:r>
              <w:rPr>
                <w:bCs/>
                <w:color w:val="000000" w:themeColor="text1"/>
                <w:spacing w:val="10"/>
                <w:sz w:val="24"/>
                <w14:textFill>
                  <w14:solidFill>
                    <w14:schemeClr w14:val="tx1"/>
                  </w14:solidFill>
                </w14:textFill>
              </w:rPr>
              <w:t>施工期生态环境保护措施</w:t>
            </w:r>
          </w:p>
        </w:tc>
        <w:tc>
          <w:tcPr>
            <w:tcW w:w="7997" w:type="dxa"/>
          </w:tcPr>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1、生态保护措施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1.1土地补偿恢复措施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（1）因项目施工破坏植被而裸露的土地均应采取临时防护措施，在施工结束后根据地形，运往道路附近低洼处用于土地平整。</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（2）使用荒地或其它闲散地也应及时清理整治、恢复植被，防止土壤侵蚀。</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（3）进行开挖工作时应对土壤实行分层开挖、分层堆放和分层回填；回填时，为恢复土壤的生产能力，严格按原有土壤层次进行异地回填。</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（4）尽可能保护表层有肥力的土壤，集中堆放并采取临时防护措施，以便于后期绿化利用。</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（5）施工过程中，开挖断面不能立即恢复时，应采用油毡布覆盖松散表土。</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（6）开工前对施工临时设施的规划要进行严格的审查，尽量减少施工临时占地，合理安排施工进度，缩短临时占地使用时间。</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（7）施工期临时设施及施工场地尽量选取在征地范围内。</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（8）各种临时占地在工程完成后应尽快进行植被的恢复，做到边使用，边平整，边绿化。</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（9）严格限制施工人员及施工机械的活动范围，施工机械和人员走固定线路，缩小作业带宽度，最大限度地减少对道路沿线和附属设施周围植被的破坏。</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（10）及时处理固体废物如建筑、生活垃圾等，以减少对生态环境的污染影响。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1.2水土流失防治措施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工程建设将扰动和破坏地表，失去原有的防冲、固土能力。因此，项目应采取水土流失防治措施。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（1）水土流失防治原则</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水土流失重点防治区域为表土堆存区与工程开挖。建设单位应委托水保设计单位开展本项目的水土保持详细方案的编制工作，委托水土保持监理单位，加强施工现场管理。</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落实“三同时”制度，水土保持措施应与主体工程同步实施，才能达到有效防治水土流失的目的。</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开挖渣料应严格按设计堆放到指定地点，严禁乱弃渣料。</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 xml:space="preserve">施工区各区域应及时采取水土保持措施防治水土流失。 </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（2）水土流失防治措施</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施工期水土保持要求</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禁止在开挖和运输渣料时乱堆乱放。施工出现的塌方要及时进行清理和维修；施工活动严格控制在施工场地征地范围内进行，避免破坏征地范围外的植被，同时也应尽量避免破坏征地范围内的其他植被。</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表土剥离及堆放场地</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充分保护土壤，在开挖施工时须将表土剥离并集中堆存保护，利于项目建设完毕后的植被恢复。表土首选堆放地为项目征地范围内的区域，用作工程完建的后期覆土。表土堆放时，科学施工，组织好施工时序，利用项目各工段开工时间进度协调，将先开工的工段表土清运到暂时不施工的路段，并做好相关防护措施进行防护。</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水保工程措施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挖方、填方区域以及临时堆土方设置浆砌块石护坡；设置临时排水沟；开挖工作避开雨季施工，并落实拦挡措施、清理坡面挂渣。需要强调的是，如果临时堆土长时间堆放，需在堆土顶部实施绿化，防治水土流失，造成污染。</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为了及时排除施工区积水，保护开挖裸露面不受地表径流冲刷，设计沿道路周边修筑临时排水沟，将雨水沉淀后用于洒水降尘。</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1.3取弃土场设置要求及防护措施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1.3.1取弃土场设置要求</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本项目设置</w:t>
            </w:r>
            <w:r>
              <w:rPr>
                <w:rFonts w:hint="eastAsia"/>
                <w:color w:val="000000" w:themeColor="text1"/>
                <w:sz w:val="24"/>
                <w14:textFill>
                  <w14:solidFill>
                    <w14:schemeClr w14:val="tx1"/>
                  </w14:solidFill>
                </w14:textFill>
              </w:rPr>
              <w:t>弃</w:t>
            </w:r>
            <w:r>
              <w:rPr>
                <w:color w:val="000000" w:themeColor="text1"/>
                <w:sz w:val="24"/>
                <w14:textFill>
                  <w14:solidFill>
                    <w14:schemeClr w14:val="tx1"/>
                  </w14:solidFill>
                </w14:textFill>
              </w:rPr>
              <w:t>土场临时占地时，应避让以下项目沿线的环境敏感目标。</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弃</w:t>
            </w:r>
            <w:r>
              <w:rPr>
                <w:color w:val="000000" w:themeColor="text1"/>
                <w:sz w:val="24"/>
                <w14:textFill>
                  <w14:solidFill>
                    <w14:schemeClr w14:val="tx1"/>
                  </w14:solidFill>
                </w14:textFill>
              </w:rPr>
              <w:t>土场的设置应远离公路沿线水体。</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（2）工程在下列地带不得设置</w:t>
            </w:r>
            <w:r>
              <w:rPr>
                <w:rFonts w:hint="eastAsia"/>
                <w:color w:val="000000" w:themeColor="text1"/>
                <w:sz w:val="24"/>
                <w14:textFill>
                  <w14:solidFill>
                    <w14:schemeClr w14:val="tx1"/>
                  </w14:solidFill>
                </w14:textFill>
              </w:rPr>
              <w:t>弃</w:t>
            </w:r>
            <w:r>
              <w:rPr>
                <w:color w:val="000000" w:themeColor="text1"/>
                <w:sz w:val="24"/>
                <w14:textFill>
                  <w14:solidFill>
                    <w14:schemeClr w14:val="tx1"/>
                  </w14:solidFill>
                </w14:textFill>
              </w:rPr>
              <w:t>土场：严禁在崩塌和滑坡危险区、泥石流易发区内设置</w:t>
            </w:r>
            <w:r>
              <w:rPr>
                <w:rFonts w:hint="eastAsia"/>
                <w:color w:val="000000" w:themeColor="text1"/>
                <w:sz w:val="24"/>
                <w14:textFill>
                  <w14:solidFill>
                    <w14:schemeClr w14:val="tx1"/>
                  </w14:solidFill>
                </w14:textFill>
              </w:rPr>
              <w:t>弃</w:t>
            </w:r>
            <w:r>
              <w:rPr>
                <w:color w:val="000000" w:themeColor="text1"/>
                <w:sz w:val="24"/>
                <w14:textFill>
                  <w14:solidFill>
                    <w14:schemeClr w14:val="tx1"/>
                  </w14:solidFill>
                </w14:textFill>
              </w:rPr>
              <w:t>土场。</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（3）设置时应注意：不宜设置在软土区域。</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1.3.1</w:t>
            </w:r>
            <w:r>
              <w:rPr>
                <w:color w:val="000000" w:themeColor="text1"/>
                <w:sz w:val="24"/>
                <w14:textFill>
                  <w14:solidFill>
                    <w14:schemeClr w14:val="tx1"/>
                  </w14:solidFill>
                </w14:textFill>
              </w:rPr>
              <w:t>弃土场措施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弃土（渣）结束后对坡面进行绿化和渣面进行植被恢复，占用草地的弃渣场的1：1.5坡面、马道、平台深翻播种紫花苜蓿或者黑麦草恢复植被。备选乔灌木、草种：刺槐、沙棘、柠条、紫花苜蓿、多年生黑麦草；草籽量：紫花苜蓿30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、黑麦草100kg/hm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。栽培当年及时浇水，保证成活率；第二年，对成活率低于85%进行补植。</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1.3.2</w:t>
            </w:r>
            <w:r>
              <w:rPr>
                <w:color w:val="000000" w:themeColor="text1"/>
                <w:sz w:val="24"/>
                <w14:textFill>
                  <w14:solidFill>
                    <w14:schemeClr w14:val="tx1"/>
                  </w14:solidFill>
                </w14:textFill>
              </w:rPr>
              <w:t>绿化措施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所有施工场地开挖结束后，保存占用土地表层熟化土，为植被恢复提供良好的土壤。施工期收集表土单独堆放于表土堆放场，表土分层压实。表土堆放场采用台体形式，台体四周坡角处用编织土袋挡护，土袋堆砌高、宽均为1m，表面使用塑料薄膜遮盖，待生长季土堆表面种植当地草本植物。施工结束后及时清理、松土、覆盖熟化土，播撒草籽进行绿化恢复，复种或选择当地适宜植物及时恢复绿化。拆除临时建筑物，清除建筑垃圾，尽可能恢复其原有土地的功能。</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1.3.3</w:t>
            </w:r>
            <w:r>
              <w:rPr>
                <w:color w:val="000000" w:themeColor="text1"/>
                <w:sz w:val="24"/>
                <w14:textFill>
                  <w14:solidFill>
                    <w14:schemeClr w14:val="tx1"/>
                  </w14:solidFill>
                </w14:textFill>
              </w:rPr>
              <w:t>雨水导排措施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（1）根据规划好的施工现场总平面布置图完善排水设施，主要施工通道边侧的排水沟应畅通。</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保证场内交通道路的完好，设专人负责排除道边及路口积水，保证雨后能及时排除场地内积水。在场地周围设置必要的截水沟、排水沟，尽量用原有的排水系统，并进行必要的整修、疏导，做到场地排水畅通。</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管沟边缘做好围堰，防止地表水流入基坑。在管沟周边设排水沟及若干集水坑，再用潜水泵抽到城市排水系统。潜水泵、排水管及电线要备足，同时安排好值班人员。对管沟边坡采取彩条布覆盖，防止雨水冲刷，造成坍方，必要时打钢管支撑进行支护。</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（4）管沟的回填用土要用彩条布覆盖，防止下雨时淋湿，影响回填工作。回填土含水量大时及时晾晒，雨天过后，回填土表面稀泥部分铲除重新回填。</w:t>
            </w:r>
          </w:p>
          <w:p>
            <w:pPr>
              <w:spacing w:line="360" w:lineRule="auto"/>
              <w:ind w:right="-1" w:firstLine="480" w:firstLineChars="200"/>
              <w:contextualSpacing/>
              <w:outlineLvl w:val="2"/>
              <w:rPr>
                <w:color w:val="000000" w:themeColor="text1"/>
                <w:sz w:val="24"/>
                <w14:textFill>
                  <w14:solidFill>
                    <w14:schemeClr w14:val="tx1"/>
                  </w14:solidFill>
                </w14:textFill>
              </w:rPr>
            </w:pPr>
            <w:bookmarkStart w:id="4" w:name="_Hlk81295074"/>
            <w:r>
              <w:rPr>
                <w:color w:val="000000" w:themeColor="text1"/>
                <w:sz w:val="24"/>
                <w14:textFill>
                  <w14:solidFill>
                    <w14:schemeClr w14:val="tx1"/>
                  </w14:solidFill>
                </w14:textFill>
              </w:rPr>
              <w:t>1.4植被保护与恢复措施</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严格按照设计文件确定征占土地范围，进行地表植被的清理工作。保护好现有农田和周边的树木。建议临时用地使用前，对施工人员进行相关培训，要求严格保护临时用地内的林木。尽量保护征地范围内的林木，尽量不砍或少砍。加强管理，不得砍伐征地以外的林木，尽量减少对沿线生态环境的破坏。</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（2）施工过程中，与当地土地管理部门协商，将弃土（渣）场的弃土（渣）过程与农业开发规划设计和农田基本建设相结合，工程结束后及时平整复垦或绿化造地。</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（3）禁止引种带有病虫害的植物，禁止引种外来入侵物种。生态恢复与绿化应采用当地物种，禁止引进有害外来物种。</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（4）严格控制路基开挖、隧道洞口开挖施工作业面，避免超挖破坏周围植被。</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（5）施工与绿化、护坡、修排水沟应同时施工，应做到边使用，边平整，边绿化，边复耕。</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（6）施工单位应加强防火知识教育，防止人为导致火灾的发生。</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7）项目表土剥离厚度根据土地利用现状确定，基本按照耕地30cm、林地10cm、荒地10cm剥离，平均剥离厚度为20cm或25cm。表土临时集中堆放在项目沿线永久征地或临时占地范围内，每个堆放点根据工程空闲面积大小及后期覆土需要决定堆土数量。堆放的表土应采取临时拦挡和覆盖措施，防止雨淋造成养分流失，以便用于后期的绿化和土地复垦。</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（8）施工期加强施工人员管理，禁止随意采挖野生植物。</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（9）公路施工破坏植被而裸露的土地（包括路界内外）应在施工结束后立即整治利用，恢复植被或造田还耕。</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1.5临时工程用地设置要求及恢复措施</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（1）对项目沿线的弃土（渣）场主要采取以下恢复措施：</w:t>
            </w:r>
          </w:p>
          <w:p>
            <w:pPr>
              <w:spacing w:line="360" w:lineRule="auto"/>
              <w:ind w:right="-1" w:firstLine="480" w:firstLineChars="200"/>
              <w:contextualSpacing/>
              <w:outlineLvl w:val="2"/>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工程措施：根据地形地貌、地层岩性地质状况设置浆砌石挡墙、干砌石护坡、浆砌石截排水沟及排洪系统，具有水土保持功能。严格执行“先挡后弃”的原则。施工前先将表层土（厚度30cm）剥离，堆放一旁，并做好临时防护措施，取弃土（渣）结束进行土地整治。</w:t>
            </w:r>
          </w:p>
          <w:p>
            <w:pPr>
              <w:spacing w:line="360" w:lineRule="auto"/>
              <w:ind w:right="-1" w:firstLine="480" w:firstLineChars="200"/>
              <w:contextualSpacing/>
              <w:outlineLvl w:val="2"/>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植物措施：弃土（渣）结束后对坡面进行绿化和渣面进行植被恢复，具体弃渣完工后，占用荒地的弃渣场的1：1.5坡面、马道、平台深翻播种紫花苜蓿或者黑麦草恢复植被。备选乔灌木、草种：刺槐、沙棘、柠条、紫花苜蓿、多年生黑麦草；草籽量：紫花苜蓿30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、黑麦草100kg/hm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。栽培当年及时浇水，保证成活率；第二年，对成活率低于85%进行补植。能达到耕地利用条件的尽量恢复耕种。</w:t>
            </w:r>
          </w:p>
          <w:p>
            <w:pPr>
              <w:spacing w:line="360" w:lineRule="auto"/>
              <w:ind w:right="-1" w:firstLine="480" w:firstLineChars="200"/>
              <w:contextualSpacing/>
              <w:outlineLvl w:val="2"/>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临时措施：在施工期间修建临时土质排水沟和沉沙池，土袋挡护、土工布遮盖等。</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（2）临时堆土场的环保要求</w:t>
            </w:r>
          </w:p>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临时堆土场主要用于沿线耕植土的暂存，这些区域均临近沿线耕地集中的区域。本次临时堆土场主要用于沿线耕植土的暂存，这些区域均临近沿线耕地集中的区域。本次环评要求，严禁在临时堆土场内堆存施工弃土方，临时堆存的这部分耕植土，需在表面覆盖防雨篷布，堆置期临时堆土周边拦挡、裸露面种草防护、并布设临时排水沟及沉沙池，施工结束后拆除土体防护措施进行场地平整。项目分为不同标段进行施工活动，建设单位或监理单位需严格要求各标段施工单位在施工活动前进行绿化用土量的估算，由各临近施工单位自行进行调配利用。</w:t>
            </w:r>
          </w:p>
          <w:bookmarkEnd w:id="4"/>
          <w:p>
            <w:pPr>
              <w:spacing w:line="360" w:lineRule="auto"/>
              <w:ind w:right="-1" w:firstLine="480" w:firstLineChars="200"/>
              <w:contextualSpacing/>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本项目评价范围内无国家重点植物保护区。因此，项目在施工期对生态环境的影响主要是施工产生的水土流失等影响。为了尽可能的减少水土流失，以及防止雨水冲刷造成施工现场泥水淤积，及时外运多余土石方。在施工过程中，做好开挖时的防护措施，防止雨水冲刷泥土造成水土流失；及时对扰动地表进行铺装以控制水土流失状况；严禁将垃圾、土石乱弃；在严格落实项目相关水土保持措施后，可大大降低施工期的生态影响。</w:t>
            </w:r>
          </w:p>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2、大气污染防治措施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过程中产生的扬尘是项目施工期最主要的污染因素之一，主要产生于土石方开挖、回填等作业，筑路材料堆放、搬运、装卸等过程以及车辆运输产生的道路扬尘，所以在施工期，应采取切实有效的措施减少扬尘污染影响，针对项目周边环境特征及工程施工特点，环评提出以下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（1）施工工地周边围挡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施工现场应设置稳固、整齐、美观并符合安全标准要求的连续封闭式围挡，围挡高度不得低于2.0m，严禁敞开式作业。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（2）物料堆放100%覆盖</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施工现场应适时洒水降尘，及时清除路面尘土；施工场地需定期进行湿法清理，临时堆场需采用防尘布覆盖，开挖土石方、建渣堆场应相对集中，严禁露天堆放；施工便道需定期进行打扫和洒水。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（3）施工场地禁止设置混凝土搅拌站，所需混凝土均外购成品使用。</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（4）渣土车辆100%密闭运输</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进出工地车辆应采取密闭车斗，并保证物料不遗撒外漏。若无密闭车斗，物料、垃圾、渣土的装载与车厢持平，不得超高；车斗应用苫布盖严、捆实，车厢左右侧各三竖道，车后十字交叉并收紧，保证物料、垃圾、渣土等不露出、不遗撒。车辆运输不得超过车辆荷载，不得私自加装、改装车辆槽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（5）土方工程作业时，尽量缩短易起尘工段施工时间，加快施工。遇到四级或四级以上大风天气，应停止土方作业。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施工机械和运输车辆尾气排放防治措施：施工期间燃油机械设备如大型运输车辆、推土机，需安装尾气净化器，尾气应达标排放；运输车辆禁止超载，不得使用劣质燃料；对车辆的尾气排放进行监督管理，严格执行汽车排污监管办法和汽车排污监测制度。以上措施将降低施工机械和汽车尾气对周围敏感点的影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在采取上述防尘措施后，可以减小施工扬尘对周围环境的影响。根据同等规模施工场地现场调查，施工扬尘浓度可以满足《大气污染物综合排放标准》（GB16297-1996）中无组织排放监控浓度限值的要求。</w:t>
            </w:r>
          </w:p>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3、水污染防治措施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废水主要污染因子为SS。针对施工废水为间断排水，水量很小的特点，工程施工时设置施工废水收集池，用防水布或塑料薄膜进行防渗，将施工废水进行沉淀处理，大大降低废水中SS的含量，经过沉淀处理后的施工废水用于施工场地洒水降尘，不得外排。施工结束后，防水布或塑料薄膜回收再用，将废水收集坑填埋清理，恢复原貌。该处理措施特点是构造简单，造价低，管理也方便，仅需定期清池。</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机械车辆冲洗、渗漏及露天机械受雨水冲刷等废水主要为含油废水。要求在施工场地低洼处设置临时废水隔油沉淀池，隔油沉淀池收集施工中所排放的各类废水，在沉淀一定时间后，大大降低废水中SS的含量，作为施工用水的一部分重复使用或用于施工场地洒水降尘，不得随意弃置和倾流。</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（3）本项目不设施工营地，少量粪便排入临时旱厕堆肥处理后用作农田肥料。</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雨季施工时随时掌握天气变化情况，根据天气情况安排施工。施工场地设好沉淀池，收集雨水沉淀后，用于洒水抑尘。土方工程尽量避开雨天进行。在雨季施工时，工作面不宜过大，并应切实制订雨季施工的安全技术措施。</w:t>
            </w:r>
          </w:p>
          <w:p>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采取上述措施，可有效控制施工期废水对周边环境的影响</w:t>
            </w:r>
            <w:r>
              <w:rPr>
                <w:color w:val="000000" w:themeColor="text1"/>
                <w:kern w:val="0"/>
                <w:sz w:val="24"/>
                <w14:textFill>
                  <w14:solidFill>
                    <w14:schemeClr w14:val="tx1"/>
                  </w14:solidFill>
                </w14:textFill>
              </w:rPr>
              <w:t>。</w:t>
            </w:r>
          </w:p>
          <w:p>
            <w:pPr>
              <w:pStyle w:val="15"/>
              <w:spacing w:line="360" w:lineRule="auto"/>
              <w:rPr>
                <w:b/>
                <w:color w:val="000000" w:themeColor="text1"/>
                <w:sz w:val="24"/>
                <w14:textFill>
                  <w14:solidFill>
                    <w14:schemeClr w14:val="tx1"/>
                  </w14:solidFill>
                </w14:textFill>
              </w:rPr>
            </w:pPr>
            <w:r>
              <w:rPr>
                <w:b/>
                <w:bCs/>
                <w:color w:val="000000" w:themeColor="text1"/>
                <w:sz w:val="24"/>
                <w:szCs w:val="36"/>
                <w14:textFill>
                  <w14:solidFill>
                    <w14:schemeClr w14:val="tx1"/>
                  </w14:solidFill>
                </w14:textFill>
              </w:rPr>
              <w:t>4</w:t>
            </w:r>
            <w:r>
              <w:rPr>
                <w:b/>
                <w:color w:val="000000" w:themeColor="text1"/>
                <w:sz w:val="24"/>
                <w14:textFill>
                  <w14:solidFill>
                    <w14:schemeClr w14:val="tx1"/>
                  </w14:solidFill>
                </w14:textFill>
              </w:rPr>
              <w:t>、固废污染防治措施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施工期固体废物的来源主要是施工人员产生的生活垃圾和部分建筑垃圾，针对项目施工期固体废物产生情况及周边环境状况，环评建议采取如下污染防治措施：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（1）坚持建筑节能，清洁生产原则，制定环保节约型的施工方案，加强施工管理，文明施工，节约原料，从源头提高原料利用率，减少废物产生量。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生活垃圾应定点收集，交由环卫部门统一运至政府指定的生活垃圾填埋场处理，施工期产生的建筑垃圾尽可能同用，不能回用的像有关部门申报，核准后运至指定的城市建筑垃圾处理场，不向环境排放。应加强建筑垃圾清运前在场地内临时堆放管理，对临时堆放场应采取临时防尘、防淋措施，避免固体废物堆放过程中产生扬尘污染和雨污水影响附近地表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加强固体废物运输管理，固体废物外运应选用防洒落车辆，严格按照城管部门有关要求，合理选址运输时间和运输线路，采取必要的防尘、防洒落措施，严禁超载，控制车速，避免因超载、超速导致物料洒落。</w:t>
            </w:r>
          </w:p>
          <w:p>
            <w:pPr>
              <w:spacing w:line="360" w:lineRule="auto"/>
              <w:ind w:firstLine="570"/>
              <w:rPr>
                <w:bCs/>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采取上述措施，可有效防止固体废弃物对周围环境的影响，施工产生的固体废弃物对外环境影响较小</w:t>
            </w:r>
            <w:r>
              <w:rPr>
                <w:bCs/>
                <w:color w:val="000000" w:themeColor="text1"/>
                <w:sz w:val="24"/>
                <w14:textFill>
                  <w14:solidFill>
                    <w14:schemeClr w14:val="tx1"/>
                  </w14:solidFill>
                </w14:textFill>
              </w:rPr>
              <w:t>。</w:t>
            </w:r>
          </w:p>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5、噪声污染防治措施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噪声声源主要是施工设备产生的机械噪声和运输车辆，施工施工期噪声主要是施工机械和运输车辆。噪声源主要为装载机、推土机、液压挖掘机、打桩机、平地机、摊铺机、压路机等，如不加以控制，将严重干扰临近居民的正常生活，为此，施工方采取以下的治理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（1）在施工过程中，施工单位应严格执行《建筑施工场界环境噪声排放标准》（GB12523-2011）中的有关规定，避免施工扰民事件的发生。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施工单位要合理安排施工作业时间，晚间（19:00-22:00）不得使用挖掘机等高噪声机械作业，午间（12:00-14:00）及晚间（22:00-6:00）禁止一切施工活动，以免影响周边居民的休息。如因建筑工程工艺要求或特殊需要必须连续作业而进行夜间施工的，施工单位必须提前7日持建管部门的证明向当地环境保护主管部门申报施工日期和时间，并在周围居民点张贴告示，经环境保护主管部门批准备案后方可进行夜间施工。</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（3）施工机械设备应选用低噪声设备，定期对设备维护，确保设备良性工作。避免高噪声设备同时作业，尽可能减轻声源叠加影响。在施工总平面布置时，高噪声设备布置在远离噪声敏感点的位置。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（4）建设单位应加强施工管理，加快施工进度，缩短高噪声施工工期。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（5）施工时应设置封闭的护围结构和移动式声屏障，或利用已建建筑的隔声屏障作用，减少施工噪声对居民的噪声环境影响。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（6）施工作业将不可避免地出现与群众生活、交通冲突的地方，为减少矛盾和事故发生，在主要施工地点、通行线路、占道等地方设置醒目的警示标志牌。</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（7）施工期针对50m范围内居民施工期须采取围挡措施、设置封闭的护围结构和移动式声屏障、缩短施工作业时间。</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总之，根据同类项目施工期噪声管理情况，只要项目严格落实各项防治措施，加强施工现场的环境管理，严格执行《建筑施工场界环境噪声排放标准》要求，则可确保噪声达标排放。</w:t>
            </w:r>
          </w:p>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6、交通影响缓解措施</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（1）施工前地方政府部门应以宣传形式通知机关、企业等团体及个人，使他们有所准备，安排好出行计划；</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（2）施工方应在与醒目位置设置“前方施工、减慢车速”“前方施工、绕道行驶”的警示牌，必要时在施工区出入口路段设专人负责指挥来往车辆的通行；</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（3）项目施工围挡区域尽量不要超出道路两侧红线区域；</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4）建设单位尽量不要安排在上下班、上学放学等交通运输高峰期进行物料运输，并且安排专人配合交警部门，及时引导、疏解交通，合理布置临时交通，保证所需交通标志，标线及时安装到位、投入使用，并设专人负责检查，维护交通设施，及时维修、更换、补充各种设施和标志，确保有效的实施交通安全管理；</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（5）为方便夜间过往车辆，减少事故发生概率，应在交叉口及围挡施工段附近的显目处设置警示照明灯，用以引导车辆通行；</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6）施工单位施工所采用的任何施工方法都应以不影响交通通行能力为前提，并注意施工高度的限制。在施工期间施工单位应该有计划、有步骤地分阶段进行施工，并应该根据施工进度的情况相应减少围蔽的范围。</w:t>
            </w:r>
          </w:p>
          <w:p>
            <w:pPr>
              <w:pStyle w:val="54"/>
              <w:spacing w:line="360" w:lineRule="auto"/>
              <w:ind w:right="-1" w:firstLine="0" w:firstLineChars="0"/>
              <w:contextualSpacing/>
              <w:outlineLvl w:val="2"/>
              <w:rPr>
                <w:b/>
                <w:color w:val="000000" w:themeColor="text1"/>
                <w14:textFill>
                  <w14:solidFill>
                    <w14:schemeClr w14:val="tx1"/>
                  </w14:solidFill>
                </w14:textFill>
              </w:rPr>
            </w:pPr>
            <w:r>
              <w:rPr>
                <w:b/>
                <w:color w:val="000000" w:themeColor="text1"/>
                <w14:textFill>
                  <w14:solidFill>
                    <w14:schemeClr w14:val="tx1"/>
                  </w14:solidFill>
                </w14:textFill>
              </w:rPr>
              <w:t>7、对沿线住户的影响减缓措施</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会对沿线居民生活、工作学习、交通、出行带来不便。道路施工引起噪声、扬尘对沿线环境的影响，进而影响临近住户的生活质量。采取以下防治措施及减缓措施，对沿线敏感点的上述影响将减至最低程度，并随着施工期的结束而消失。</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（1）施工前后，应加强沿线生态环境保护的宣传教育工作，在工地及周边设立与环境保护有关的科普性宣传牌，包括生态保护的科普知识、相关法规、工程拟采取的生态保护措施及意义等。</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（2）通过加强公路交通管理，对车辆实施噪声监测，控制噪声严重超标车辆上路；</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（3）维持公路路面平整度，避免因路况不佳造成车辆颠簸等引起交通噪声增大；</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（4）加强夜间行车管理，限制夜间行驶车辆的速度，在经过路段时，禁止鸣笛、限速，降低交通噪声；</w:t>
            </w:r>
          </w:p>
          <w:p>
            <w:pPr>
              <w:spacing w:line="360" w:lineRule="auto"/>
              <w:ind w:firstLine="480" w:firstLineChars="200"/>
              <w:outlineLvl w:val="2"/>
              <w:rPr>
                <w:color w:val="000000" w:themeColor="text1"/>
                <w14:textFill>
                  <w14:solidFill>
                    <w14:schemeClr w14:val="tx1"/>
                  </w14:solidFill>
                </w14:textFill>
              </w:rPr>
            </w:pPr>
            <w:r>
              <w:rPr>
                <w:color w:val="000000" w:themeColor="text1"/>
                <w:sz w:val="24"/>
                <w14:textFill>
                  <w14:solidFill>
                    <w14:schemeClr w14:val="tx1"/>
                  </w14:solidFill>
                </w14:textFill>
              </w:rPr>
              <w:t>（5）加强公路沿线声环境质量的监测工作，根据因交通量增大引起的声环境污染程度，及时采取相应的减缓措施。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452" w:type="dxa"/>
            <w:tcMar>
              <w:left w:w="28" w:type="dxa"/>
              <w:right w:w="28" w:type="dxa"/>
            </w:tcMar>
            <w:vAlign w:val="center"/>
          </w:tcPr>
          <w:p>
            <w:pPr>
              <w:adjustRightInd w:val="0"/>
              <w:snapToGrid w:val="0"/>
              <w:jc w:val="center"/>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运营期生态环境保护措施</w:t>
            </w:r>
          </w:p>
        </w:tc>
        <w:tc>
          <w:tcPr>
            <w:tcW w:w="7997" w:type="dxa"/>
          </w:tcPr>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1、废气污染防治措施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运营期对大气环境的影响主要来自汽车尾气排放，本次环评提出以下治理措施：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（1）加强路面养护，使其经常处于良好状态，尽可能减小路面坡度。</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（2）加强区域绿化，道路两侧绿化带及变绿化带栽种吸附性较强的植被，注重乔灌草结合，既可净化吸收车辆尾气中的污染物，衰减大气中的总悬浮微粒，又可起到美化环境的作用。</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（3）加强交通管理，抽查汽车尾气排放合格证，禁止尾气超标车辆上路行驶。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减少汽车尾气中污染物量是解决空气污染的根本途径，可通过改进汽车性能、安装汽车尾气净化器等方法来减少污染物的绝对排放量。行车排放控制，减少和消除汽车尾气对大气环境的污染、加强车用燃料的管理、优先发展公共交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（5）装运含尘物料的汽车应使用蓬布盖住货物，严格控制物料洒落。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（6）由环卫部门对道路进行及时清扫，定期洒水，保持路面整洁以降低起尘量。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采取上述措施后，运营期废气对周围环境影响较小，污染防治措施可行。</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2、废水污染防治措施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运营期废水主要来源于降水对路面冲洗产生的路面径流。随着降雨时间延长，路面径流中污染物含量降低，对水体污染减少。</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本项目路基地表排水设施包括边沟、排水沟、拦水带、急流槽和截水沟。</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排水沟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填方路基两侧一般均设置排水沟，底宽40cm，深40cm，采用C25混凝土现浇，壁厚6cm。</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如果较长路段无天然河流、沟渠等出水口时，适当加大排水沟尺寸，必要时修建横向排水沟，将水流引至附近天然排水系统。</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边沟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挖方及低填方路段设置与路线纵坡一致并不小于3‰的边沟。一般路段边沟采用梯形边沟，底宽40cm，深40cm，厚度6cm；村庄路段采用矩形边沟，底宽40cm，深50cm，厚度20cm，均采用C25混凝土现浇。</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坡顶截水沟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地形水文条件，在挖方路段较高一侧山坡距坡口不小于5m处设置截水沟，以减轻路堑边沟的排水压力，降低水流对路堑边坡或路基坡脚的冲刷。根据沿线的地质、水文条件、占地以及与周围环境景观的协调统一等因素，截水沟考虑采用梯形断面，底宽30cm、深30cm的梯形沟，沟身用6cm厚C25混凝土现浇，且尽量布设于视线之外。</w:t>
            </w:r>
          </w:p>
          <w:p>
            <w:pPr>
              <w:spacing w:line="360" w:lineRule="auto"/>
              <w:ind w:right="-1" w:firstLine="482"/>
              <w:contextualSpacing/>
              <w:rPr>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fldChar w:fldCharType="begin"/>
            </w:r>
            <w:r>
              <w:rPr>
                <w:rFonts w:asciiTheme="minorEastAsia" w:hAnsiTheme="minorEastAsia" w:eastAsiaTheme="minorEastAsia"/>
                <w:color w:val="000000" w:themeColor="text1"/>
                <w:sz w:val="24"/>
                <w14:textFill>
                  <w14:solidFill>
                    <w14:schemeClr w14:val="tx1"/>
                  </w14:solidFill>
                </w14:textFill>
              </w:rPr>
              <w:instrText xml:space="preserve"> = 4 \* GB3 \* MERGEFORMAT </w:instrText>
            </w:r>
            <w:r>
              <w:rPr>
                <w:rFonts w:asciiTheme="minorEastAsia" w:hAnsiTheme="minorEastAsia" w:eastAsiaTheme="minorEastAsia"/>
                <w:color w:val="000000" w:themeColor="text1"/>
                <w:sz w:val="24"/>
                <w14:textFill>
                  <w14:solidFill>
                    <w14:schemeClr w14:val="tx1"/>
                  </w14:solidFill>
                </w14:textFill>
              </w:rPr>
              <w:fldChar w:fldCharType="separate"/>
            </w:r>
            <w:r>
              <w:rPr>
                <w:rFonts w:asciiTheme="minorEastAsia" w:hAnsiTheme="minorEastAsia" w:eastAsiaTheme="minorEastAsia"/>
                <w:color w:val="000000" w:themeColor="text1"/>
                <w14:textFill>
                  <w14:solidFill>
                    <w14:schemeClr w14:val="tx1"/>
                  </w14:solidFill>
                </w14:textFill>
              </w:rPr>
              <w:t>④</w:t>
            </w:r>
            <w:r>
              <w:rPr>
                <w:rFonts w:asciiTheme="minorEastAsia" w:hAnsiTheme="minorEastAsia" w:eastAsiaTheme="minor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蒸发池</w:t>
            </w:r>
          </w:p>
          <w:p>
            <w:pPr>
              <w:spacing w:line="360" w:lineRule="auto"/>
              <w:ind w:right="-1" w:firstLine="482"/>
              <w:contextualSpacing/>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沿线主要排水设施有边沟、排水沟，由于部分路段左右两侧均为耕地，无法引入涵洞进行排水，因此，本项目设置8座蒸发池，将路面及边坡水引至蒸发池排离。蒸发池四周通过隔离栅围护，蒸发池尺寸为均为10*10*3m。</w:t>
            </w:r>
          </w:p>
          <w:p>
            <w:pPr>
              <w:spacing w:line="360" w:lineRule="auto"/>
              <w:ind w:right="-1" w:firstLine="482"/>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通过加强营运期道路的管理，及时清除运输车辆抛洒在路面的污染物，保持路面清洁，预计项目排水对沿线水环境影响较小。</w:t>
            </w:r>
          </w:p>
          <w:p>
            <w:pPr>
              <w:pStyle w:val="15"/>
              <w:spacing w:line="360" w:lineRule="auto"/>
              <w:rPr>
                <w:b/>
                <w:bCs/>
                <w:color w:val="000000" w:themeColor="text1"/>
                <w:sz w:val="24"/>
                <w:szCs w:val="36"/>
                <w14:textFill>
                  <w14:solidFill>
                    <w14:schemeClr w14:val="tx1"/>
                  </w14:solidFill>
                </w14:textFill>
              </w:rPr>
            </w:pPr>
            <w:bookmarkStart w:id="5" w:name="_Toc31861"/>
            <w:bookmarkStart w:id="6" w:name="_Toc12912"/>
            <w:bookmarkStart w:id="7" w:name="_Toc27941"/>
            <w:bookmarkStart w:id="8" w:name="_Toc440478743"/>
            <w:bookmarkStart w:id="9" w:name="_Toc3476"/>
            <w:bookmarkStart w:id="10" w:name="_Toc12010"/>
            <w:bookmarkStart w:id="11" w:name="_Toc12800"/>
            <w:r>
              <w:rPr>
                <w:b/>
                <w:bCs/>
                <w:color w:val="000000" w:themeColor="text1"/>
                <w:sz w:val="24"/>
                <w:szCs w:val="36"/>
                <w14:textFill>
                  <w14:solidFill>
                    <w14:schemeClr w14:val="tx1"/>
                  </w14:solidFill>
                </w14:textFill>
              </w:rPr>
              <w:t>3、噪声污染防治措施</w:t>
            </w:r>
            <w:bookmarkEnd w:id="5"/>
            <w:bookmarkEnd w:id="6"/>
            <w:bookmarkEnd w:id="7"/>
            <w:bookmarkEnd w:id="8"/>
            <w:bookmarkEnd w:id="9"/>
            <w:bookmarkEnd w:id="10"/>
            <w:bookmarkEnd w:id="11"/>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本项目主要的声环境保护目标为周边的居民区，建议采用如下措施防治噪声污染：</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（1）严格控制施工质量，保证优质工程，保证在道路运营期不发生下沉、裂缝、凹凸不平等问题而增加车辆行驶噪声。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（2）加强机动车辆管理，严格执行限速和禁止超载的交通管理要求，尽量降低噪声污染源的噪声。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（3）加强安全及环保教育，防止驾驶人员超速超车行驶及鸣笛。</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（4）控制噪声传播途径，强化路两侧的绿化设施。结合当地生态建设规划，加强拟建道路工程征地范围内可绿化地段的绿化工作。</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（5）设置限速、禁鸣标志：公路交通噪声与机动车行驶速度密切相关，车辆鸣笛属于突发高噪声源，对沿线敏感点影响较大，采用设置限速、禁鸣标志对公路交通噪声污染控制有一定的效果。</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（6）道路工程养护部门应经常养护路面，对破损路面及时修补，经常维持道路路面的平整度，避免因路况不佳造成车辆颠簸等引起交通噪声增大。</w:t>
            </w:r>
          </w:p>
          <w:p>
            <w:pPr>
              <w:spacing w:line="360" w:lineRule="auto"/>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（7）为了从源头上减少道路噪声扰民的影响，评价建议，距离道路红线范围内严禁新建居民住宅、学校、医院等噪声敏感建筑物。</w:t>
            </w:r>
          </w:p>
          <w:p>
            <w:pPr>
              <w:spacing w:line="360" w:lineRule="auto"/>
              <w:ind w:right="-1" w:firstLine="482"/>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（8）噪声监测计划</w:t>
            </w:r>
          </w:p>
          <w:p>
            <w:pPr>
              <w:pStyle w:val="58"/>
              <w:spacing w:after="0" w:line="240" w:lineRule="auto"/>
              <w:ind w:left="0" w:leftChars="0"/>
              <w:rPr>
                <w:color w:val="000000" w:themeColor="text1"/>
                <w14:textFill>
                  <w14:solidFill>
                    <w14:schemeClr w14:val="tx1"/>
                  </w14:solidFill>
                </w14:textFill>
              </w:rPr>
            </w:pPr>
            <w:r>
              <w:rPr>
                <w:color w:val="000000" w:themeColor="text1"/>
                <w14:textFill>
                  <w14:solidFill>
                    <w14:schemeClr w14:val="tx1"/>
                  </w14:solidFill>
                </w14:textFill>
              </w:rPr>
              <w:t>表5-2  运营期环境监测一览表</w:t>
            </w:r>
          </w:p>
          <w:tbl>
            <w:tblPr>
              <w:tblStyle w:val="30"/>
              <w:tblW w:w="7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798"/>
              <w:gridCol w:w="2047"/>
              <w:gridCol w:w="1593"/>
              <w:gridCol w:w="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8"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类   别</w:t>
                  </w:r>
                </w:p>
              </w:tc>
              <w:tc>
                <w:tcPr>
                  <w:tcW w:w="1798"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2047"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监测点位置</w:t>
                  </w:r>
                </w:p>
              </w:tc>
              <w:tc>
                <w:tcPr>
                  <w:tcW w:w="1593"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监测频率</w:t>
                  </w:r>
                </w:p>
              </w:tc>
              <w:tc>
                <w:tcPr>
                  <w:tcW w:w="892"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8"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1798"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等效连续 A 声级 LAeq</w:t>
                  </w:r>
                </w:p>
              </w:tc>
              <w:tc>
                <w:tcPr>
                  <w:tcW w:w="2047"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居民点处</w:t>
                  </w:r>
                </w:p>
              </w:tc>
              <w:tc>
                <w:tcPr>
                  <w:tcW w:w="1593" w:type="dxa"/>
                  <w:tcBorders>
                    <w:tl2br w:val="nil"/>
                    <w:tr2bl w:val="nil"/>
                  </w:tcBorders>
                  <w:vAlign w:val="center"/>
                </w:tcPr>
                <w:p>
                  <w:pPr>
                    <w:pStyle w:val="5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监测1期；昼夜各监测1次</w:t>
                  </w:r>
                </w:p>
              </w:tc>
              <w:tc>
                <w:tcPr>
                  <w:tcW w:w="892" w:type="dxa"/>
                  <w:tcBorders>
                    <w:tl2br w:val="nil"/>
                    <w:tr2bl w:val="nil"/>
                  </w:tcBorders>
                  <w:vAlign w:val="center"/>
                </w:tcPr>
                <w:p>
                  <w:pPr>
                    <w:pStyle w:val="57"/>
                    <w:adjustRightInd w:val="0"/>
                    <w:snapToGrid w:val="0"/>
                    <w:rPr>
                      <w:color w:val="000000" w:themeColor="text1"/>
                      <w14:textFill>
                        <w14:solidFill>
                          <w14:schemeClr w14:val="tx1"/>
                        </w14:solidFill>
                      </w14:textFill>
                    </w:rPr>
                  </w:pPr>
                </w:p>
              </w:tc>
            </w:tr>
          </w:tbl>
          <w:p>
            <w:pPr>
              <w:pStyle w:val="15"/>
              <w:spacing w:line="360" w:lineRule="auto"/>
              <w:rPr>
                <w:b/>
                <w:bCs/>
                <w:color w:val="000000" w:themeColor="text1"/>
                <w:sz w:val="24"/>
                <w:szCs w:val="36"/>
                <w14:textFill>
                  <w14:solidFill>
                    <w14:schemeClr w14:val="tx1"/>
                  </w14:solidFill>
                </w14:textFill>
              </w:rPr>
            </w:pPr>
            <w:bookmarkStart w:id="12" w:name="_Toc30350"/>
            <w:bookmarkStart w:id="13" w:name="_Toc1702"/>
            <w:bookmarkStart w:id="14" w:name="_Toc8569"/>
            <w:bookmarkStart w:id="15" w:name="_Toc24728"/>
            <w:bookmarkStart w:id="16" w:name="_Toc15191"/>
            <w:bookmarkStart w:id="17" w:name="_Toc1496"/>
            <w:bookmarkStart w:id="18" w:name="_Toc440478746"/>
            <w:r>
              <w:rPr>
                <w:b/>
                <w:bCs/>
                <w:color w:val="000000" w:themeColor="text1"/>
                <w:sz w:val="24"/>
                <w:szCs w:val="36"/>
                <w14:textFill>
                  <w14:solidFill>
                    <w14:schemeClr w14:val="tx1"/>
                  </w14:solidFill>
                </w14:textFill>
              </w:rPr>
              <w:t>4、固废污染防治措施</w:t>
            </w:r>
            <w:bookmarkEnd w:id="12"/>
            <w:bookmarkEnd w:id="13"/>
            <w:bookmarkEnd w:id="14"/>
            <w:bookmarkEnd w:id="15"/>
            <w:bookmarkEnd w:id="16"/>
            <w:bookmarkEnd w:id="17"/>
            <w:bookmarkEnd w:id="18"/>
          </w:p>
          <w:p>
            <w:pPr>
              <w:pStyle w:val="68"/>
              <w:spacing w:before="0" w:line="360" w:lineRule="auto"/>
              <w:ind w:firstLine="480"/>
              <w:rPr>
                <w:rFonts w:ascii="Times New Roman" w:hAnsi="Times New Roman"/>
                <w:b/>
                <w:bCs/>
                <w:color w:val="000000" w:themeColor="text1"/>
                <w:kern w:val="0"/>
                <w:szCs w:val="36"/>
                <w14:textFill>
                  <w14:solidFill>
                    <w14:schemeClr w14:val="tx1"/>
                  </w14:solidFill>
                </w14:textFill>
              </w:rPr>
            </w:pPr>
            <w:r>
              <w:rPr>
                <w:rFonts w:ascii="Times New Roman" w:hAnsi="Times New Roman"/>
                <w:color w:val="000000" w:themeColor="text1"/>
                <w14:textFill>
                  <w14:solidFill>
                    <w14:schemeClr w14:val="tx1"/>
                  </w14:solidFill>
                </w14:textFill>
              </w:rPr>
              <w:t>营运期固体废弃物主要为道路沿线过往行人产生的垃圾，由环卫部门统一收集后清运，进行无害化处理。由于产生的垃圾数量较少，成分较单一，因此对环境的影响很小。同时应加强道路环保的宣传力度，增强司乘人员的环保意识，培养群众环境保护的主人翁责任感，以减少道路垃圾的产生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52" w:type="dxa"/>
            <w:vAlign w:val="center"/>
          </w:tcPr>
          <w:p>
            <w:pPr>
              <w:adjustRightInd w:val="0"/>
              <w:snapToGrid w:val="0"/>
              <w:jc w:val="center"/>
              <w:rPr>
                <w:bCs/>
                <w:color w:val="000000" w:themeColor="text1"/>
                <w:spacing w:val="10"/>
                <w:sz w:val="24"/>
                <w14:textFill>
                  <w14:solidFill>
                    <w14:schemeClr w14:val="tx1"/>
                  </w14:solidFill>
                </w14:textFill>
              </w:rPr>
            </w:pPr>
            <w:r>
              <w:rPr>
                <w:bCs/>
                <w:color w:val="000000" w:themeColor="text1"/>
                <w:sz w:val="24"/>
                <w14:textFill>
                  <w14:solidFill>
                    <w14:schemeClr w14:val="tx1"/>
                  </w14:solidFill>
                </w14:textFill>
              </w:rPr>
              <w:t>其他</w:t>
            </w:r>
          </w:p>
        </w:tc>
        <w:tc>
          <w:tcPr>
            <w:tcW w:w="7997" w:type="dxa"/>
          </w:tcPr>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环境影响风险分析</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（1）风险调查</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区域主要通行车辆，除一般小轿车、公交车外，还会有少量的运输化学品、油料等车辆。交通事故对环境的污染主要表现在运输危险化学品车辆通过路段时，车辆发生事故导致油料泄露导致，污染事故类型主要有：</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车辆本身携带的汽油(或柴油)和机油泄漏，通过雨水排口排入附近水体；</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化学危险品的运输车辆(油罐车)发生交通事故后，化学危险品发生泄漏，排入附近水体；</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车辆事故泄露的汽油挥发产生的挥发性有机物进入大气造成污染；</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ascii="Times New Roman" w:hAnsi="Times New Roman"/>
                <w:color w:val="000000" w:themeColor="text1"/>
                <w14:textFill>
                  <w14:solidFill>
                    <w14:schemeClr w14:val="tx1"/>
                  </w14:solidFill>
                </w14:textFill>
              </w:rPr>
              <w:t>事故车辆起火燃烧造成的大气污染以及消防灭火产生的消防水通过雨水管进入附近水体造成的污染。</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（2）环境风险分析</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地表水环境风险分析</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本项目水环境风险主要表现在车辆事故导致的自带油料泄露、机油泄露、危化品运输车辆的物料泄露、车辆事故起火消防灭火产生的消防废水等，通过沟渠进入地下水，对地下水质造成污染。</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在道路运输过程中，运输易燃易爆有毒危险化学品的容器一旦发生泄漏或翻车事故时，危险化学品通过边沟进入周边水系，将给当地水环境造成影响。针对此类突发性事故应引起高度重视，管理部门作好应急处理计划，通过加强管理，使污染影响降至最低限度。</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本项目设置有限速标志，减少车辆碰撞事故可能造成的油料泄露问题，一定程度上避免了车辆事故发生，本项目</w:t>
            </w:r>
            <w:r>
              <w:rPr>
                <w:rFonts w:hint="eastAsia" w:ascii="Times New Roman" w:hAnsi="Times New Roman"/>
                <w:color w:val="000000" w:themeColor="text1"/>
                <w14:textFill>
                  <w14:solidFill>
                    <w14:schemeClr w14:val="tx1"/>
                  </w14:solidFill>
                </w14:textFill>
              </w:rPr>
              <w:t>穿越</w:t>
            </w:r>
            <w:r>
              <w:rPr>
                <w:rFonts w:hint="eastAsia" w:ascii="Times New Roman" w:hAnsi="Times New Roman"/>
                <w:bCs/>
                <w:color w:val="000000" w:themeColor="text1"/>
                <w14:textFill>
                  <w14:solidFill>
                    <w14:schemeClr w14:val="tx1"/>
                  </w14:solidFill>
                </w14:textFill>
              </w:rPr>
              <w:t>宁县春荣镇路户村安头组2#机井水源地二级保护区</w:t>
            </w:r>
            <w:r>
              <w:rPr>
                <w:rFonts w:ascii="Times New Roman" w:hAnsi="Times New Roman"/>
                <w:color w:val="000000" w:themeColor="text1"/>
                <w14:textFill>
                  <w14:solidFill>
                    <w14:schemeClr w14:val="tx1"/>
                  </w14:solidFill>
                </w14:textFill>
              </w:rPr>
              <w:t>，因此，严禁物料泄露，在穿越饮用水水源保护区的路段的两侧建设防撞护栏和事故导流槽，</w:t>
            </w:r>
            <w:r>
              <w:rPr>
                <w:rFonts w:hint="eastAsia" w:ascii="Times New Roman" w:hAnsi="Times New Roman"/>
                <w:color w:val="000000" w:themeColor="text1"/>
                <w14:textFill>
                  <w14:solidFill>
                    <w14:schemeClr w14:val="tx1"/>
                  </w14:solidFill>
                </w14:textFill>
              </w:rPr>
              <w:t>并设置事故池，容积为100m</w:t>
            </w:r>
            <w:r>
              <w:rPr>
                <w:rFonts w:hint="eastAsia"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，确保事故污水能全部收集并自流进入</w:t>
            </w:r>
            <w:r>
              <w:rPr>
                <w:rFonts w:hint="eastAsia" w:ascii="Times New Roman" w:hAnsi="Times New Roman"/>
                <w:color w:val="000000" w:themeColor="text1"/>
                <w14:textFill>
                  <w14:solidFill>
                    <w14:schemeClr w14:val="tx1"/>
                  </w14:solidFill>
                </w14:textFill>
              </w:rPr>
              <w:t>事故池，</w:t>
            </w:r>
            <w:r>
              <w:rPr>
                <w:rFonts w:ascii="Times New Roman" w:hAnsi="Times New Roman"/>
                <w:color w:val="000000" w:themeColor="text1"/>
                <w14:textFill>
                  <w14:solidFill>
                    <w14:schemeClr w14:val="tx1"/>
                  </w14:solidFill>
                </w14:textFill>
              </w:rPr>
              <w:t>采取以上措施对地下水影响很小。</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大气环境风险分析</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大气环境风险主要为车辆事故导致的油料泄露挥发产生的挥发性有机物，以及事故车辆起火产生的浓烟、CO等污染物，车辆油料泄露量小，挥发产生的有机物量小，可通过大气稀释消散，本项目位于西峰区，消防人员到达现场时间在事故发生15min内，因此，明火很快会被扑灭，浓烟产生时间短，对区域大气环境影响较小。</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（3）环境风险防范措施</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在与饮用水水源二级保护区边界交叉的公路的两侧，分别设置进入、驶离饮用水水源二级保护区的道路警示牌；</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在穿越饮用水水源保护区的路段的两侧建设防撞护栏和事故导流槽，在地势较低处</w:t>
            </w:r>
            <w:r>
              <w:rPr>
                <w:rFonts w:hint="eastAsia" w:ascii="Times New Roman" w:hAnsi="Times New Roman"/>
                <w:color w:val="000000" w:themeColor="text1"/>
                <w14:textFill>
                  <w14:solidFill>
                    <w14:schemeClr w14:val="tx1"/>
                  </w14:solidFill>
                </w14:textFill>
              </w:rPr>
              <w:t>设置事故池1座（100m</w:t>
            </w:r>
            <w:r>
              <w:rPr>
                <w:rFonts w:hint="eastAsia"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在驶入饮用水水源保护区的路口设置禁止危险化学品运输车辆通行标志牌。</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ascii="Times New Roman" w:hAnsi="Times New Roman"/>
                <w:color w:val="000000" w:themeColor="text1"/>
                <w14:textFill>
                  <w14:solidFill>
                    <w14:schemeClr w14:val="tx1"/>
                  </w14:solidFill>
                </w14:textFill>
              </w:rPr>
              <w:t>发生交通事故后，应第一时间上报相关部门，启动应急计划。交管部门、道路管理部门接受报案后及时向政府办公部门报告，并启动应急预案；</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rFonts w:ascii="Times New Roman" w:hAnsi="Times New Roman"/>
                <w:color w:val="000000" w:themeColor="text1"/>
                <w14:textFill>
                  <w14:solidFill>
                    <w14:schemeClr w14:val="tx1"/>
                  </w14:solidFill>
                </w14:textFill>
              </w:rPr>
              <w:t>加强施工人员安全、环保教育，加强机械操作管理，提醒安全驾驶。</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（4）环境风险事故应急预案</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建设单位应编制详尽的应急计划，统一应急行动，明确应急责任人和有关部门的职责，确保在最短的时间将事故控制，以减少对环境的破坏。大概包括以下有关方面：</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(1)应急处置</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造成或者可能造成突发环境事件时，应当立即启动突发环境事件应急预案，采取切断或者控制污染源以及其他防止危害扩大的必要措施，及时通报可能受到危害的单位和居民，并向事发地县级以上环境保护主管部门报告，接受调查处理。应急处置期间，应当服从统一指挥，全面、准确地提供本单位与应急处置相关的技术资料，协助维护应急秩序，保护与突发环境事件相关的各项证据。</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获知突发环境事件信息后，事件发生地县级以上地方环境保护主管部门应当按照《突发环境事件信息报告办法》规定的时限、程序和要求，向同级人民政府和上级环境保护主管部门报告。</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应急处置期间，事发地县级以上地方环境保护主管部门应当组织开展事件信息的分析、评估，提出应急处置方案和建议报本级人民政府。</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ascii="Times New Roman" w:hAnsi="Times New Roman"/>
                <w:color w:val="000000" w:themeColor="text1"/>
                <w14:textFill>
                  <w14:solidFill>
                    <w14:schemeClr w14:val="tx1"/>
                  </w14:solidFill>
                </w14:textFill>
              </w:rPr>
              <w:t>突发环境事件的威胁和危害得到控制或者消除后，事发地县级以上地方环境保护主管部门应当根据本级人民政府的统一部署，停止应急处置措施。</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(2)事后恢复</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应急处置工作结束后，县级以上地方环境保护主管部门应当及时总结、评估应急处置工作情况，提出改进措施，并向上级环境保护主管部门报告。</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县级以上地方环境保护主管部门应当在本级人民政府的统一部署下，组织开展突发环境事件环境影响和损失等评估工作，并依法向有关人民政府报告。</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县级以上环境保护主管部门应当按照有关规定开展事件调查，查清突发环境事件原因，确认事件性质，认定事件责任，提出整改措施和处理意见。</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ascii="Times New Roman" w:hAnsi="Times New Roman"/>
                <w:color w:val="000000" w:themeColor="text1"/>
                <w14:textFill>
                  <w14:solidFill>
                    <w14:schemeClr w14:val="tx1"/>
                  </w14:solidFill>
                </w14:textFill>
              </w:rPr>
              <w:t>县级以上地方环境保护主管部门应当在本级人民政府的统一领导下，参与制定环境恢复工作方案，推动环境恢复工作。</w:t>
            </w:r>
          </w:p>
          <w:p>
            <w:pPr>
              <w:pStyle w:val="15"/>
              <w:spacing w:line="360" w:lineRule="auto"/>
              <w:rPr>
                <w:b/>
                <w:bCs/>
                <w:color w:val="000000" w:themeColor="text1"/>
                <w:sz w:val="24"/>
                <w:szCs w:val="36"/>
                <w14:textFill>
                  <w14:solidFill>
                    <w14:schemeClr w14:val="tx1"/>
                  </w14:solidFill>
                </w14:textFill>
              </w:rPr>
            </w:pPr>
            <w:r>
              <w:rPr>
                <w:b/>
                <w:bCs/>
                <w:color w:val="000000" w:themeColor="text1"/>
                <w:sz w:val="24"/>
                <w:szCs w:val="36"/>
                <w14:textFill>
                  <w14:solidFill>
                    <w14:schemeClr w14:val="tx1"/>
                  </w14:solidFill>
                </w14:textFill>
              </w:rPr>
              <w:t>（5）环境风险评价结论</w:t>
            </w:r>
          </w:p>
          <w:p>
            <w:pPr>
              <w:pStyle w:val="6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经分析，营运期间可能出现的环境风险主要来源于来往车辆发生翻车事故。通过事故概率分析，项目营运期间发生以上环境风险事故的概率极小，在采取相应防范措施的基础.上可将风险事故造成的危害降至最低，从环境风险角度分析，本项目实施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1" w:hRule="atLeast"/>
          <w:jc w:val="center"/>
        </w:trPr>
        <w:tc>
          <w:tcPr>
            <w:tcW w:w="452" w:type="dxa"/>
            <w:vAlign w:val="center"/>
          </w:tcPr>
          <w:p>
            <w:pPr>
              <w:adjustRightInd w:val="0"/>
              <w:snapToGrid w:val="0"/>
              <w:jc w:val="center"/>
              <w:rPr>
                <w:bCs/>
                <w:color w:val="000000" w:themeColor="text1"/>
                <w:spacing w:val="10"/>
                <w:sz w:val="24"/>
                <w14:textFill>
                  <w14:solidFill>
                    <w14:schemeClr w14:val="tx1"/>
                  </w14:solidFill>
                </w14:textFill>
              </w:rPr>
            </w:pPr>
            <w:r>
              <w:rPr>
                <w:bCs/>
                <w:color w:val="000000" w:themeColor="text1"/>
                <w:sz w:val="24"/>
                <w14:textFill>
                  <w14:solidFill>
                    <w14:schemeClr w14:val="tx1"/>
                  </w14:solidFill>
                </w14:textFill>
              </w:rPr>
              <w:t>环保投资</w:t>
            </w:r>
          </w:p>
        </w:tc>
        <w:tc>
          <w:tcPr>
            <w:tcW w:w="7997" w:type="dxa"/>
          </w:tcPr>
          <w:p>
            <w:pPr>
              <w:spacing w:line="360" w:lineRule="auto"/>
              <w:ind w:firstLine="480" w:firstLineChars="200"/>
              <w:contextualSpacing/>
              <w:rPr>
                <w:color w:val="000000" w:themeColor="text1"/>
                <w:sz w:val="24"/>
                <w14:textFill>
                  <w14:solidFill>
                    <w14:schemeClr w14:val="tx1"/>
                  </w14:solidFill>
                </w14:textFill>
              </w:rPr>
            </w:pPr>
            <w:r>
              <w:rPr>
                <w:color w:val="FF0000"/>
                <w:sz w:val="24"/>
              </w:rPr>
              <w:t>本项目总投资为</w:t>
            </w:r>
            <w:r>
              <w:rPr>
                <w:rFonts w:hint="eastAsia"/>
                <w:color w:val="FF0000"/>
                <w:sz w:val="24"/>
              </w:rPr>
              <w:t>8571.3935</w:t>
            </w:r>
            <w:r>
              <w:rPr>
                <w:color w:val="FF0000"/>
                <w:sz w:val="24"/>
              </w:rPr>
              <w:t>万元，其中环保投资为</w:t>
            </w:r>
            <w:r>
              <w:rPr>
                <w:rFonts w:hint="eastAsia"/>
                <w:color w:val="FF0000"/>
                <w:sz w:val="24"/>
              </w:rPr>
              <w:t>160</w:t>
            </w:r>
            <w:r>
              <w:rPr>
                <w:color w:val="FF0000"/>
                <w:sz w:val="24"/>
              </w:rPr>
              <w:t>万元，占工程总投资的</w:t>
            </w:r>
            <w:r>
              <w:rPr>
                <w:rFonts w:hint="eastAsia"/>
                <w:color w:val="FF0000"/>
                <w:sz w:val="24"/>
              </w:rPr>
              <w:t>1.8</w:t>
            </w:r>
            <w:r>
              <w:rPr>
                <w:rFonts w:hint="eastAsia"/>
                <w:color w:val="FF0000"/>
                <w:sz w:val="24"/>
                <w:lang w:val="en-US" w:eastAsia="zh-CN"/>
              </w:rPr>
              <w:t>9</w:t>
            </w:r>
            <w:r>
              <w:rPr>
                <w:color w:val="FF0000"/>
                <w:sz w:val="24"/>
              </w:rPr>
              <w:t>%</w:t>
            </w:r>
            <w:r>
              <w:rPr>
                <w:color w:val="000000" w:themeColor="text1"/>
                <w:sz w:val="24"/>
                <w14:textFill>
                  <w14:solidFill>
                    <w14:schemeClr w14:val="tx1"/>
                  </w14:solidFill>
                </w14:textFill>
              </w:rPr>
              <w:t>。各项环保投资概算详见表5-</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 xml:space="preserve">。 </w:t>
            </w:r>
          </w:p>
          <w:p>
            <w:pPr>
              <w:adjustRightInd w:val="0"/>
              <w:snapToGrid w:val="0"/>
              <w:jc w:val="center"/>
              <w:rPr>
                <w:color w:val="000000" w:themeColor="text1"/>
                <w:sz w:val="24"/>
                <w14:textFill>
                  <w14:solidFill>
                    <w14:schemeClr w14:val="tx1"/>
                  </w14:solidFill>
                </w14:textFill>
              </w:rPr>
            </w:pPr>
            <w:r>
              <w:rPr>
                <w:b/>
                <w:color w:val="000000" w:themeColor="text1"/>
                <w:sz w:val="24"/>
                <w14:textFill>
                  <w14:solidFill>
                    <w14:schemeClr w14:val="tx1"/>
                  </w14:solidFill>
                </w14:textFill>
              </w:rPr>
              <w:t>表5-</w:t>
            </w: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 xml:space="preserve">    环保投资一览表     单位：万元</w:t>
            </w:r>
          </w:p>
          <w:tbl>
            <w:tblPr>
              <w:tblStyle w:val="30"/>
              <w:tblW w:w="7771"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879"/>
              <w:gridCol w:w="4011"/>
              <w:gridCol w:w="129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Align w:val="center"/>
                </w:tcPr>
                <w:p>
                  <w:pPr>
                    <w:tabs>
                      <w:tab w:val="left" w:pos="286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阶段</w:t>
                  </w: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治理项目</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主要措施</w:t>
                  </w:r>
                </w:p>
              </w:tc>
              <w:tc>
                <w:tcPr>
                  <w:tcW w:w="129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投资（万元）</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restart"/>
                  <w:vAlign w:val="center"/>
                </w:tcPr>
                <w:p>
                  <w:pPr>
                    <w:tabs>
                      <w:tab w:val="left" w:pos="286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w:t>
                  </w:r>
                </w:p>
                <w:p>
                  <w:pPr>
                    <w:tabs>
                      <w:tab w:val="left" w:pos="286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w:t>
                  </w:r>
                </w:p>
                <w:p>
                  <w:pPr>
                    <w:tabs>
                      <w:tab w:val="left" w:pos="286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扬尘防治</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洒水降尘、施工场地材料堆放覆盖</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tabs>
                      <w:tab w:val="left" w:pos="2865"/>
                    </w:tabs>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废水处理</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隔油沉砂池处理后回用</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vAlign w:val="center"/>
                </w:tcPr>
                <w:p>
                  <w:pPr>
                    <w:tabs>
                      <w:tab w:val="left" w:pos="2865"/>
                    </w:tabs>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噪声防治</w:t>
                  </w:r>
                </w:p>
              </w:tc>
              <w:tc>
                <w:tcPr>
                  <w:tcW w:w="4011" w:type="dxa"/>
                  <w:vAlign w:val="center"/>
                </w:tcPr>
                <w:p>
                  <w:pPr>
                    <w:tabs>
                      <w:tab w:val="left" w:pos="102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设备维护、警示牌等制作</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tabs>
                      <w:tab w:val="left" w:pos="2865"/>
                    </w:tabs>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固废处理</w:t>
                  </w:r>
                </w:p>
              </w:tc>
              <w:tc>
                <w:tcPr>
                  <w:tcW w:w="4011" w:type="dxa"/>
                  <w:vAlign w:val="center"/>
                </w:tcPr>
                <w:p>
                  <w:pPr>
                    <w:tabs>
                      <w:tab w:val="left" w:pos="102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定点收集，交由环卫部门统一运至政府指定生活垃圾填埋场处理</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tabs>
                      <w:tab w:val="left" w:pos="2865"/>
                    </w:tabs>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生态治理</w:t>
                  </w:r>
                </w:p>
              </w:tc>
              <w:tc>
                <w:tcPr>
                  <w:tcW w:w="4011" w:type="dxa"/>
                  <w:vAlign w:val="center"/>
                </w:tcPr>
                <w:p>
                  <w:pPr>
                    <w:tabs>
                      <w:tab w:val="left" w:pos="102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设置涵洞、硬化路肩、拦水带、边沟、边沟涵、排水沟和急流槽，对纵坡大于3%的路段边沟进行加固，做好路基、路面排水。对临时料场、临时堆土场占用土地和道路两侧裸露土皮进行绿化，防止水土流失</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营</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废气防治</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做好道路养护维修，加强路面清扫保洁，减少道路扬尘的产生</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废水防治</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加强路面清扫保洁，减少雨水冲刷携带的污染物量</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401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速禁鸣标志、道路维修、绿化措施</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4011" w:type="dxa"/>
                  <w:vAlign w:val="center"/>
                </w:tcPr>
                <w:p>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由环卫部门统一收集后清运</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dxa"/>
                  <w:vMerge w:val="continue"/>
                  <w:vAlign w:val="center"/>
                </w:tcPr>
                <w:p>
                  <w:pPr>
                    <w:jc w:val="center"/>
                    <w:rPr>
                      <w:color w:val="000000" w:themeColor="text1"/>
                      <w:szCs w:val="21"/>
                      <w14:textFill>
                        <w14:solidFill>
                          <w14:schemeClr w14:val="tx1"/>
                        </w14:solidFill>
                      </w14:textFill>
                    </w:rPr>
                  </w:pPr>
                </w:p>
              </w:tc>
              <w:tc>
                <w:tcPr>
                  <w:tcW w:w="187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风险防范</w:t>
                  </w:r>
                </w:p>
              </w:tc>
              <w:tc>
                <w:tcPr>
                  <w:tcW w:w="4011" w:type="dxa"/>
                  <w:vAlign w:val="center"/>
                </w:tcPr>
                <w:p>
                  <w:pPr>
                    <w:spacing w:line="2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在与饮用水水源二级保护区边界交叉的公路的两侧，分别设置进入、驶离饮用水水源二级保护区的道路警示牌；在穿越饮用水水源保护区的路段的两侧建设防撞护栏和事故导流槽，在地势较低处建设</w:t>
                  </w:r>
                  <w:r>
                    <w:rPr>
                      <w:rFonts w:hint="eastAsia"/>
                      <w:color w:val="000000" w:themeColor="text1"/>
                      <w:szCs w:val="21"/>
                      <w14:textFill>
                        <w14:solidFill>
                          <w14:schemeClr w14:val="tx1"/>
                        </w14:solidFill>
                      </w14:textFill>
                    </w:rPr>
                    <w:t>事故池1座（100m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，确保事故污水能全部收集并自流进入</w:t>
                  </w:r>
                  <w:r>
                    <w:rPr>
                      <w:rFonts w:hint="eastAsia"/>
                      <w:color w:val="000000" w:themeColor="text1"/>
                      <w:szCs w:val="21"/>
                      <w14:textFill>
                        <w14:solidFill>
                          <w14:schemeClr w14:val="tx1"/>
                        </w14:solidFill>
                      </w14:textFill>
                    </w:rPr>
                    <w:t>事故池</w:t>
                  </w:r>
                  <w:r>
                    <w:rPr>
                      <w:color w:val="000000" w:themeColor="text1"/>
                      <w:szCs w:val="21"/>
                      <w14:textFill>
                        <w14:solidFill>
                          <w14:schemeClr w14:val="tx1"/>
                        </w14:solidFill>
                      </w14:textFill>
                    </w:rPr>
                    <w:t>；在驶入饮用水水源保护区的路口设置禁止危险化学品运输车辆通行标志牌。</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81"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12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160</w:t>
                  </w:r>
                </w:p>
              </w:tc>
            </w:tr>
          </w:tbl>
          <w:p>
            <w:pPr>
              <w:pStyle w:val="9"/>
              <w:rPr>
                <w:color w:val="000000" w:themeColor="text1"/>
                <w14:textFill>
                  <w14:solidFill>
                    <w14:schemeClr w14:val="tx1"/>
                  </w14:solidFill>
                </w14:textFill>
              </w:rPr>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p>
            <w:pPr>
              <w:pStyle w:val="2"/>
            </w:pPr>
          </w:p>
          <w:p>
            <w:pPr>
              <w:pStyle w:val="4"/>
              <w:spacing w:before="120"/>
              <w:ind w:firstLine="482"/>
            </w:pPr>
          </w:p>
          <w:p/>
        </w:tc>
      </w:tr>
    </w:tbl>
    <w:p>
      <w:pPr>
        <w:rPr>
          <w:color w:val="000000" w:themeColor="text1"/>
          <w14:textFill>
            <w14:solidFill>
              <w14:schemeClr w14:val="tx1"/>
            </w14:solidFill>
          </w14:textFill>
        </w:rPr>
        <w:sectPr>
          <w:pgSz w:w="11907" w:h="16840"/>
          <w:pgMar w:top="1440" w:right="1797" w:bottom="1440" w:left="1797" w:header="851" w:footer="1077" w:gutter="0"/>
          <w:cols w:space="425" w:num="1"/>
          <w:docGrid w:linePitch="312" w:charSpace="0"/>
        </w:sectPr>
      </w:pPr>
    </w:p>
    <w:p>
      <w:pPr>
        <w:pStyle w:val="26"/>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b/>
          <w:snapToGrid w:val="0"/>
          <w:color w:val="000000" w:themeColor="text1"/>
          <w:sz w:val="30"/>
          <w:szCs w:val="30"/>
          <w14:textFill>
            <w14:solidFill>
              <w14:schemeClr w14:val="tx1"/>
            </w14:solidFill>
          </w14:textFill>
        </w:rPr>
        <w:t>六、生态环境保护措施监督检查清单</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477"/>
        <w:gridCol w:w="2190"/>
        <w:gridCol w:w="909"/>
        <w:gridCol w:w="2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Merge w:val="restart"/>
            <w:tcBorders>
              <w:tl2br w:val="single" w:color="auto" w:sz="4" w:space="0"/>
            </w:tcBorders>
          </w:tcPr>
          <w:p>
            <w:pPr>
              <w:pStyle w:val="26"/>
              <w:adjustRightInd w:val="0"/>
              <w:snapToGrid w:val="0"/>
              <w:spacing w:before="93" w:beforeLines="3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 xml:space="preserve">       </w:t>
            </w:r>
          </w:p>
          <w:p>
            <w:pPr>
              <w:pStyle w:val="26"/>
              <w:adjustRightInd w:val="0"/>
              <w:snapToGrid w:val="0"/>
              <w:spacing w:before="93" w:beforeLines="3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 xml:space="preserve">     内容        </w:t>
            </w:r>
          </w:p>
          <w:p>
            <w:pPr>
              <w:pStyle w:val="26"/>
              <w:adjustRightInd w:val="0"/>
              <w:snapToGrid w:val="0"/>
              <w:spacing w:before="0" w:beforeAutospacing="0" w:after="0" w:afterAutospacing="0" w:line="14" w:lineRule="auto"/>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 xml:space="preserve">  </w:t>
            </w:r>
          </w:p>
          <w:p>
            <w:pPr>
              <w:pStyle w:val="26"/>
              <w:adjustRightInd w:val="0"/>
              <w:snapToGrid w:val="0"/>
              <w:spacing w:before="0" w:beforeAutospacing="0" w:after="0" w:afterAutospacing="0"/>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要素</w:t>
            </w:r>
          </w:p>
        </w:tc>
        <w:tc>
          <w:tcPr>
            <w:tcW w:w="4667" w:type="dxa"/>
            <w:gridSpan w:val="2"/>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施工期</w:t>
            </w:r>
          </w:p>
        </w:tc>
        <w:tc>
          <w:tcPr>
            <w:tcW w:w="2980" w:type="dxa"/>
            <w:gridSpan w:val="2"/>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Merge w:val="continue"/>
          </w:tcPr>
          <w:p>
            <w:pPr>
              <w:pStyle w:val="26"/>
              <w:adjustRightInd w:val="0"/>
              <w:snapToGrid w:val="0"/>
              <w:spacing w:before="0" w:beforeAutospacing="0" w:after="0" w:afterAutospacing="0"/>
              <w:ind w:firstLine="840"/>
              <w:jc w:val="center"/>
              <w:outlineLvl w:val="0"/>
              <w:rPr>
                <w:rFonts w:ascii="Times New Roman" w:hAnsi="Times New Roman"/>
                <w:color w:val="000000" w:themeColor="text1"/>
                <w:kern w:val="2"/>
                <w14:textFill>
                  <w14:solidFill>
                    <w14:schemeClr w14:val="tx1"/>
                  </w14:solidFill>
                </w14:textFill>
              </w:rPr>
            </w:pPr>
          </w:p>
        </w:tc>
        <w:tc>
          <w:tcPr>
            <w:tcW w:w="2477" w:type="dxa"/>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环境保护措施</w:t>
            </w:r>
          </w:p>
        </w:tc>
        <w:tc>
          <w:tcPr>
            <w:tcW w:w="2190" w:type="dxa"/>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验收要求</w:t>
            </w:r>
          </w:p>
        </w:tc>
        <w:tc>
          <w:tcPr>
            <w:tcW w:w="909" w:type="dxa"/>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环境保护措施</w:t>
            </w:r>
          </w:p>
        </w:tc>
        <w:tc>
          <w:tcPr>
            <w:tcW w:w="2071" w:type="dxa"/>
            <w:vAlign w:val="center"/>
          </w:tcPr>
          <w:p>
            <w:pPr>
              <w:pStyle w:val="26"/>
              <w:adjustRightInd w:val="0"/>
              <w:snapToGrid w:val="0"/>
              <w:spacing w:before="0" w:beforeAutospacing="0" w:after="0" w:afterAutospacing="0"/>
              <w:jc w:val="center"/>
              <w:outlineLvl w:val="0"/>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陆生生态</w:t>
            </w:r>
          </w:p>
        </w:tc>
        <w:tc>
          <w:tcPr>
            <w:tcW w:w="247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土方开挖前剥离并保存表土，挖方及时清运、回填、夯实、覆盖，弃渣集中收集运至</w:t>
            </w:r>
            <w:r>
              <w:rPr>
                <w:rFonts w:hint="eastAsia"/>
                <w:color w:val="000000" w:themeColor="text1"/>
                <w:sz w:val="24"/>
                <w14:textFill>
                  <w14:solidFill>
                    <w14:schemeClr w14:val="tx1"/>
                  </w14:solidFill>
                </w14:textFill>
              </w:rPr>
              <w:t>宁</w:t>
            </w:r>
            <w:r>
              <w:rPr>
                <w:color w:val="000000" w:themeColor="text1"/>
                <w:sz w:val="24"/>
                <w14:textFill>
                  <w14:solidFill>
                    <w14:schemeClr w14:val="tx1"/>
                  </w14:solidFill>
                </w14:textFill>
              </w:rPr>
              <w:t>县建筑垃圾填埋场处置。对建筑材料进行遮盖，防止随风飘散和遇雨流失。根据项目沿线地形，部分路段设置涵洞、硬化路肩、拦水带、边沟、边沟涵、排水沟和急流槽，对纵坡大于3%的路段边沟进行加固，做好路基、路面排水。对临时料场、临时堆土场占用土地和道路两侧裸露土皮进行绿化，防止水土流失</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临时占地植被恢复</w:t>
            </w:r>
          </w:p>
        </w:tc>
        <w:tc>
          <w:tcPr>
            <w:tcW w:w="2071"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植被成活率80%以上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水生生态</w:t>
            </w:r>
          </w:p>
        </w:tc>
        <w:tc>
          <w:tcPr>
            <w:tcW w:w="247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2477" w:type="dxa"/>
            <w:vAlign w:val="center"/>
          </w:tcPr>
          <w:p>
            <w:pPr>
              <w:adjustRightInd w:val="0"/>
              <w:snapToGrid w:val="0"/>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施工废水产生量较少，与施工人员洗漱废水</w:t>
            </w:r>
            <w:r>
              <w:rPr>
                <w:color w:val="000000" w:themeColor="text1"/>
                <w:sz w:val="24"/>
                <w14:textFill>
                  <w14:solidFill>
                    <w14:schemeClr w14:val="tx1"/>
                  </w14:solidFill>
                </w14:textFill>
              </w:rPr>
              <w:t>经临时沉淀池沉淀处理后用于施工作业面、施工道路的泼洒抑尘</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不外排</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地下水及土壤环境</w:t>
            </w:r>
          </w:p>
        </w:tc>
        <w:tc>
          <w:tcPr>
            <w:tcW w:w="247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临时防渗沉淀池（20m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2477"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采用低噪声施工机械，定期进行维护保养，夜间停止施工作业。运行期做好道路养护维修，消除路面凹凸，减轻车辆颠簸，减少车辆鸣笛</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14:textFill>
                  <w14:solidFill>
                    <w14:schemeClr w14:val="tx1"/>
                  </w14:solidFill>
                </w14:textFill>
              </w:rPr>
              <w:t>满足（GB12523-2011）《建筑施工场界环境噪声排放标准》中昼间≤ 70dB（A），夜间≤ 55dB（A）</w:t>
            </w:r>
          </w:p>
        </w:tc>
        <w:tc>
          <w:tcPr>
            <w:tcW w:w="909"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对沿线交通管理设施合理规划，设置禁鸣标志。加强交通管理。</w:t>
            </w:r>
          </w:p>
        </w:tc>
        <w:tc>
          <w:tcPr>
            <w:tcW w:w="2071"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道路两侧</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0m范围内执行《声环境质量标准》（GB 3096-2008）2类区标准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振动</w:t>
            </w:r>
          </w:p>
        </w:tc>
        <w:tc>
          <w:tcPr>
            <w:tcW w:w="2477"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2477" w:type="dxa"/>
            <w:vAlign w:val="center"/>
          </w:tcPr>
          <w:p>
            <w:pPr>
              <w:pStyle w:val="29"/>
              <w:ind w:firstLine="240"/>
              <w:rPr>
                <w:color w:val="000000" w:themeColor="text1"/>
                <w:sz w:val="24"/>
                <w14:textFill>
                  <w14:solidFill>
                    <w14:schemeClr w14:val="tx1"/>
                  </w14:solidFill>
                </w14:textFill>
              </w:rPr>
            </w:pPr>
            <w:r>
              <w:rPr>
                <w:color w:val="000000" w:themeColor="text1"/>
                <w:sz w:val="24"/>
                <w14:textFill>
                  <w14:solidFill>
                    <w14:schemeClr w14:val="tx1"/>
                  </w14:solidFill>
                </w14:textFill>
              </w:rPr>
              <w:t>施工期建设期土方开挖辅以洒水，土方、物料堆场苫盖防尘网，土方、物料运输苫盖蓬布，路面经常清扫、洒水，大风、尘暴天气停止施工，所用水泥混凝土和沥青混凝土均外购成品，现场不进行拌和作业；沥青烟气随着铺路的结束此类影响将消失；运行期做好道路养护维修，加强路面清扫保洁，减少道路扬尘的产生</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项目施工期扬尘和施工车辆尾气排放执行《大气污染物综合排放标准》（GB16297-1996）中的无组织排放监控浓度限值</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加强交通、道路设施管理，严禁超载、超速。</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《环境空气质量标准》（GB3095-2012）二级标准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2477"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建筑垃圾集中收集运至</w:t>
            </w:r>
            <w:r>
              <w:rPr>
                <w:rFonts w:hint="eastAsia"/>
                <w:color w:val="000000" w:themeColor="text1"/>
                <w:sz w:val="24"/>
                <w14:textFill>
                  <w14:solidFill>
                    <w14:schemeClr w14:val="tx1"/>
                  </w14:solidFill>
                </w14:textFill>
              </w:rPr>
              <w:t>宁县</w:t>
            </w:r>
            <w:r>
              <w:rPr>
                <w:color w:val="000000" w:themeColor="text1"/>
                <w:sz w:val="24"/>
                <w14:textFill>
                  <w14:solidFill>
                    <w14:schemeClr w14:val="tx1"/>
                  </w14:solidFill>
                </w14:textFill>
              </w:rPr>
              <w:t>建筑垃圾填埋场处置；生活垃圾集中收集运至乡镇生活垃圾暂存点后由环卫部门统一收集后清运</w:t>
            </w:r>
          </w:p>
        </w:tc>
        <w:tc>
          <w:tcPr>
            <w:tcW w:w="21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执行《一般工业固体废物贮存和填埋污染控制标准》（GB18599-2020）</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电磁环境</w:t>
            </w:r>
          </w:p>
        </w:tc>
        <w:tc>
          <w:tcPr>
            <w:tcW w:w="247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w:t>
            </w:r>
          </w:p>
        </w:tc>
        <w:tc>
          <w:tcPr>
            <w:tcW w:w="247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在与饮用水水源二级保护区边界交叉的公路的两侧，分别设置进入、驶离饮用水水源二级保护区的道路警示牌；在穿越饮用水水源保护区的路段的两侧建设防撞护栏和事故导流槽，在地势较低处建设</w:t>
            </w:r>
            <w:r>
              <w:rPr>
                <w:rFonts w:hint="eastAsia"/>
                <w:color w:val="000000" w:themeColor="text1"/>
                <w:sz w:val="24"/>
                <w14:textFill>
                  <w14:solidFill>
                    <w14:schemeClr w14:val="tx1"/>
                  </w14:solidFill>
                </w14:textFill>
              </w:rPr>
              <w:t>事故池1座（100m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，确保事故污水能全部收集并自流进入</w:t>
            </w:r>
            <w:r>
              <w:rPr>
                <w:rFonts w:hint="eastAsia"/>
                <w:color w:val="000000" w:themeColor="text1"/>
                <w:sz w:val="24"/>
                <w14:textFill>
                  <w14:solidFill>
                    <w14:schemeClr w14:val="tx1"/>
                  </w14:solidFill>
                </w14:textFill>
              </w:rPr>
              <w:t>事故池</w:t>
            </w:r>
            <w:r>
              <w:rPr>
                <w:color w:val="000000" w:themeColor="text1"/>
                <w:sz w:val="24"/>
                <w14:textFill>
                  <w14:solidFill>
                    <w14:schemeClr w14:val="tx1"/>
                  </w14:solidFill>
                </w14:textFill>
              </w:rPr>
              <w:t>；在驶入饮用水水源保护区的路口设置禁止危险化学品运输车辆通行标志牌。</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低速行驶</w:t>
            </w:r>
          </w:p>
        </w:tc>
        <w:tc>
          <w:tcPr>
            <w:tcW w:w="2071" w:type="dxa"/>
            <w:vAlign w:val="center"/>
          </w:tcPr>
          <w:p>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环境监测</w:t>
            </w:r>
          </w:p>
        </w:tc>
        <w:tc>
          <w:tcPr>
            <w:tcW w:w="2477"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3" w:hRule="atLeast"/>
          <w:jc w:val="center"/>
        </w:trPr>
        <w:tc>
          <w:tcPr>
            <w:tcW w:w="8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其他</w:t>
            </w:r>
          </w:p>
        </w:tc>
        <w:tc>
          <w:tcPr>
            <w:tcW w:w="2477" w:type="dxa"/>
            <w:vAlign w:val="center"/>
          </w:tcPr>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施工前应作详细计划，尽量减少开挖面，以减少植被的破坏；平整场地时尽量使用开挖土，对于多余土尽量回用或合理堆放，减少水土流失。</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及施工单位应当重视施工过程的环境保护，加强对施工人员的环保培训，尽量减少土地的开挖量，减少对土地的占用，将对陆生生态影响降到最低。项目堤防加固、堤防护坡，可将项目区植被覆盖率有所提高，改善区域生态环境。施工完毕后应及时对临时占地区域进行复耕平整恢复。</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应加强宣传、教育，强化其保护环境的意识，文明施工，达到工程建设和环境保护的同步发展。</w:t>
            </w:r>
          </w:p>
        </w:tc>
        <w:tc>
          <w:tcPr>
            <w:tcW w:w="219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0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运营期加强巡查管护工作</w:t>
            </w:r>
          </w:p>
        </w:tc>
        <w:tc>
          <w:tcPr>
            <w:tcW w:w="20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bl>
    <w:p>
      <w:pPr>
        <w:pStyle w:val="26"/>
        <w:spacing w:before="0" w:beforeAutospacing="0" w:line="14" w:lineRule="auto"/>
        <w:jc w:val="center"/>
        <w:outlineLvl w:val="0"/>
        <w:rPr>
          <w:rFonts w:ascii="Times New Roman" w:hAnsi="Times New Roman"/>
          <w:b/>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br w:type="page"/>
      </w:r>
      <w:r>
        <w:rPr>
          <w:rFonts w:ascii="Times New Roman" w:hAnsi="Times New Roman"/>
          <w:b/>
          <w:snapToGrid w:val="0"/>
          <w:color w:val="000000" w:themeColor="text1"/>
          <w:sz w:val="30"/>
          <w:szCs w:val="30"/>
          <w14:textFill>
            <w14:solidFill>
              <w14:schemeClr w14:val="tx1"/>
            </w14:solidFill>
          </w14:textFill>
        </w:rPr>
        <w:t>七、结论</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69" w:hRule="atLeast"/>
          <w:jc w:val="center"/>
        </w:trPr>
        <w:tc>
          <w:tcPr>
            <w:tcW w:w="8522" w:type="dxa"/>
          </w:tcPr>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14:textFill>
                  <w14:solidFill>
                    <w14:schemeClr w14:val="tx1"/>
                  </w14:solidFill>
                </w14:textFill>
              </w:rPr>
            </w:pPr>
          </w:p>
          <w:p>
            <w:pPr>
              <w:pStyle w:val="61"/>
              <w:rPr>
                <w:rFonts w:cs="Times New Roman"/>
                <w:color w:val="000000" w:themeColor="text1"/>
                <w:szCs w:val="21"/>
                <w14:textFill>
                  <w14:solidFill>
                    <w14:schemeClr w14:val="tx1"/>
                  </w14:solidFill>
                </w14:textFill>
              </w:rPr>
            </w:pPr>
            <w:r>
              <w:rPr>
                <w:rFonts w:cs="Times New Roman"/>
                <w:color w:val="000000" w:themeColor="text1"/>
                <w14:textFill>
                  <w14:solidFill>
                    <w14:schemeClr w14:val="tx1"/>
                  </w14:solidFill>
                </w14:textFill>
              </w:rPr>
              <w:t>本项目符合国家和地方产业政策，工程施工期间，环境影响较小，在采取一定的环境保护措施可以得到有效恢复和减缓，且施工期较为短暂，不会对区域环境产生明显影响。工程建设后，能够进一步完善</w:t>
            </w:r>
            <w:r>
              <w:rPr>
                <w:rFonts w:hint="eastAsia" w:cs="Times New Roman"/>
                <w:color w:val="000000" w:themeColor="text1"/>
                <w14:textFill>
                  <w14:solidFill>
                    <w14:schemeClr w14:val="tx1"/>
                  </w14:solidFill>
                </w14:textFill>
              </w:rPr>
              <w:t>道路</w:t>
            </w:r>
            <w:r>
              <w:rPr>
                <w:rFonts w:cs="Times New Roman"/>
                <w:color w:val="000000" w:themeColor="text1"/>
                <w14:textFill>
                  <w14:solidFill>
                    <w14:schemeClr w14:val="tx1"/>
                  </w14:solidFill>
                </w14:textFill>
              </w:rPr>
              <w:t>体系，经济社会发展及区域生态稳定均具有深远的意义。项目在严格落实设计和环评提出的各项污染防治措施、生态保护措施后，可实现各项污染物的达标排放，对环境的影响总体较小。从环保角度分析，项目建设可行。</w:t>
            </w:r>
          </w:p>
        </w:tc>
      </w:tr>
    </w:tbl>
    <w:p>
      <w:pPr>
        <w:pStyle w:val="59"/>
        <w:ind w:firstLine="480"/>
        <w:rPr>
          <w:color w:val="000000" w:themeColor="text1"/>
          <w14:textFill>
            <w14:solidFill>
              <w14:schemeClr w14:val="tx1"/>
            </w14:solidFill>
          </w14:textFill>
        </w:rPr>
      </w:pPr>
    </w:p>
    <w:p>
      <w:pPr>
        <w:pStyle w:val="9"/>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26"/>
        <w:adjustRightInd w:val="0"/>
        <w:snapToGrid w:val="0"/>
        <w:spacing w:before="0" w:beforeAutospacing="0" w:after="0" w:afterAutospacing="0" w:line="360" w:lineRule="auto"/>
        <w:outlineLvl w:val="0"/>
        <w:rPr>
          <w:rFonts w:ascii="黑体" w:hAnsi="黑体" w:eastAsia="黑体"/>
          <w:snapToGrid w:val="0"/>
          <w:color w:val="000000" w:themeColor="text1"/>
          <w:sz w:val="32"/>
          <w:szCs w:val="32"/>
          <w14:textFill>
            <w14:solidFill>
              <w14:schemeClr w14:val="tx1"/>
            </w14:solidFill>
          </w14:textFill>
        </w:rPr>
      </w:pPr>
      <w:r>
        <w:rPr>
          <w:rFonts w:hint="eastAsia" w:ascii="黑体" w:hAnsi="黑体" w:eastAsia="黑体"/>
          <w:snapToGrid w:val="0"/>
          <w:color w:val="000000" w:themeColor="text1"/>
          <w:sz w:val="32"/>
          <w:szCs w:val="32"/>
          <w14:textFill>
            <w14:solidFill>
              <w14:schemeClr w14:val="tx1"/>
            </w14:solidFill>
          </w14:textFill>
        </w:rPr>
        <w:t>附表</w:t>
      </w:r>
    </w:p>
    <w:p>
      <w:pPr>
        <w:pStyle w:val="26"/>
        <w:adjustRightInd w:val="0"/>
        <w:snapToGrid w:val="0"/>
        <w:spacing w:before="0" w:beforeAutospacing="0" w:after="0" w:afterAutospacing="0" w:line="360" w:lineRule="auto"/>
        <w:jc w:val="center"/>
        <w:outlineLvl w:val="0"/>
        <w:rPr>
          <w:rFonts w:ascii="Times New Roman" w:hAnsi="Times New Roman" w:eastAsia="方正小标宋_GBK"/>
          <w:snapToGrid w:val="0"/>
          <w:color w:val="000000" w:themeColor="text1"/>
          <w:sz w:val="38"/>
          <w:szCs w:val="38"/>
          <w14:textFill>
            <w14:solidFill>
              <w14:schemeClr w14:val="tx1"/>
            </w14:solidFill>
          </w14:textFill>
        </w:rPr>
      </w:pPr>
      <w:r>
        <w:rPr>
          <w:rFonts w:ascii="Times New Roman" w:hAnsi="Times New Roman" w:eastAsia="方正小标宋_GBK"/>
          <w:snapToGrid w:val="0"/>
          <w:color w:val="000000" w:themeColor="text1"/>
          <w:sz w:val="38"/>
          <w:szCs w:val="38"/>
          <w14:textFill>
            <w14:solidFill>
              <w14:schemeClr w14:val="tx1"/>
            </w14:solidFill>
          </w14:textFill>
        </w:rPr>
        <w:t>建设项目污染物排放量汇总表  单位：t/a</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21"/>
        <w:gridCol w:w="10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4"/>
              <w:spacing w:beforeLines="0" w:afterLines="0" w:line="240" w:lineRule="auto"/>
              <w:jc w:val="right"/>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项目</w:t>
            </w:r>
          </w:p>
          <w:p>
            <w:pPr>
              <w:pStyle w:val="44"/>
              <w:spacing w:beforeLines="0" w:afterLines="0" w:line="240" w:lineRule="auto"/>
              <w:jc w:val="left"/>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分类</w:t>
            </w:r>
          </w:p>
        </w:tc>
        <w:tc>
          <w:tcPr>
            <w:tcW w:w="1417"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污染物名称</w:t>
            </w:r>
          </w:p>
        </w:tc>
        <w:tc>
          <w:tcPr>
            <w:tcW w:w="1701"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现有工程</w:t>
            </w:r>
          </w:p>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排放量（固体废物产生量）</w:t>
            </w:r>
            <w:r>
              <w:rPr>
                <w:rFonts w:ascii="Times New Roman" w:eastAsia="黑体"/>
                <w:snapToGrid w:val="0"/>
                <w:color w:val="000000" w:themeColor="text1"/>
                <w:spacing w:val="-6"/>
                <w:kern w:val="21"/>
                <w14:textFill>
                  <w14:solidFill>
                    <w14:schemeClr w14:val="tx1"/>
                  </w14:solidFill>
                </w14:textFill>
              </w:rPr>
              <w:fldChar w:fldCharType="begin"/>
            </w:r>
            <w:r>
              <w:rPr>
                <w:rFonts w:ascii="Times New Roman" w:eastAsia="黑体"/>
                <w:snapToGrid w:val="0"/>
                <w:color w:val="000000" w:themeColor="text1"/>
                <w:spacing w:val="-6"/>
                <w:kern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①</w:t>
            </w:r>
            <w:r>
              <w:rPr>
                <w:rFonts w:ascii="Times New Roman" w:eastAsia="黑体"/>
                <w:snapToGrid w:val="0"/>
                <w:color w:val="000000" w:themeColor="text1"/>
                <w:spacing w:val="-6"/>
                <w:kern w:val="21"/>
                <w14:textFill>
                  <w14:solidFill>
                    <w14:schemeClr w14:val="tx1"/>
                  </w14:solidFill>
                </w14:textFill>
              </w:rPr>
              <w:fldChar w:fldCharType="end"/>
            </w:r>
          </w:p>
        </w:tc>
        <w:tc>
          <w:tcPr>
            <w:tcW w:w="1276"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现有工程</w:t>
            </w:r>
          </w:p>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许可排放量</w:t>
            </w:r>
          </w:p>
          <w:p>
            <w:pPr>
              <w:pStyle w:val="44"/>
              <w:spacing w:beforeLines="0" w:afterLines="0"/>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fldChar w:fldCharType="begin"/>
            </w:r>
            <w:r>
              <w:rPr>
                <w:rFonts w:ascii="Times New Roman" w:eastAsia="黑体"/>
                <w:snapToGrid w:val="0"/>
                <w:color w:val="000000" w:themeColor="text1"/>
                <w:spacing w:val="-6"/>
                <w:kern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14:textFill>
                  <w14:solidFill>
                    <w14:schemeClr w14:val="tx1"/>
                  </w14:solidFill>
                </w14:textFill>
              </w:rPr>
              <w:fldChar w:fldCharType="separate"/>
            </w:r>
            <w:r>
              <w:rPr>
                <w:rFonts w:hint="eastAsia" w:hAnsi="宋体" w:cs="宋体"/>
                <w:snapToGrid w:val="0"/>
                <w:color w:val="000000" w:themeColor="text1"/>
                <w:spacing w:val="-6"/>
                <w:kern w:val="21"/>
                <w14:textFill>
                  <w14:solidFill>
                    <w14:schemeClr w14:val="tx1"/>
                  </w14:solidFill>
                </w14:textFill>
              </w:rPr>
              <w:t>②</w:t>
            </w:r>
            <w:r>
              <w:rPr>
                <w:rFonts w:ascii="Times New Roman" w:eastAsia="黑体"/>
                <w:snapToGrid w:val="0"/>
                <w:color w:val="000000" w:themeColor="text1"/>
                <w:spacing w:val="-6"/>
                <w:kern w:val="21"/>
                <w14:textFill>
                  <w14:solidFill>
                    <w14:schemeClr w14:val="tx1"/>
                  </w14:solidFill>
                </w14:textFill>
              </w:rPr>
              <w:fldChar w:fldCharType="end"/>
            </w:r>
          </w:p>
        </w:tc>
        <w:tc>
          <w:tcPr>
            <w:tcW w:w="1701"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在建工程</w:t>
            </w:r>
          </w:p>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排放量（固体废物产生量）</w:t>
            </w:r>
            <w:r>
              <w:rPr>
                <w:rFonts w:ascii="Times New Roman" w:eastAsia="黑体"/>
                <w:snapToGrid w:val="0"/>
                <w:color w:val="000000" w:themeColor="text1"/>
                <w:spacing w:val="-6"/>
                <w:kern w:val="21"/>
                <w14:textFill>
                  <w14:solidFill>
                    <w14:schemeClr w14:val="tx1"/>
                  </w14:solidFill>
                </w14:textFill>
              </w:rPr>
              <w:fldChar w:fldCharType="begin"/>
            </w:r>
            <w:r>
              <w:rPr>
                <w:rFonts w:ascii="Times New Roman" w:eastAsia="黑体"/>
                <w:snapToGrid w:val="0"/>
                <w:color w:val="000000" w:themeColor="text1"/>
                <w:spacing w:val="-6"/>
                <w:kern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③</w:t>
            </w:r>
            <w:r>
              <w:rPr>
                <w:rFonts w:ascii="Times New Roman" w:eastAsia="黑体"/>
                <w:snapToGrid w:val="0"/>
                <w:color w:val="000000" w:themeColor="text1"/>
                <w:spacing w:val="-6"/>
                <w:kern w:val="21"/>
                <w14:textFill>
                  <w14:solidFill>
                    <w14:schemeClr w14:val="tx1"/>
                  </w14:solidFill>
                </w14:textFill>
              </w:rPr>
              <w:fldChar w:fldCharType="end"/>
            </w:r>
          </w:p>
        </w:tc>
        <w:tc>
          <w:tcPr>
            <w:tcW w:w="1559"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本项目</w:t>
            </w:r>
          </w:p>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排放量（固体废物产生量）</w:t>
            </w:r>
            <w:r>
              <w:rPr>
                <w:rFonts w:ascii="Times New Roman" w:eastAsia="黑体"/>
                <w:snapToGrid w:val="0"/>
                <w:color w:val="000000" w:themeColor="text1"/>
                <w:spacing w:val="-6"/>
                <w:kern w:val="21"/>
                <w14:textFill>
                  <w14:solidFill>
                    <w14:schemeClr w14:val="tx1"/>
                  </w14:solidFill>
                </w14:textFill>
              </w:rPr>
              <w:fldChar w:fldCharType="begin"/>
            </w:r>
            <w:r>
              <w:rPr>
                <w:rFonts w:ascii="Times New Roman" w:eastAsia="黑体"/>
                <w:snapToGrid w:val="0"/>
                <w:color w:val="000000" w:themeColor="text1"/>
                <w:spacing w:val="-6"/>
                <w:kern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④</w:t>
            </w:r>
            <w:r>
              <w:rPr>
                <w:rFonts w:ascii="Times New Roman" w:eastAsia="黑体"/>
                <w:snapToGrid w:val="0"/>
                <w:color w:val="000000" w:themeColor="text1"/>
                <w:spacing w:val="-6"/>
                <w:kern w:val="21"/>
                <w14:textFill>
                  <w14:solidFill>
                    <w14:schemeClr w14:val="tx1"/>
                  </w14:solidFill>
                </w14:textFill>
              </w:rPr>
              <w:fldChar w:fldCharType="end"/>
            </w:r>
          </w:p>
        </w:tc>
        <w:tc>
          <w:tcPr>
            <w:tcW w:w="1761"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16"/>
                <w:kern w:val="21"/>
                <w14:textFill>
                  <w14:solidFill>
                    <w14:schemeClr w14:val="tx1"/>
                  </w14:solidFill>
                </w14:textFill>
              </w:rPr>
            </w:pPr>
            <w:r>
              <w:rPr>
                <w:rFonts w:ascii="Times New Roman" w:eastAsia="黑体"/>
                <w:snapToGrid w:val="0"/>
                <w:color w:val="000000" w:themeColor="text1"/>
                <w:spacing w:val="-16"/>
                <w:kern w:val="21"/>
                <w14:textFill>
                  <w14:solidFill>
                    <w14:schemeClr w14:val="tx1"/>
                  </w14:solidFill>
                </w14:textFill>
              </w:rPr>
              <w:t>以新带老削减量</w:t>
            </w:r>
          </w:p>
          <w:p>
            <w:pPr>
              <w:pStyle w:val="44"/>
              <w:spacing w:beforeLines="0" w:afterLines="0" w:line="240" w:lineRule="auto"/>
              <w:rPr>
                <w:rFonts w:ascii="Times New Roman" w:eastAsia="黑体"/>
                <w:snapToGrid w:val="0"/>
                <w:color w:val="000000" w:themeColor="text1"/>
                <w:spacing w:val="-16"/>
                <w:kern w:val="21"/>
                <w14:textFill>
                  <w14:solidFill>
                    <w14:schemeClr w14:val="tx1"/>
                  </w14:solidFill>
                </w14:textFill>
              </w:rPr>
            </w:pPr>
            <w:r>
              <w:rPr>
                <w:rFonts w:ascii="Times New Roman" w:eastAsia="黑体"/>
                <w:snapToGrid w:val="0"/>
                <w:color w:val="000000" w:themeColor="text1"/>
                <w:spacing w:val="-16"/>
                <w:kern w:val="21"/>
                <w14:textFill>
                  <w14:solidFill>
                    <w14:schemeClr w14:val="tx1"/>
                  </w14:solidFill>
                </w14:textFill>
              </w:rPr>
              <w:t>（新建项目不填）</w:t>
            </w:r>
            <w:r>
              <w:rPr>
                <w:rFonts w:ascii="Times New Roman" w:eastAsia="黑体"/>
                <w:snapToGrid w:val="0"/>
                <w:color w:val="000000" w:themeColor="text1"/>
                <w:spacing w:val="-16"/>
                <w:kern w:val="21"/>
                <w14:textFill>
                  <w14:solidFill>
                    <w14:schemeClr w14:val="tx1"/>
                  </w14:solidFill>
                </w14:textFill>
              </w:rPr>
              <w:fldChar w:fldCharType="begin"/>
            </w:r>
            <w:r>
              <w:rPr>
                <w:rFonts w:ascii="Times New Roman" w:eastAsia="黑体"/>
                <w:snapToGrid w:val="0"/>
                <w:color w:val="000000" w:themeColor="text1"/>
                <w:spacing w:val="-16"/>
                <w:kern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⑤</w:t>
            </w:r>
            <w:r>
              <w:rPr>
                <w:rFonts w:ascii="Times New Roman" w:eastAsia="黑体"/>
                <w:snapToGrid w:val="0"/>
                <w:color w:val="000000" w:themeColor="text1"/>
                <w:spacing w:val="-16"/>
                <w:kern w:val="21"/>
                <w14:textFill>
                  <w14:solidFill>
                    <w14:schemeClr w14:val="tx1"/>
                  </w14:solidFill>
                </w14:textFill>
              </w:rPr>
              <w:fldChar w:fldCharType="end"/>
            </w:r>
          </w:p>
        </w:tc>
        <w:tc>
          <w:tcPr>
            <w:tcW w:w="1721"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16"/>
                <w:kern w:val="21"/>
                <w14:textFill>
                  <w14:solidFill>
                    <w14:schemeClr w14:val="tx1"/>
                  </w14:solidFill>
                </w14:textFill>
              </w:rPr>
            </w:pPr>
            <w:r>
              <w:rPr>
                <w:rFonts w:ascii="Times New Roman" w:eastAsia="黑体"/>
                <w:snapToGrid w:val="0"/>
                <w:color w:val="000000" w:themeColor="text1"/>
                <w:spacing w:val="-16"/>
                <w:kern w:val="21"/>
                <w14:textFill>
                  <w14:solidFill>
                    <w14:schemeClr w14:val="tx1"/>
                  </w14:solidFill>
                </w14:textFill>
              </w:rPr>
              <w:t>本项目建成后</w:t>
            </w:r>
          </w:p>
          <w:p>
            <w:pPr>
              <w:pStyle w:val="44"/>
              <w:spacing w:beforeLines="0" w:afterLines="0" w:line="240" w:lineRule="auto"/>
              <w:rPr>
                <w:rFonts w:ascii="Times New Roman" w:eastAsia="黑体"/>
                <w:snapToGrid w:val="0"/>
                <w:color w:val="000000" w:themeColor="text1"/>
                <w:spacing w:val="-16"/>
                <w:kern w:val="21"/>
                <w14:textFill>
                  <w14:solidFill>
                    <w14:schemeClr w14:val="tx1"/>
                  </w14:solidFill>
                </w14:textFill>
              </w:rPr>
            </w:pPr>
            <w:r>
              <w:rPr>
                <w:rFonts w:ascii="Times New Roman" w:eastAsia="黑体"/>
                <w:snapToGrid w:val="0"/>
                <w:color w:val="000000" w:themeColor="text1"/>
                <w:spacing w:val="-16"/>
                <w:kern w:val="21"/>
                <w14:textFill>
                  <w14:solidFill>
                    <w14:schemeClr w14:val="tx1"/>
                  </w14:solidFill>
                </w14:textFill>
              </w:rPr>
              <w:t>全厂排放量（固体废物产生量）</w:t>
            </w:r>
            <w:r>
              <w:rPr>
                <w:rFonts w:ascii="Times New Roman" w:eastAsia="黑体"/>
                <w:snapToGrid w:val="0"/>
                <w:color w:val="000000" w:themeColor="text1"/>
                <w:spacing w:val="-16"/>
                <w:kern w:val="21"/>
                <w14:textFill>
                  <w14:solidFill>
                    <w14:schemeClr w14:val="tx1"/>
                  </w14:solidFill>
                </w14:textFill>
              </w:rPr>
              <w:fldChar w:fldCharType="begin"/>
            </w:r>
            <w:r>
              <w:rPr>
                <w:rFonts w:ascii="Times New Roman" w:eastAsia="黑体"/>
                <w:snapToGrid w:val="0"/>
                <w:color w:val="000000" w:themeColor="text1"/>
                <w:spacing w:val="-16"/>
                <w:kern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⑥</w:t>
            </w:r>
            <w:r>
              <w:rPr>
                <w:rFonts w:ascii="Times New Roman" w:eastAsia="黑体"/>
                <w:snapToGrid w:val="0"/>
                <w:color w:val="000000" w:themeColor="text1"/>
                <w:spacing w:val="-16"/>
                <w:kern w:val="21"/>
                <w14:textFill>
                  <w14:solidFill>
                    <w14:schemeClr w14:val="tx1"/>
                  </w14:solidFill>
                </w14:textFill>
              </w:rPr>
              <w:fldChar w:fldCharType="end"/>
            </w:r>
          </w:p>
        </w:tc>
        <w:tc>
          <w:tcPr>
            <w:tcW w:w="1064" w:type="dxa"/>
            <w:tcMar>
              <w:left w:w="28" w:type="dxa"/>
              <w:right w:w="28" w:type="dxa"/>
            </w:tcMar>
            <w:vAlign w:val="center"/>
          </w:tcPr>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t>变化量</w:t>
            </w:r>
          </w:p>
          <w:p>
            <w:pPr>
              <w:pStyle w:val="44"/>
              <w:spacing w:beforeLines="0" w:afterLines="0" w:line="240" w:lineRule="auto"/>
              <w:rPr>
                <w:rFonts w:ascii="Times New Roman" w:eastAsia="黑体"/>
                <w:snapToGrid w:val="0"/>
                <w:color w:val="000000" w:themeColor="text1"/>
                <w:spacing w:val="-6"/>
                <w:kern w:val="21"/>
                <w14:textFill>
                  <w14:solidFill>
                    <w14:schemeClr w14:val="tx1"/>
                  </w14:solidFill>
                </w14:textFill>
              </w:rPr>
            </w:pPr>
            <w:r>
              <w:rPr>
                <w:rFonts w:ascii="Times New Roman" w:eastAsia="黑体"/>
                <w:snapToGrid w:val="0"/>
                <w:color w:val="000000" w:themeColor="text1"/>
                <w:spacing w:val="-6"/>
                <w:kern w:val="21"/>
                <w14:textFill>
                  <w14:solidFill>
                    <w14:schemeClr w14:val="tx1"/>
                  </w14:solidFill>
                </w14:textFill>
              </w:rPr>
              <w:fldChar w:fldCharType="begin"/>
            </w:r>
            <w:r>
              <w:rPr>
                <w:rFonts w:ascii="Times New Roman" w:eastAsia="黑体"/>
                <w:snapToGrid w:val="0"/>
                <w:color w:val="000000" w:themeColor="text1"/>
                <w:spacing w:val="-6"/>
                <w:kern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kern w:val="2"/>
                <w14:textFill>
                  <w14:solidFill>
                    <w14:schemeClr w14:val="tx1"/>
                  </w14:solidFill>
                </w14:textFill>
              </w:rPr>
              <w:t>⑦</w:t>
            </w:r>
            <w:r>
              <w:rPr>
                <w:rFonts w:ascii="Times New Roman" w:eastAsia="黑体"/>
                <w:snapToGrid w:val="0"/>
                <w:color w:val="000000" w:themeColor="text1"/>
                <w:spacing w:val="-6"/>
                <w:kern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r>
              <w:rPr>
                <w:rFonts w:ascii="Times New Roman"/>
                <w:snapToGrid w:val="0"/>
                <w:color w:val="000000" w:themeColor="text1"/>
                <w:kern w:val="21"/>
                <w14:textFill>
                  <w14:solidFill>
                    <w14:schemeClr w14:val="tx1"/>
                  </w14:solidFill>
                </w14:textFill>
              </w:rPr>
              <w:t>废气</w:t>
            </w: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widowControl/>
              <w:autoSpaceDE w:val="0"/>
              <w:snapToGrid w:val="0"/>
              <w:spacing w:line="260" w:lineRule="exact"/>
              <w:jc w:val="center"/>
              <w:rPr>
                <w:snapToGrid w:val="0"/>
                <w:color w:val="000000" w:themeColor="text1"/>
                <w:kern w:val="21"/>
                <w:szCs w:val="21"/>
                <w14:textFill>
                  <w14:solidFill>
                    <w14:schemeClr w14:val="tx1"/>
                  </w14:solidFill>
                </w14:textFill>
              </w:rPr>
            </w:pPr>
          </w:p>
        </w:tc>
        <w:tc>
          <w:tcPr>
            <w:tcW w:w="1559" w:type="dxa"/>
            <w:vAlign w:val="center"/>
          </w:tcPr>
          <w:p>
            <w:pPr>
              <w:jc w:val="center"/>
              <w:rPr>
                <w:color w:val="000000" w:themeColor="text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jc w:val="center"/>
              <w:rPr>
                <w:color w:val="000000" w:themeColor="text1"/>
                <w:szCs w:val="21"/>
                <w14:textFill>
                  <w14:solidFill>
                    <w14:schemeClr w14:val="tx1"/>
                  </w14:solidFill>
                </w14:textFill>
              </w:rPr>
            </w:pPr>
          </w:p>
        </w:tc>
        <w:tc>
          <w:tcPr>
            <w:tcW w:w="1064" w:type="dxa"/>
            <w:vAlign w:val="center"/>
          </w:tcPr>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r>
              <w:rPr>
                <w:rFonts w:ascii="Times New Roman"/>
                <w:snapToGrid w:val="0"/>
                <w:color w:val="000000" w:themeColor="text1"/>
                <w:kern w:val="21"/>
                <w14:textFill>
                  <w14:solidFill>
                    <w14:schemeClr w14:val="tx1"/>
                  </w14:solidFill>
                </w14:textFill>
              </w:rPr>
              <w:t>一般工业</w:t>
            </w:r>
          </w:p>
          <w:p>
            <w:pPr>
              <w:pStyle w:val="44"/>
              <w:spacing w:beforeLines="0" w:afterLines="0" w:line="240" w:lineRule="auto"/>
              <w:rPr>
                <w:rFonts w:ascii="Times New Roman"/>
                <w:snapToGrid w:val="0"/>
                <w:color w:val="000000" w:themeColor="text1"/>
                <w:kern w:val="21"/>
                <w14:textFill>
                  <w14:solidFill>
                    <w14:schemeClr w14:val="tx1"/>
                  </w14:solidFill>
                </w14:textFill>
              </w:rPr>
            </w:pPr>
            <w:r>
              <w:rPr>
                <w:rFonts w:ascii="Times New Roman"/>
                <w:snapToGrid w:val="0"/>
                <w:color w:val="000000" w:themeColor="text1"/>
                <w:kern w:val="21"/>
                <w14:textFill>
                  <w14:solidFill>
                    <w14:schemeClr w14:val="tx1"/>
                  </w14:solidFill>
                </w14:textFill>
              </w:rPr>
              <w:t>固体废物</w:t>
            </w:r>
          </w:p>
        </w:tc>
        <w:tc>
          <w:tcPr>
            <w:tcW w:w="1417"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r>
              <w:rPr>
                <w:rFonts w:ascii="Times New Roman"/>
                <w:snapToGrid w:val="0"/>
                <w:color w:val="000000" w:themeColor="text1"/>
                <w:kern w:val="21"/>
                <w14:textFill>
                  <w14:solidFill>
                    <w14:schemeClr w14:val="tx1"/>
                  </w14:solidFill>
                </w14:textFill>
              </w:rPr>
              <w:t>危险废物</w:t>
            </w:r>
          </w:p>
        </w:tc>
        <w:tc>
          <w:tcPr>
            <w:tcW w:w="1417"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417" w:type="dxa"/>
            <w:vAlign w:val="center"/>
          </w:tcPr>
          <w:p>
            <w:pPr>
              <w:pStyle w:val="97"/>
              <w:adjustRightInd w:val="0"/>
              <w:snapToGrid w:val="0"/>
              <w:spacing w:before="156" w:line="240" w:lineRule="auto"/>
              <w:ind w:firstLine="0" w:firstLineChars="0"/>
              <w:jc w:val="center"/>
              <w:rPr>
                <w:color w:val="000000" w:themeColor="text1"/>
                <w:kern w:val="0"/>
                <w:sz w:val="21"/>
                <w:szCs w:val="21"/>
                <w:lang w:bidi="ar"/>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276"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0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559" w:type="dxa"/>
            <w:vAlign w:val="center"/>
          </w:tcPr>
          <w:p>
            <w:pPr>
              <w:pStyle w:val="97"/>
              <w:adjustRightInd w:val="0"/>
              <w:snapToGrid w:val="0"/>
              <w:spacing w:before="156" w:line="240" w:lineRule="auto"/>
              <w:ind w:firstLine="0" w:firstLineChars="0"/>
              <w:jc w:val="center"/>
              <w:rPr>
                <w:color w:val="000000" w:themeColor="text1"/>
                <w:sz w:val="21"/>
                <w:szCs w:val="21"/>
                <w14:textFill>
                  <w14:solidFill>
                    <w14:schemeClr w14:val="tx1"/>
                  </w14:solidFill>
                </w14:textFill>
              </w:rPr>
            </w:pPr>
          </w:p>
        </w:tc>
        <w:tc>
          <w:tcPr>
            <w:tcW w:w="1761" w:type="dxa"/>
            <w:vAlign w:val="center"/>
          </w:tcPr>
          <w:p>
            <w:pPr>
              <w:pStyle w:val="44"/>
              <w:spacing w:beforeLines="0" w:afterLines="0" w:line="240" w:lineRule="auto"/>
              <w:rPr>
                <w:rFonts w:ascii="Times New Roman"/>
                <w:snapToGrid w:val="0"/>
                <w:color w:val="000000" w:themeColor="text1"/>
                <w:kern w:val="21"/>
                <w14:textFill>
                  <w14:solidFill>
                    <w14:schemeClr w14:val="tx1"/>
                  </w14:solidFill>
                </w14:textFill>
              </w:rPr>
            </w:pPr>
          </w:p>
        </w:tc>
        <w:tc>
          <w:tcPr>
            <w:tcW w:w="1721"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c>
          <w:tcPr>
            <w:tcW w:w="1064" w:type="dxa"/>
            <w:vAlign w:val="center"/>
          </w:tcPr>
          <w:p>
            <w:pPr>
              <w:pStyle w:val="97"/>
              <w:adjustRightInd w:val="0"/>
              <w:snapToGrid w:val="0"/>
              <w:spacing w:before="156" w:line="240" w:lineRule="auto"/>
              <w:ind w:firstLine="0" w:firstLineChars="0"/>
              <w:jc w:val="center"/>
              <w:rPr>
                <w:snapToGrid w:val="0"/>
                <w:color w:val="000000" w:themeColor="text1"/>
                <w:kern w:val="21"/>
                <w:sz w:val="21"/>
                <w:szCs w:val="21"/>
                <w14:textFill>
                  <w14:solidFill>
                    <w14:schemeClr w14:val="tx1"/>
                  </w14:solidFill>
                </w14:textFill>
              </w:rPr>
            </w:pPr>
          </w:p>
        </w:tc>
      </w:tr>
    </w:tbl>
    <w:p>
      <w:pPr>
        <w:pStyle w:val="9"/>
        <w:rPr>
          <w:color w:val="000000" w:themeColor="text1"/>
          <w14:textFill>
            <w14:solidFill>
              <w14:schemeClr w14:val="tx1"/>
            </w14:solidFill>
          </w14:textFill>
        </w:rPr>
        <w:sectPr>
          <w:pgSz w:w="16838" w:h="11906" w:orient="landscape"/>
          <w:pgMar w:top="1797" w:right="1440" w:bottom="1797" w:left="1440" w:header="851" w:footer="992" w:gutter="0"/>
          <w:cols w:space="720" w:num="1"/>
          <w:docGrid w:type="linesAndChars" w:linePitch="312" w:charSpace="0"/>
        </w:sectPr>
      </w:pPr>
    </w:p>
    <w:p>
      <w:pPr>
        <w:pStyle w:val="9"/>
        <w:rPr>
          <w:color w:val="000000" w:themeColor="text1"/>
          <w:sz w:val="24"/>
          <w:szCs w:val="28"/>
          <w:lang w:val="zh-CN"/>
          <w14:textFill>
            <w14:solidFill>
              <w14:schemeClr w14:val="tx1"/>
            </w14:solidFill>
          </w14:textFill>
        </w:rPr>
      </w:pPr>
    </w:p>
    <w:p>
      <w:pPr>
        <w:pStyle w:val="59"/>
        <w:ind w:firstLine="480"/>
        <w:rPr>
          <w:color w:val="000000" w:themeColor="text1"/>
          <w14:textFill>
            <w14:solidFill>
              <w14:schemeClr w14:val="tx1"/>
            </w14:solidFill>
          </w14:textFill>
        </w:rPr>
      </w:pPr>
    </w:p>
    <w:p>
      <w:pPr>
        <w:pStyle w:val="59"/>
        <w:ind w:firstLine="480"/>
        <w:rPr>
          <w:color w:val="000000" w:themeColor="text1"/>
          <w14:textFill>
            <w14:solidFill>
              <w14:schemeClr w14:val="tx1"/>
            </w14:solidFill>
          </w14:textFill>
        </w:rPr>
      </w:pPr>
    </w:p>
    <w:p>
      <w:pPr>
        <w:pStyle w:val="59"/>
        <w:ind w:firstLine="0" w:firstLineChars="0"/>
        <w:jc w:val="center"/>
        <w:rPr>
          <w:color w:val="000000" w:themeColor="text1"/>
          <w14:textFill>
            <w14:solidFill>
              <w14:schemeClr w14:val="tx1"/>
            </w14:solidFill>
          </w14:textFill>
        </w:rPr>
      </w:pPr>
    </w:p>
    <w:p>
      <w:pPr>
        <w:pStyle w:val="59"/>
        <w:ind w:firstLine="0" w:firstLineChars="0"/>
        <w:jc w:val="center"/>
        <w:rPr>
          <w:color w:val="000000" w:themeColor="text1"/>
          <w:sz w:val="48"/>
          <w:szCs w:val="48"/>
          <w14:textFill>
            <w14:solidFill>
              <w14:schemeClr w14:val="tx1"/>
            </w14:solidFill>
          </w14:textFill>
        </w:rPr>
      </w:pPr>
      <w:r>
        <w:rPr>
          <w:rFonts w:hint="eastAsia"/>
          <w:color w:val="000000" w:themeColor="text1"/>
          <w:sz w:val="36"/>
          <w:szCs w:val="36"/>
          <w:lang w:val="en-US"/>
          <w14:textFill>
            <w14:solidFill>
              <w14:schemeClr w14:val="tx1"/>
            </w14:solidFill>
          </w14:textFill>
        </w:rPr>
        <w:t>S504宁县至湘乐（古城至石鼓段）公路改建工程</w:t>
      </w:r>
    </w:p>
    <w:p>
      <w:pPr>
        <w:pStyle w:val="59"/>
        <w:ind w:firstLine="0" w:firstLineChars="0"/>
        <w:jc w:val="center"/>
        <w:rPr>
          <w:b/>
          <w:color w:val="000000" w:themeColor="text1"/>
          <w:sz w:val="72"/>
          <w:szCs w:val="72"/>
          <w14:textFill>
            <w14:solidFill>
              <w14:schemeClr w14:val="tx1"/>
            </w14:solidFill>
          </w14:textFill>
        </w:rPr>
      </w:pPr>
      <w:r>
        <w:rPr>
          <w:b/>
          <w:color w:val="000000" w:themeColor="text1"/>
          <w:sz w:val="72"/>
          <w:szCs w:val="72"/>
          <w14:textFill>
            <w14:solidFill>
              <w14:schemeClr w14:val="tx1"/>
            </w14:solidFill>
          </w14:textFill>
        </w:rPr>
        <w:t>生态环境影响专项评价</w:t>
      </w:r>
    </w:p>
    <w:p>
      <w:pPr>
        <w:ind w:firstLine="480"/>
        <w:rPr>
          <w:color w:val="000000" w:themeColor="text1"/>
          <w:sz w:val="48"/>
          <w:szCs w:val="48"/>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pStyle w:val="29"/>
        <w:ind w:left="5250" w:firstLine="180"/>
        <w:rPr>
          <w:color w:val="000000" w:themeColor="text1"/>
          <w14:textFill>
            <w14:solidFill>
              <w14:schemeClr w14:val="tx1"/>
            </w14:solidFill>
          </w14:textFill>
        </w:rPr>
      </w:pPr>
    </w:p>
    <w:p>
      <w:pPr>
        <w:ind w:firstLine="720"/>
        <w:jc w:val="center"/>
        <w:rPr>
          <w:caps/>
          <w:color w:val="000000" w:themeColor="text1"/>
          <w:sz w:val="36"/>
          <w:szCs w:val="36"/>
          <w14:textFill>
            <w14:solidFill>
              <w14:schemeClr w14:val="tx1"/>
            </w14:solidFill>
          </w14:textFill>
        </w:rPr>
      </w:pPr>
    </w:p>
    <w:p>
      <w:pPr>
        <w:pStyle w:val="2"/>
      </w:pPr>
    </w:p>
    <w:p>
      <w:pPr>
        <w:pStyle w:val="4"/>
        <w:spacing w:before="156"/>
        <w:ind w:firstLine="482"/>
      </w:pPr>
    </w:p>
    <w:p/>
    <w:p>
      <w:pPr>
        <w:jc w:val="center"/>
        <w:rPr>
          <w:caps/>
          <w:color w:val="000000" w:themeColor="text1"/>
          <w:sz w:val="36"/>
          <w:szCs w:val="36"/>
          <w14:textFill>
            <w14:solidFill>
              <w14:schemeClr w14:val="tx1"/>
            </w14:solidFill>
          </w14:textFill>
        </w:rPr>
      </w:pPr>
      <w:r>
        <w:rPr>
          <w:rFonts w:hint="eastAsia"/>
          <w:caps/>
          <w:color w:val="000000" w:themeColor="text1"/>
          <w:sz w:val="36"/>
          <w:szCs w:val="36"/>
          <w14:textFill>
            <w14:solidFill>
              <w14:schemeClr w14:val="tx1"/>
            </w14:solidFill>
          </w14:textFill>
        </w:rPr>
        <w:t>宁县交通运输局</w:t>
      </w:r>
    </w:p>
    <w:p>
      <w:pPr>
        <w:jc w:val="center"/>
        <w:rPr>
          <w:caps/>
          <w:color w:val="000000" w:themeColor="text1"/>
          <w:sz w:val="36"/>
          <w:szCs w:val="36"/>
          <w14:textFill>
            <w14:solidFill>
              <w14:schemeClr w14:val="tx1"/>
            </w14:solidFill>
          </w14:textFill>
        </w:rPr>
      </w:pPr>
      <w:r>
        <w:rPr>
          <w:caps/>
          <w:color w:val="000000" w:themeColor="text1"/>
          <w:sz w:val="36"/>
          <w:szCs w:val="36"/>
          <w14:textFill>
            <w14:solidFill>
              <w14:schemeClr w14:val="tx1"/>
            </w14:solidFill>
          </w14:textFill>
        </w:rPr>
        <w:t>二〇二</w:t>
      </w:r>
      <w:r>
        <w:rPr>
          <w:rFonts w:hint="eastAsia"/>
          <w:caps/>
          <w:color w:val="000000" w:themeColor="text1"/>
          <w:sz w:val="36"/>
          <w:szCs w:val="36"/>
          <w14:textFill>
            <w14:solidFill>
              <w14:schemeClr w14:val="tx1"/>
            </w14:solidFill>
          </w14:textFill>
        </w:rPr>
        <w:t>三</w:t>
      </w:r>
      <w:r>
        <w:rPr>
          <w:caps/>
          <w:color w:val="000000" w:themeColor="text1"/>
          <w:sz w:val="36"/>
          <w:szCs w:val="36"/>
          <w14:textFill>
            <w14:solidFill>
              <w14:schemeClr w14:val="tx1"/>
            </w14:solidFill>
          </w14:textFill>
        </w:rPr>
        <w:t>年</w:t>
      </w:r>
      <w:r>
        <w:rPr>
          <w:rFonts w:hint="eastAsia"/>
          <w:caps/>
          <w:color w:val="000000" w:themeColor="text1"/>
          <w:sz w:val="36"/>
          <w:szCs w:val="36"/>
          <w14:textFill>
            <w14:solidFill>
              <w14:schemeClr w14:val="tx1"/>
            </w14:solidFill>
          </w14:textFill>
        </w:rPr>
        <w:t>三</w:t>
      </w:r>
      <w:r>
        <w:rPr>
          <w:caps/>
          <w:color w:val="000000" w:themeColor="text1"/>
          <w:sz w:val="36"/>
          <w:szCs w:val="36"/>
          <w14:textFill>
            <w14:solidFill>
              <w14:schemeClr w14:val="tx1"/>
            </w14:solidFill>
          </w14:textFill>
        </w:rPr>
        <w:t>月</w:t>
      </w:r>
    </w:p>
    <w:p>
      <w:pPr>
        <w:widowControl/>
        <w:jc w:val="left"/>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1、工程概况</w:t>
      </w:r>
    </w:p>
    <w:p>
      <w:pPr>
        <w:widowControl/>
        <w:spacing w:line="360" w:lineRule="auto"/>
        <w:ind w:firstLine="480" w:firstLineChars="200"/>
        <w:rPr>
          <w:color w:val="FF0000"/>
          <w:sz w:val="24"/>
        </w:rPr>
      </w:pPr>
      <w:r>
        <w:rPr>
          <w:rFonts w:hint="eastAsia"/>
          <w:color w:val="000000" w:themeColor="text1"/>
          <w:sz w:val="24"/>
          <w14:textFill>
            <w14:solidFill>
              <w14:schemeClr w14:val="tx1"/>
            </w14:solidFill>
          </w14:textFill>
        </w:rPr>
        <w:t>S504宁县至湘乐（古城至石鼓段）公路改建工程</w:t>
      </w:r>
      <w:r>
        <w:rPr>
          <w:color w:val="000000" w:themeColor="text1"/>
          <w:sz w:val="24"/>
          <w14:textFill>
            <w14:solidFill>
              <w14:schemeClr w14:val="tx1"/>
            </w14:solidFill>
          </w14:textFill>
        </w:rPr>
        <w:t>采用</w:t>
      </w:r>
      <w:r>
        <w:rPr>
          <w:rFonts w:hint="eastAsia"/>
          <w:color w:val="FF0000"/>
          <w:sz w:val="24"/>
        </w:rPr>
        <w:t>采用双向二车道三级公路标准，</w:t>
      </w:r>
      <w:r>
        <w:rPr>
          <w:rFonts w:hint="eastAsia"/>
          <w:color w:val="FF0000"/>
          <w:sz w:val="24"/>
          <w:lang w:val="en-US" w:eastAsia="zh-CN"/>
        </w:rPr>
        <w:t>全线总长25.111km，</w:t>
      </w:r>
      <w:r>
        <w:rPr>
          <w:rFonts w:hint="eastAsia"/>
          <w:color w:val="FF0000"/>
          <w:sz w:val="24"/>
        </w:rPr>
        <w:t>设计行车速度30km/h，路基宽度为7.5m，路面宽度为7.0米。路面结构</w:t>
      </w:r>
      <w:r>
        <w:rPr>
          <w:rFonts w:hint="eastAsia"/>
          <w:color w:val="FF0000"/>
          <w:sz w:val="24"/>
          <w:lang w:eastAsia="zh-CN"/>
        </w:rPr>
        <w:t>：</w:t>
      </w:r>
      <w:r>
        <w:rPr>
          <w:rFonts w:hint="eastAsia"/>
          <w:color w:val="FF0000"/>
          <w:sz w:val="24"/>
        </w:rPr>
        <w:t>5cm厚AC-13沥青混凝土面层+18cm 厚水泥稳定碎石基层+18cm厚冷再生底基层，春荣镇街道路面维持现有宽度采用5cm厚AC-13沥青混凝土面处理，部分达不到冷再生要求路段采用18cm厚3.5%水泥稳定砂砾铺筑底基层。路基设计洪水频率1/25，小桥涵设计洪水频率1/25，桥涵设计荷载公路-II级。</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bookmarkStart w:id="19" w:name="_Toc118981054"/>
      <w:bookmarkStart w:id="20" w:name="_Toc10438"/>
      <w:bookmarkStart w:id="21" w:name="_Toc441153248"/>
      <w:bookmarkStart w:id="22" w:name="_Toc131317689"/>
      <w:bookmarkStart w:id="23" w:name="_Toc109991377"/>
      <w:bookmarkStart w:id="24" w:name="_Toc140562825"/>
      <w:bookmarkStart w:id="25" w:name="_Toc110042367"/>
      <w:bookmarkStart w:id="26" w:name="_Toc145499588"/>
      <w:r>
        <w:rPr>
          <w:b/>
          <w:bCs/>
          <w:color w:val="000000" w:themeColor="text1"/>
          <w:sz w:val="24"/>
          <w14:textFill>
            <w14:solidFill>
              <w14:schemeClr w14:val="tx1"/>
            </w14:solidFill>
          </w14:textFill>
        </w:rPr>
        <w:t>、编制依据</w:t>
      </w:r>
      <w:bookmarkEnd w:id="19"/>
      <w:bookmarkEnd w:id="20"/>
      <w:bookmarkEnd w:id="21"/>
      <w:bookmarkEnd w:id="22"/>
      <w:bookmarkEnd w:id="23"/>
      <w:bookmarkEnd w:id="24"/>
      <w:bookmarkEnd w:id="25"/>
      <w:bookmarkEnd w:id="26"/>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（1）《建设项目环境影响报告表编制技术指南》（生态影响类）（试行）；</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（2）《中华人民共和国土地管理法》（2004.8.28）；</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（3）《中华人民共和国野生动物保护法》(2017.1.1)；</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（4）《中华人民共和国野生植物保护条例》(2017.10.7)；</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（5）《中华人民共和国陆生野生动物保护实施条例》(2016.2.6)；</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（6）《全国生态环境保护纲要》(2000.11.26)；</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（7）《</w:t>
      </w:r>
      <w:r>
        <w:rPr>
          <w:rFonts w:hint="eastAsia"/>
          <w:color w:val="000000" w:themeColor="text1"/>
          <w:sz w:val="24"/>
          <w:lang w:eastAsia="zh-CN"/>
          <w14:textFill>
            <w14:solidFill>
              <w14:schemeClr w14:val="tx1"/>
            </w14:solidFill>
          </w14:textFill>
        </w:rPr>
        <w:t>中华人民共和国</w:t>
      </w:r>
      <w:r>
        <w:rPr>
          <w:color w:val="000000" w:themeColor="text1"/>
          <w:sz w:val="24"/>
          <w14:textFill>
            <w14:solidFill>
              <w14:schemeClr w14:val="tx1"/>
            </w14:solidFill>
          </w14:textFill>
        </w:rPr>
        <w:t>共和国森林法》(2009.8.27)；</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（8）《</w:t>
      </w:r>
      <w:r>
        <w:rPr>
          <w:rFonts w:hint="eastAsia"/>
          <w:color w:val="000000" w:themeColor="text1"/>
          <w:sz w:val="24"/>
          <w:lang w:eastAsia="zh-CN"/>
          <w14:textFill>
            <w14:solidFill>
              <w14:schemeClr w14:val="tx1"/>
            </w14:solidFill>
          </w14:textFill>
        </w:rPr>
        <w:t>中华人民共和国</w:t>
      </w:r>
      <w:r>
        <w:rPr>
          <w:color w:val="000000" w:themeColor="text1"/>
          <w:sz w:val="24"/>
          <w14:textFill>
            <w14:solidFill>
              <w14:schemeClr w14:val="tx1"/>
            </w14:solidFill>
          </w14:textFill>
        </w:rPr>
        <w:t>共和国农业法》(2013.3.1)；</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（9）《基本农田保护条例》(1998.12.27)；</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（10）《进一步加强土地管理切实保护耕地的通知》中发[1997]11号；</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（11）《关于在公路建设中实行最严格的耕地保护制度的若干意见》交通运输部2004.4.6；</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（12）《关于进一步做好基本农田保护有关工作的意见》国土资发[2005]196号；</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（13）《关于进一步加强生态环境保护工作的意见》环发[2007]37号；</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（14）《甘肃省实施&lt;中华人民共和国土地管理法&gt;办法》（2002.3.30）；</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（15）《甘肃省实施&lt;中华人民共和国野生动物保护法&gt;办法》（2004.6.4）；</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（16）《甘肃省基本农田保护条例》（2002.3.30）；</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（17）《甘肃省实施&lt;中华人民共和国土地管理法&gt;办法》（2002.3.30）；</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（18）《甘肃省实施&lt;中华人民共和国野生动物保护法&gt;办法》（2010.9.29）；</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（19）《甘肃省实施&lt;中华人民共和国森林法&gt;办法》（2010.9.29）；</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（20）《环境影响评价技术导则 生态影响》</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HJ19-20</w:t>
      </w:r>
      <w:r>
        <w:rPr>
          <w:rFonts w:hint="eastAsia"/>
          <w:color w:val="000000" w:themeColor="text1"/>
          <w:sz w:val="24"/>
          <w14:textFill>
            <w14:solidFill>
              <w14:schemeClr w14:val="tx1"/>
            </w14:solidFill>
          </w14:textFill>
        </w:rPr>
        <w:t>22）</w:t>
      </w:r>
      <w:r>
        <w:rPr>
          <w:color w:val="000000" w:themeColor="text1"/>
          <w:sz w:val="24"/>
          <w14:textFill>
            <w14:solidFill>
              <w14:schemeClr w14:val="tx1"/>
            </w14:solidFill>
          </w14:textFill>
        </w:rPr>
        <w:t>；</w:t>
      </w:r>
    </w:p>
    <w:p>
      <w:pPr>
        <w:widowControl/>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3、环境功能区划</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color w:val="000000" w:themeColor="text1"/>
          <w:kern w:val="24"/>
          <w:sz w:val="24"/>
          <w:szCs w:val="21"/>
          <w14:textFill>
            <w14:solidFill>
              <w14:schemeClr w14:val="tx1"/>
            </w14:solidFill>
          </w14:textFill>
        </w:rPr>
        <w:t>甘肃省生态功能区划</w:t>
      </w:r>
      <w:r>
        <w:rPr>
          <w:color w:val="000000" w:themeColor="text1"/>
          <w:sz w:val="24"/>
          <w14:textFill>
            <w14:solidFill>
              <w14:schemeClr w14:val="tx1"/>
            </w14:solidFill>
          </w14:textFill>
        </w:rPr>
        <w:t>》本项目位于宁南-陇东黄土丘陵农业生态亚区中的黄土残塬旱作农业强烈水土流失生态功能区范围内。</w:t>
      </w:r>
    </w:p>
    <w:p>
      <w:pPr>
        <w:pStyle w:val="29"/>
        <w:spacing w:before="0" w:after="0" w:line="360" w:lineRule="auto"/>
        <w:ind w:right="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根据《庆阳市生态功能区划图》，本项目位于</w:t>
      </w:r>
      <w:r>
        <w:rPr>
          <w:rFonts w:hint="eastAsia"/>
          <w:color w:val="000000" w:themeColor="text1"/>
          <w:sz w:val="24"/>
          <w14:textFill>
            <w14:solidFill>
              <w14:schemeClr w14:val="tx1"/>
            </w14:solidFill>
          </w14:textFill>
        </w:rPr>
        <w:t>宁县盘克镇</w:t>
      </w:r>
      <w:r>
        <w:rPr>
          <w:color w:val="000000" w:themeColor="text1"/>
          <w:sz w:val="24"/>
          <w14:textFill>
            <w14:solidFill>
              <w14:schemeClr w14:val="tx1"/>
            </w14:solidFill>
          </w14:textFill>
        </w:rPr>
        <w:t>，所处生态环境功能区为Ⅳ西南部高原沟壑生态恢复区。</w:t>
      </w:r>
    </w:p>
    <w:p>
      <w:pPr>
        <w:widowControl/>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根据《关于划定省级水土流失重点预防区和重点治理区的公告》（甘政发〔2016〕59号），本项目所在地属于甘肃省水土流失重点治理区</w:t>
      </w:r>
      <w:r>
        <w:rPr>
          <w:color w:val="000000" w:themeColor="text1"/>
          <w:sz w:val="24"/>
          <w14:textFill>
            <w14:solidFill>
              <w14:schemeClr w14:val="tx1"/>
            </w14:solidFill>
          </w14:textFill>
        </w:rPr>
        <w:t>。</w:t>
      </w:r>
    </w:p>
    <w:p>
      <w:pPr>
        <w:widowControl/>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4、施工期生态环境影响分析</w:t>
      </w:r>
    </w:p>
    <w:p>
      <w:pPr>
        <w:widowControl/>
        <w:spacing w:line="360" w:lineRule="auto"/>
        <w:ind w:firstLine="480" w:firstLineChars="200"/>
        <w:rPr>
          <w:sz w:val="24"/>
        </w:rPr>
      </w:pPr>
      <w:r>
        <w:rPr>
          <w:rFonts w:hint="eastAsia"/>
          <w:sz w:val="24"/>
        </w:rPr>
        <w:t>4.1评价等级</w:t>
      </w:r>
    </w:p>
    <w:p>
      <w:pPr>
        <w:widowControl/>
        <w:spacing w:line="360" w:lineRule="auto"/>
        <w:ind w:firstLine="480" w:firstLineChars="200"/>
        <w:rPr>
          <w:sz w:val="24"/>
        </w:rPr>
      </w:pPr>
      <w:r>
        <w:rPr>
          <w:rFonts w:hint="eastAsia"/>
          <w:sz w:val="24"/>
        </w:rPr>
        <w:t>根据《环境影响评价技术导则-生态影响》（HJ19-2022），依据建设项目影响区域的生态敏感性和影响程度判定生态影响评价等级。本项目不属于水文要素影响型项目，占地面积为0.189km</w:t>
      </w:r>
      <w:r>
        <w:rPr>
          <w:rFonts w:hint="eastAsia"/>
          <w:sz w:val="24"/>
          <w:vertAlign w:val="superscript"/>
        </w:rPr>
        <w:t>2</w:t>
      </w:r>
      <w:r>
        <w:rPr>
          <w:rFonts w:hint="eastAsia"/>
          <w:sz w:val="24"/>
        </w:rPr>
        <w:t>；项目不涉及国家公园、自然保护区、世界自然遗产、重要生境、及自然公园等特殊生态敏感区及重要生态敏感区，为一般区域，且本项目地下水水位或土壤影响范围内无天然林、公益林、湿地等生态保护目标分布。根据《环境影响评价技术导则-生态影响》（HJ19-2022）中“6.1评价等级判定”依据及原则，本项目占地不属于其中的一级、二级评价等级判定范围，本项目生态评价等级为三级。</w:t>
      </w:r>
    </w:p>
    <w:p>
      <w:pPr>
        <w:widowControl/>
        <w:spacing w:line="360" w:lineRule="auto"/>
        <w:ind w:firstLine="480" w:firstLineChars="200"/>
        <w:rPr>
          <w:sz w:val="24"/>
        </w:rPr>
      </w:pPr>
      <w:r>
        <w:rPr>
          <w:rFonts w:hint="eastAsia"/>
          <w:sz w:val="24"/>
        </w:rPr>
        <w:t>4.2评价范围</w:t>
      </w:r>
    </w:p>
    <w:p>
      <w:pPr>
        <w:widowControl/>
        <w:spacing w:line="360" w:lineRule="auto"/>
        <w:ind w:firstLine="480" w:firstLineChars="200"/>
        <w:rPr>
          <w:sz w:val="24"/>
        </w:rPr>
      </w:pPr>
      <w:r>
        <w:rPr>
          <w:rFonts w:hint="eastAsia"/>
          <w:sz w:val="24"/>
        </w:rPr>
        <w:t>根据《环境影响评价技术导则-生态影响》（HJ19-2022）中“6.2 评价范围确定-6.2.5穿越非生态敏感区时，以线路中心线向两侧外延300m为参考评价范围”，项目生态评价范围确定为以线路中心线向两侧外延300m范围内</w:t>
      </w:r>
      <w:r>
        <w:rPr>
          <w:sz w:val="24"/>
        </w:rPr>
        <w:t>。</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4.3环境质量现状</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本项目区的生态环境质量总体一般。评价区域内未发现有水土流失现象，无国家级珍稀动植物分布，评价区域不涉及风景名胜区。</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4.3.1土地利用类型</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本项目全线永久占地</w:t>
      </w:r>
      <w:r>
        <w:rPr>
          <w:rFonts w:hint="eastAsia"/>
          <w:color w:val="000000" w:themeColor="text1"/>
          <w:sz w:val="24"/>
          <w14:textFill>
            <w14:solidFill>
              <w14:schemeClr w14:val="tx1"/>
            </w14:solidFill>
          </w14:textFill>
        </w:rPr>
        <w:t>189000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，占地类型为交通运输用地（公路用地）。</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项目建设过程中的临时用地主要包括临时堆土场，占地2000m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，占地类型为荒地。</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4.3.2植被类型</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现场勘查，项目所在区域植被类型主要为草丛与农业植被，其中草丛主要分布于黄土谷坡，植被种类为白羊草、长芒草、达乌里胡枝子、茭蒿、铁杆蒿等草本植物以及狼牙刺、酸枣、荆条、黄刺玫、胡颓子等；农作物种类以小麦为主，其次为高粱、玉米、谷子、糜子、豆类、油菜等，农业植被主要分布于黄土塬与河流阶地；灌丛面积植被种类主要为黄刺玫、蒿属灌丛，同时有狼牙刺、酸枣、荆条等。阔叶林主要为刺槐林，树木种类主要为刺槐、泡桐、山杨、油松等乔木，以刺槐为为主，林下混生有少量狼牙刺、酸枣、荆条、黄刺玫等灌木。项目评价范围内无珍稀保护物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4.3.3动物资源现状</w:t>
      </w:r>
    </w:p>
    <w:p>
      <w:pPr>
        <w:pStyle w:val="61"/>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现场勘查，项目所在区域的动物组成比较简单，种类较少，多为常见种类，物种组成以小型兽类和鸟类为主。兽类主要有黄鼬、狗獾、蒙古兔、花鼠、达吾尔黄鼠、大仓鼠、小家鼠等；野生禽类主要有啄木鸟、杜鹃、小沙百灵、家燕、喜鹊、大嘴乌鸦、麻雀等。野生动物主要分布在林地及灌草丛中。项目评价范围内无珍稀保护物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4.3.4所在区域地质条件</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在区域地质构造上，本项目区位于六盘山褶皱带以东，鄂尔多斯地台的中西部，属祁吕贺“山”字型构造的伊陕盾地，中生代以来，这里虽然经历了燕山运动和喜马拉雅运动的影响，地区构造运动以整体缓慢升降运动为主，构造断裂活动较弱，地层产状近水平。构造不发育，基底白垩系地层基本呈水平状态。出露地层较为简单，均为白垩系（罗汉洞组）的细砂岩和泥质粉砂岩，上覆黄土。从整体地质构造条件而言，没有大的断层和滑坡等影响。全区为同一构造类型，各构造体系的构造形迹表现比较微弱，对基及构造物基本无影响，因此从工程建设考虑，工程区属于区域构造稳定地区。</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（2）地层岩性</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本项目沿线出露地层主要为第四系、白垩系，产状近水平，第四系分布广泛，发育良好，出露比较齐全。沿线出露地层由新到老有：</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第四系地层：（Q）</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冲、洪积层（Q</w:t>
      </w:r>
      <w:r>
        <w:rPr>
          <w:bCs/>
          <w:color w:val="000000" w:themeColor="text1"/>
          <w:sz w:val="24"/>
          <w:vertAlign w:val="subscript"/>
          <w14:textFill>
            <w14:solidFill>
              <w14:schemeClr w14:val="tx1"/>
            </w14:solidFill>
          </w14:textFill>
        </w:rPr>
        <w:t>4</w:t>
      </w:r>
      <w:r>
        <w:rPr>
          <w:bCs/>
          <w:color w:val="000000" w:themeColor="text1"/>
          <w:sz w:val="24"/>
          <w:vertAlign w:val="superscript"/>
          <w14:textFill>
            <w14:solidFill>
              <w14:schemeClr w14:val="tx1"/>
            </w14:solidFill>
          </w14:textFill>
        </w:rPr>
        <w:t>al+pl</w:t>
      </w:r>
      <w:r>
        <w:rPr>
          <w:bCs/>
          <w:color w:val="000000" w:themeColor="text1"/>
          <w:sz w:val="24"/>
          <w14:textFill>
            <w14:solidFill>
              <w14:schemeClr w14:val="tx1"/>
            </w14:solidFill>
          </w14:textFill>
        </w:rPr>
        <w:t>）：组成河流Ⅰ、Ⅱ级阶地的底部广泛发育，由砂砾、砂砾土及淤积形成的粉土组成。</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新黄土（Q</w:t>
      </w:r>
      <w:r>
        <w:rPr>
          <w:bCs/>
          <w:color w:val="000000" w:themeColor="text1"/>
          <w:sz w:val="24"/>
          <w:vertAlign w:val="subscript"/>
          <w14:textFill>
            <w14:solidFill>
              <w14:schemeClr w14:val="tx1"/>
            </w14:solidFill>
          </w14:textFill>
        </w:rPr>
        <w:t>3</w:t>
      </w:r>
      <w:r>
        <w:rPr>
          <w:bCs/>
          <w:color w:val="000000" w:themeColor="text1"/>
          <w:sz w:val="24"/>
          <w:vertAlign w:val="superscript"/>
          <w14:textFill>
            <w14:solidFill>
              <w14:schemeClr w14:val="tx1"/>
            </w14:solidFill>
          </w14:textFill>
        </w:rPr>
        <w:t>elo</w:t>
      </w:r>
      <w:r>
        <w:rPr>
          <w:bCs/>
          <w:color w:val="000000" w:themeColor="text1"/>
          <w:sz w:val="24"/>
          <w14:textFill>
            <w14:solidFill>
              <w14:schemeClr w14:val="tx1"/>
            </w14:solidFill>
          </w14:textFill>
        </w:rPr>
        <w:t>）：土黄色，土质疏松，垂直节理及大空隙发育，见白色菌丝状钙质条纹及钙质结合，在河谷阶地多有分布，为新近形成的次生黄土。</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老黄土（Q</w:t>
      </w:r>
      <w:r>
        <w:rPr>
          <w:bCs/>
          <w:color w:val="000000" w:themeColor="text1"/>
          <w:sz w:val="24"/>
          <w:vertAlign w:val="subscript"/>
          <w14:textFill>
            <w14:solidFill>
              <w14:schemeClr w14:val="tx1"/>
            </w14:solidFill>
          </w14:textFill>
        </w:rPr>
        <w:t>2-3</w:t>
      </w:r>
      <w:r>
        <w:rPr>
          <w:bCs/>
          <w:color w:val="000000" w:themeColor="text1"/>
          <w:sz w:val="24"/>
          <w:vertAlign w:val="superscript"/>
          <w14:textFill>
            <w14:solidFill>
              <w14:schemeClr w14:val="tx1"/>
            </w14:solidFill>
          </w14:textFill>
        </w:rPr>
        <w:t>elo</w:t>
      </w:r>
      <w:r>
        <w:rPr>
          <w:bCs/>
          <w:color w:val="000000" w:themeColor="text1"/>
          <w:sz w:val="24"/>
          <w14:textFill>
            <w14:solidFill>
              <w14:schemeClr w14:val="tx1"/>
            </w14:solidFill>
          </w14:textFill>
        </w:rPr>
        <w:t>）：暗灰、暗红色，土质坚硬，呈块状结构，板状构造，见大空隙，湿陷性轻微，为I 级轻微湿陷黄土。</w:t>
      </w:r>
    </w:p>
    <w:p>
      <w:pPr>
        <w:autoSpaceDE w:val="0"/>
        <w:autoSpaceDN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白恶系砂岩（k）：细砂岩：砖红、橘红色，细粒结构、块状构造，在项目沿线广泛出露，表层风化严重，呈灰白色，局部呈暗灰色，结构已破坏，多为风化砂粒，母岩成分以石英、长石、云母为主。</w:t>
      </w:r>
    </w:p>
    <w:p>
      <w:pPr>
        <w:widowControl/>
        <w:spacing w:line="360" w:lineRule="auto"/>
        <w:ind w:firstLine="480" w:firstLineChars="200"/>
        <w:jc w:val="left"/>
        <w:rPr>
          <w:color w:val="000000" w:themeColor="text1"/>
          <w:sz w:val="24"/>
          <w14:textFill>
            <w14:solidFill>
              <w14:schemeClr w14:val="tx1"/>
            </w14:solidFill>
          </w14:textFill>
        </w:rPr>
      </w:pPr>
      <w:r>
        <w:rPr>
          <w:bCs/>
          <w:color w:val="000000" w:themeColor="text1"/>
          <w:sz w:val="24"/>
          <w14:textFill>
            <w14:solidFill>
              <w14:schemeClr w14:val="tx1"/>
            </w14:solidFill>
          </w14:textFill>
        </w:rPr>
        <w:t>泥质粉砂岩：灰白、暗灰色，微粒结构，块状构造，在项目沿线区局部地段出露，表层风化程度中等，风化物多为粉砂质岩泥</w:t>
      </w:r>
      <w:r>
        <w:rPr>
          <w:color w:val="000000" w:themeColor="text1"/>
          <w:sz w:val="24"/>
          <w14:textFill>
            <w14:solidFill>
              <w14:schemeClr w14:val="tx1"/>
            </w14:solidFill>
          </w14:textFill>
        </w:rPr>
        <w:t>。</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4.3.5施工过程对建设区植被的影响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设区域属于城乡结合部，受人类活动影响深远，区域内无自然保护区、无珍稀动植物分布。施工过程需对建设场地进行开挖、填筑和平整，原有植被将被移栽，从而使绿化面积有所减少。本项目占地对生态环境有一定的影响，但在施工结束后，植被将被恢复，在采取本项目提出的生态环境保护措施后，本项目对生态环境影响较小。</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4.3.6野生动物影响分析</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公路沿线影响区内常见的野生动物主要为喜鹊、麻雀、乌鸦等，未见大型野生动物，调查未发现珍稀野生动物。</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本工程沿线路基路段人为活动较频繁，天然林地、灌草丛和野生动物栖息地较少，野生动物较少，对其影响较小。</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4.3.7生态系统影响分析</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工程新增永久占地会对沿线占地范围内植被等造成破坏，对沿线的生态系统的结构和功能产生一定影响。公路工程为线性工程，对区域植被分布产生带状和破碎影响，致使区域植被覆盖率、生物量有所降低，从占地的数量、比例和占地类型看，区域种群数量不会因此改变。从整个评价区来看，工程建设不会减少生态系统的数量，不会改变评价区生态系统的完整性和稳定性，在采取必要的生态保护措施后，对评价区内的各生态系统影响较小。</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4.3.8对沿线生态功能区的影响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甘肃省生态功能区划》，本项目位于黄土高原农业生态区中宁南-陇东黄土丘陵农业生态亚区中的黄土残塬旱作农业强烈水土流失生态功能区范围内，主要生态功能为土壤保持，生态保护对策主要是塬面发展旱作农业，塬坡和沟谷营造人工林和经济林，固坡保塬，防止溯源侵蚀。施工过程清理地表附着物，尤其是地表植被，遇降水季节和大风天气，会造成水土流失，本工程占地使区域水土保持设施面积减少，增加水土流失。施工过程中，取土场、弃土场应设顺地表横坡的排水沟，将水引出取土区，每层的取土面应尽量保持坡面水平，以利迅速排除地表水。取土场内取完土后，根据实地情况在80-230m间设土质或片石排水沟，以防取土坑积水，铺设表土，对边坡及开挖区进行植草坡（撒草籽）和植树防护。路线两侧设排水沟等排水设施，并根据路线地形进行绿化，可最大限度地减少水土流失，因此不会改变目前的生态功能区功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4.3.9土地利用影响分析</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工程占地包括永久占地和临时占地两种类型，永久占地包括路基工程等，临时占地为取土场。工程占用地对失地居民影响相对较大；地面植被将因为移栽短暂影响居民生活。本工程设临时临时占地在施工结束后必须按照相关规定进行生态恢复，对评价区土地利用结构影响较小，因此评价重点分析永久占地及临时占地（临时堆场）对评价区土地利用结构的影响。</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4.3.10项目临时占地影响分析</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工程部不设置施工便道、施工临时驻地等，主要临时占地为临时堆场用地，共占地2000m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取土场对生态环境的影响主要通过地表的挖方，破坏地表植被和土壤结构，改变地形地貌以及自然景观，短时间内使区域内植被覆盖度下降，生态系统的结构和功能下降，同时在一定程度上加剧了水土流失等生态问题。因此取土方式和防护显得尤为重要，建设过程中如不能很好的落实施工管理和取土防护等措施，将可能导致大量的浮土对下游地区的农田造成地压埋、破坏，阻塞河道，威胁河道安全，影响农业生产和生态环境，并可能对人民的生产生活造成危害。</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4.3.11施工过程可能造成的水土流失影响</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随着施工场地开挖、填方、平整以及设备的安装，原有表土层受到破坏，土壤松动，或者施工过程中由于挖方及填方过程中形成的土堆不能及时清理，遇到较大降雨冲刷，易发生水土流失。但只要加强施工管理，合理安排施工进度，就可以避免发生水土流失。随着施工期结束，建设场地被水泥、建筑及植被覆盖，水土流失将减缓并消失。本项目应重点保护取土场，对取土场进行绿化及设置围堰，防止大风天气形成沙尘天气以及雨水冲刷造成水土流失。</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4.3.12环境保护目标</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现场勘察，道路两侧植被较少，植被类型主要为草丛与树木，其中草丛属于野生植被。树木种类为国槐、柳树、松树、柏树等；属于人工栽植绿化。为无需保护的珍稀植物及古树名木。该项目施工时与民政部门衔接，将树木移栽至其他需要绿化的项目。</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4.4生态环境保护措施</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4.4.1土地补偿恢复措施</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（1）因项目施工破坏植被而裸露的土地均应采取临时防护措施，在施工结束后根据地形，运往道路附近低洼处用于土地平整。</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（2）使用荒地或其它闲散地也应及时清理整治、恢复植被，防止土壤侵蚀。</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（3）进行开挖工作时应对土壤实行分层开挖、分层堆放和分层回填；回填时，为恢复土壤的生产能力，严格按原有土壤层次进行异地回填。</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（4）尽可能保护表层有肥力的土壤，集中堆放并采取临时防护措施，以便于后期绿化利用。</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（5）施工过程中，开挖断面不能立即恢复时，应采用油毡布覆盖松散表土。</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（6）开工前对施工临时设施的规划要进行严格的审查，尽量减少施工临时占地，合理安排施工进度，缩短临时占地使用时间。</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（7）施工期临时设施及施工场地尽量选取在征地范围内。</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（8）各种临时占地在工程完成后应尽快进行植被的恢复，做到边使用，边平整，边绿化。</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（9）严格限制施工人员及施工机械的活动范围，施工机械和人员走固定线路，缩小作业带宽度，最大限度地减少对道路沿线和附属设施周围植被的破坏。</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（10）及时处理固体废物如建筑、生活垃圾等，以减少对生态环境的污染影响。</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4.4.2水土流失防治措施</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工程建设将扰动和破坏地表，失去原有的防冲、固土能力。因此，项目应采取水土流失防治措施。</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（1）水土流失防治原则</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水土流失重点防治区域为表土堆存区与工程开挖。建设单位应委托水保设计单位开展本项目的水土保持详细方案的编制工作，委托水土保持监理单位，加强施工现场管理。</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落实“三同时”制度，水土保持措施应与主体工程同步实施，才能达到有效防治水土流失的目的。</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开挖渣料应严格按设计堆放到指定地点，严禁乱弃渣料。</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 xml:space="preserve">施工区各区域应及时采取水土保持措施防治水土流失。 </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（2）水土流失防治措施</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施工期水土保持要求</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禁止在开挖和运输渣料时乱堆乱放。施工出现的塌方要及时进行清理和维修；施工活动严格控制在施工场地征地范围内进行，避免破坏征地范围外的植被，同时也应尽量避免破坏征地范围内的其他植被。</w:t>
      </w:r>
    </w:p>
    <w:p>
      <w:pPr>
        <w:widowControl/>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表土剥离及堆放场地</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充分保护土壤，在开挖施工时须将表土剥离并集中堆存保护，利于项目建设完毕后的植被恢复。表土首选堆放地为项目征地范围内的区域，用作工程完建的后期覆土。表土堆放时，科学施工，组织好施工时序，利用项目各工段开工时间进度协调，将先开工的工段表土清运到暂时不施工的路段，并做好相关防护措施进行防护。</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水保工程措施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挖方、填方区域以及临时堆土方设置浆砌块石护坡；设置临时排水沟；开挖工作避开雨季施工，并落实拦挡措施、清理坡面挂渣。需要强调的是，如果临时堆土长时间堆放，需在堆土顶部实施绿化，防治水土流失，造成污染。</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为了及时排除施工区积水，保护开挖裸露面不受地表径流冲刷，设计沿道路周边修筑临时排水沟，将雨水沉淀后用于洒水降尘。</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4.4.3取弃土场设置要求及防护措施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4.4.3.1取弃土场设置要求</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本项目设置取土场临时占地时，应避让以下项目沿线的环境敏感目标。</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（1）取土场的设置应远离公路沿线水体。</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（2）工程在下列地带不得设置取土场：严禁在崩塌和滑坡危险区、泥石流易发区内设置取土(石砂)场。</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（3）设置时应注意：不宜设置在软土区域。</w:t>
      </w:r>
    </w:p>
    <w:p>
      <w:pPr>
        <w:widowControl/>
        <w:spacing w:line="360" w:lineRule="auto"/>
        <w:ind w:firstLine="482" w:firstLineChars="200"/>
        <w:jc w:val="left"/>
        <w:rPr>
          <w:b/>
          <w:bCs/>
          <w:color w:val="000000" w:themeColor="text1"/>
          <w:sz w:val="24"/>
          <w14:textFill>
            <w14:solidFill>
              <w14:schemeClr w14:val="tx1"/>
            </w14:solidFill>
          </w14:textFill>
        </w:rPr>
      </w:pPr>
      <w:bookmarkStart w:id="27" w:name="_Ref243119914"/>
      <w:r>
        <w:rPr>
          <w:b/>
          <w:bCs/>
          <w:color w:val="000000" w:themeColor="text1"/>
          <w:sz w:val="24"/>
          <w14:textFill>
            <w14:solidFill>
              <w14:schemeClr w14:val="tx1"/>
            </w14:solidFill>
          </w14:textFill>
        </w:rPr>
        <w:t>表4.4.3.1-</w:t>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SEQ 表 \* ARABIC \s 2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fldChar w:fldCharType="end"/>
      </w:r>
      <w:bookmarkEnd w:id="27"/>
      <w:r>
        <w:rPr>
          <w:b/>
          <w:bCs/>
          <w:color w:val="000000" w:themeColor="text1"/>
          <w:sz w:val="24"/>
          <w14:textFill>
            <w14:solidFill>
              <w14:schemeClr w14:val="tx1"/>
            </w14:solidFill>
          </w14:textFill>
        </w:rPr>
        <w:t xml:space="preserve">    沿线设置弃土场、施工临时占地时应避让的保护目标</w:t>
      </w:r>
    </w:p>
    <w:tbl>
      <w:tblPr>
        <w:tblStyle w:val="30"/>
        <w:tblW w:w="83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2"/>
        <w:gridCol w:w="5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blHeader/>
          <w:jc w:val="center"/>
        </w:trPr>
        <w:tc>
          <w:tcPr>
            <w:tcW w:w="2842" w:type="dxa"/>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保护目标</w:t>
            </w:r>
          </w:p>
        </w:tc>
        <w:tc>
          <w:tcPr>
            <w:tcW w:w="5513" w:type="dxa"/>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避让要求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blHeader/>
          <w:jc w:val="center"/>
        </w:trPr>
        <w:tc>
          <w:tcPr>
            <w:tcW w:w="2842" w:type="dxa"/>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耕地</w:t>
            </w:r>
          </w:p>
        </w:tc>
        <w:tc>
          <w:tcPr>
            <w:tcW w:w="5513" w:type="dxa"/>
            <w:vMerge w:val="restart"/>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取土场、</w:t>
            </w:r>
            <w:r>
              <w:rPr>
                <w:rFonts w:hint="eastAsia" w:eastAsia="宋体"/>
                <w:b w:val="0"/>
                <w:bCs/>
                <w:color w:val="000000" w:themeColor="text1"/>
                <w:sz w:val="21"/>
                <w:szCs w:val="21"/>
                <w14:textFill>
                  <w14:solidFill>
                    <w14:schemeClr w14:val="tx1"/>
                  </w14:solidFill>
                </w14:textFill>
              </w:rPr>
              <w:t>弃土场</w:t>
            </w:r>
            <w:r>
              <w:rPr>
                <w:rFonts w:eastAsia="宋体"/>
                <w:b w:val="0"/>
                <w:bCs/>
                <w:color w:val="000000" w:themeColor="text1"/>
                <w:sz w:val="21"/>
                <w:szCs w:val="21"/>
                <w14:textFill>
                  <w14:solidFill>
                    <w14:schemeClr w14:val="tx1"/>
                  </w14:solidFill>
                </w14:textFill>
              </w:rPr>
              <w:t>等临时占地，尽量少占用耕地，不应占用果园和林地，设置时避开植被发育良好的地带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2842" w:type="dxa"/>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林地</w:t>
            </w:r>
          </w:p>
        </w:tc>
        <w:tc>
          <w:tcPr>
            <w:tcW w:w="551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Cs/>
                <w:color w:val="000000" w:themeColor="text1"/>
                <w:kern w:val="0"/>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2842" w:type="dxa"/>
            <w:tcBorders>
              <w:top w:val="single" w:color="000000" w:sz="4" w:space="0"/>
              <w:left w:val="single" w:color="000000" w:sz="4" w:space="0"/>
              <w:bottom w:val="single" w:color="000000" w:sz="4" w:space="0"/>
              <w:right w:val="single" w:color="000000" w:sz="4" w:space="0"/>
            </w:tcBorders>
            <w:vAlign w:val="center"/>
          </w:tcPr>
          <w:p>
            <w:pPr>
              <w:pStyle w:val="78"/>
              <w:rPr>
                <w:rFonts w:eastAsia="宋体"/>
                <w:b w:val="0"/>
                <w:bCs/>
                <w:color w:val="000000" w:themeColor="text1"/>
                <w:sz w:val="21"/>
                <w:szCs w:val="21"/>
                <w14:textFill>
                  <w14:solidFill>
                    <w14:schemeClr w14:val="tx1"/>
                  </w14:solidFill>
                </w14:textFill>
              </w:rPr>
            </w:pPr>
            <w:r>
              <w:rPr>
                <w:rFonts w:eastAsia="宋体"/>
                <w:b w:val="0"/>
                <w:bCs/>
                <w:color w:val="000000" w:themeColor="text1"/>
                <w:sz w:val="21"/>
                <w:szCs w:val="21"/>
                <w14:textFill>
                  <w14:solidFill>
                    <w14:schemeClr w14:val="tx1"/>
                  </w14:solidFill>
                </w14:textFill>
              </w:rPr>
              <w:t>其它植被良好地带</w:t>
            </w:r>
          </w:p>
        </w:tc>
        <w:tc>
          <w:tcPr>
            <w:tcW w:w="551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Cs/>
                <w:color w:val="000000" w:themeColor="text1"/>
                <w:kern w:val="0"/>
                <w:szCs w:val="21"/>
                <w14:textFill>
                  <w14:solidFill>
                    <w14:schemeClr w14:val="tx1"/>
                  </w14:solidFill>
                </w14:textFill>
              </w:rPr>
            </w:pPr>
          </w:p>
        </w:tc>
      </w:tr>
    </w:tbl>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4.4.3.2</w:t>
      </w:r>
      <w:bookmarkStart w:id="28" w:name="_Toc409183558"/>
      <w:bookmarkStart w:id="29" w:name="_Toc249072807"/>
      <w:bookmarkStart w:id="30" w:name="_Toc224638648"/>
      <w:bookmarkStart w:id="31" w:name="_Toc378090209"/>
      <w:bookmarkStart w:id="32" w:name="_Toc225562461"/>
      <w:bookmarkStart w:id="33" w:name="_Toc461826770"/>
      <w:bookmarkStart w:id="34" w:name="_Toc12444"/>
      <w:bookmarkStart w:id="35" w:name="_Toc312161870"/>
      <w:r>
        <w:rPr>
          <w:color w:val="000000" w:themeColor="text1"/>
          <w:sz w:val="24"/>
          <w14:textFill>
            <w14:solidFill>
              <w14:schemeClr w14:val="tx1"/>
            </w14:solidFill>
          </w14:textFill>
        </w:rPr>
        <w:t>堆土场防护措施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本项目表土堆场进行临时堆放，占地面积约2000m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，根据工程施工计划，项目临时堆放表土全部用于后期绿化用土。临时堆土点位于用地红线范围外，现状为荒地，在场地周边采用临时挡护，上部采用防雨布进行遮盖，避免大风或雨水冲刷造成水土流失。</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4.4.4绿化措施</w:t>
      </w:r>
      <w:bookmarkEnd w:id="28"/>
      <w:bookmarkEnd w:id="29"/>
      <w:bookmarkEnd w:id="30"/>
      <w:bookmarkEnd w:id="31"/>
      <w:bookmarkEnd w:id="32"/>
      <w:bookmarkEnd w:id="33"/>
      <w:bookmarkEnd w:id="34"/>
      <w:bookmarkEnd w:id="35"/>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所有施工场地开挖结束后，保存占用土地表层熟化土，为植被恢复提供良好的土壤。施工期收集表土单独堆放于表土堆放场，表土分层压实。表土堆放场采用台体形式，台体四周坡角处用编织土袋挡护，土袋堆砌高、宽均为1m，表面使用塑料薄膜遮盖，待生长季土堆表面种植当地草本植物。施工结束后及时清理、松土、覆盖熟化土，播撒草籽进行绿化恢复，复种或选择当地适宜植物及时恢复绿化。拆除临时建筑物，清除建筑垃圾，尽可能恢复其原有土地的功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4.4.5雨水导排措施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（1）根据规划好的施工现场总平面布置图完善排水设施，主要施工通道边侧的排水沟应畅通。</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保证场内交通道路的完好，设专人负责排除道边及路口积水，保证雨后能及时排除场地内积水。在场地周围设置必要的截水沟、排水沟，尽量用原有的排水系统，并进行必要的整修、疏导，做到场地排水畅通。</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管沟边缘做好围堰，防止地表水流入基坑。在管沟周边设排水沟及若干集水坑，再用潜水泵抽到城市排水系统。潜水泵、排水管及电线要备足，同时安排好值班人员。对管沟边坡采取彩条布覆盖，防止雨水冲刷，造成坍方，必要时打钢管支撑进行支护。</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（4）管沟的回填用土要用彩条布覆盖，防止下雨时淋湿，影响回填工作。回填土含水量大时及时晾晒，雨天过后，回填土表面稀泥部分铲除重新回填。</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评价范围内无国家重点植物保护区。因此，项目在施工期对生态环境的影响主要是施工产生的水土流失等影响。为了尽可能的减少水土流失，以及防止雨水冲刷造成施工现场泥水淤积，及时外运多余土石方。在施工过程中，做好开挖时的防护措施，防止雨水冲刷泥土造成水土流失；及时对扰动地表进行铺装以控制水土流失状况；严禁将垃圾、土石乱弃；在严格落实项目相关水土保持措施后，可大大降低施工期的生态影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4.5植被保护与恢复措施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严格按照设计文件确定征占土地范围，进行地表植被的清理工作。保护好现有农田和周边的树木。建议临时用地使用前，对施工人员进行相关培训，要求严格保护临时用地内的林木。尽量保护征地范围内的林木，尽量不砍或少砍。加强管理，不得砍伐征地以外的林木，尽量减少对沿线生态环境的破坏。</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（2）施工过程中，与当地土地管理部门协商，将弃土（渣）场的弃土（渣）过程与农业开发规划设计和农田基本建设相结合，工程结束后及时平整复垦或绿化造地。</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（3）禁止引种带有病虫害的植物，禁止引种外来入侵物种。生态恢复与绿化应采用当地物种，禁止引进有害外来物种。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（4）严格控制路基开挖、隧道洞口开挖施工作业面，避免超挖破坏周围植被。</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（5）施工与绿化、护坡、修排水沟应同时施工，应做到边使用，边平整，边绿化，边复耕。</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（6）施工单位应加强防火知识教育，防止人为导致火灾的发生。</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7）项目表土剥离厚度根据土地利用现状确定，基本按照耕地30cm、林地10cm、荒地10cm剥离，平均剥离厚度为20cm或25cm。表土临时集中堆放在项目沿线永久征地或临时占地范围内，每个堆放点根据工程空闲面积大小及后期覆土需要决定堆土数量。堆放的表土应采取临时拦挡和覆盖措施，防止雨淋造成养分流失，以便用于后期的绿化和土地复垦。</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（8）施工期加强施工人员管理，禁止随意采挖野生植物。</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（9）公路施工破坏植被而裸露的土地（包括路界内外）应在施工结束后立即整治利用，恢复植被或造田还耕。</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10）建设项目占用林地按照国际和地方有关规定执行，用地单位征用、占用林地经县级以上林业主管部门审核同意或批准，并应向县级以上林业主管部门预缴森林植被恢复费。根据相关法律法规，办理占用林地的相关手续，对工程占用的天然林按相应标准进行补偿。</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4.6临时工程用地设置要求及恢复措施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（1）对项目沿线的取弃土（渣）场主要采取以下恢复措施：</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工程措施：根据地形地貌、地层岩性地质状况设置浆砌石挡墙、干砌石护坡、浆砌石截排水沟及排洪系统，具有水土保持功能。严格执行“先挡后弃”的原则。施工前先将表层土（厚度30cm）剥离，堆放一旁，并做好临时防护措施，取弃土（渣）结束进行土地整治。</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植物措施：取弃土（渣）结束后对坡面进行绿化和渣面进行植被恢复，具体弃渣完工后，占用荒地的弃渣场的1：1.5坡面、马道、平台深翻播种紫花苜蓿或者黑麦草恢复植被。备选乔灌木、草种：刺槐、沙棘、柠条、紫花苜蓿、多年生黑麦草；草籽量：紫花苜蓿30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、黑麦草100kg/hm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。栽培当年及时浇水，保证成活率；第二年，对成活率低于85%进行补植。能达到耕地利用条件的尽量恢复耕种。</w:t>
      </w:r>
    </w:p>
    <w:p>
      <w:pPr>
        <w:widowControl/>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临时措施：在施工期间修建临时土质排水沟和沉沙池，土袋挡护、土工布遮盖等。</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（2）临时堆土场的环保要求</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临时堆土场主要用于沿线耕植土的暂存，这些区域均临近沿线耕地集中的区域。本次临时堆土场主要用于沿线耕植土的暂存，这些区域均临近沿线耕地集中的区域。本次环评要求，严禁在临时堆土场内堆存施工弃土方，临时堆存的这部分耕植土，需在表面覆盖防雨篷布，堆置期临时堆土周边拦挡、裸露面种草防护、并布设临时排水沟及沉沙池，施工结束后拆除土体防护措施进行场地平整。项目分为不同标段进行施工活动，建设单位或监理单位需严格要求各标段施工单位在施工活动前进行绿化用土量的估算，由各临近施工单位自行进行调配利用。</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评价范围内无国家重点植物保护区。因此，项目在施工期对生态环境的影响主要是施工产生的水土流失等影响。为了尽可能的减少水土流失，以及防止雨水冲刷造成施工现场泥水淤积，及时外运多余土石方。在施工过程中，做好开挖时的防护措施，防止雨水冲刷泥土造成水土流失；及时对扰动地表进行铺装以控制水土流失状况；严禁将垃圾、土石乱弃；在严格落实项目相关水土保持措施后，可大大降低施工期的生态影响。</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5、运营期生态环境影响分析</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根据本项目现场布置，道路两侧沿线多为农户及农田，本工程建成通车后，采取生态恢复与补偿措施，对周围生态环境不会增加太大影响。</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建成后通过路面硬化、美化环境，一定程度上提高周边的环境质量，对景观、生态建设呈正面影响。项目的建成将大大改善当地的生活居住条件、交通条件，同时也带动周围经济的发展，将促进当地生态系统的良性循环。</w:t>
      </w:r>
    </w:p>
    <w:p>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6、评价结论</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施工期对生态环境会造成一定的不利影响，只要落实报告表中提到的水土保护措施、野生动物保护措施以及临时堆场的防护和恢复措施，其对生态环境的不利影响可以得到减轻或消除，不会降低当地环境质量。运营期对周围生态环境不会产生太大影响，并能为环境所接受。因此，从环境保护的角度来看，本项目的建设是可行的。</w:t>
      </w:r>
    </w:p>
    <w:p>
      <w:pPr>
        <w:pStyle w:val="59"/>
        <w:ind w:firstLine="480"/>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
      <w:pPr>
        <w:pStyle w:val="59"/>
        <w:ind w:firstLine="880"/>
        <w:jc w:val="center"/>
        <w:rPr>
          <w:color w:val="000000" w:themeColor="text1"/>
          <w:sz w:val="44"/>
          <w:szCs w:val="44"/>
          <w14:textFill>
            <w14:solidFill>
              <w14:schemeClr w14:val="tx1"/>
            </w14:solidFill>
          </w14:textFill>
        </w:rPr>
      </w:pPr>
    </w:p>
    <w:p>
      <w:pPr>
        <w:pStyle w:val="11"/>
        <w:rPr>
          <w:color w:val="000000" w:themeColor="text1"/>
          <w:sz w:val="44"/>
          <w:szCs w:val="44"/>
          <w14:textFill>
            <w14:solidFill>
              <w14:schemeClr w14:val="tx1"/>
            </w14:solidFill>
          </w14:textFill>
        </w:rPr>
      </w:pPr>
    </w:p>
    <w:p>
      <w:pPr>
        <w:rPr>
          <w:color w:val="000000" w:themeColor="text1"/>
          <w:sz w:val="44"/>
          <w:szCs w:val="44"/>
          <w14:textFill>
            <w14:solidFill>
              <w14:schemeClr w14:val="tx1"/>
            </w14:solidFill>
          </w14:textFill>
        </w:rPr>
      </w:pPr>
    </w:p>
    <w:p>
      <w:pPr>
        <w:pStyle w:val="2"/>
        <w:rPr>
          <w:color w:val="000000" w:themeColor="text1"/>
          <w:sz w:val="44"/>
          <w:szCs w:val="44"/>
          <w14:textFill>
            <w14:solidFill>
              <w14:schemeClr w14:val="tx1"/>
            </w14:solidFill>
          </w14:textFill>
        </w:rPr>
      </w:pPr>
    </w:p>
    <w:p>
      <w:pPr>
        <w:pStyle w:val="4"/>
        <w:rPr>
          <w:color w:val="000000" w:themeColor="text1"/>
          <w:sz w:val="44"/>
          <w:szCs w:val="44"/>
          <w14:textFill>
            <w14:solidFill>
              <w14:schemeClr w14:val="tx1"/>
            </w14:solidFill>
          </w14:textFill>
        </w:rPr>
      </w:pPr>
    </w:p>
    <w:p>
      <w:pPr>
        <w:rPr>
          <w:color w:val="000000" w:themeColor="text1"/>
          <w:sz w:val="44"/>
          <w:szCs w:val="44"/>
          <w14:textFill>
            <w14:solidFill>
              <w14:schemeClr w14:val="tx1"/>
            </w14:solidFill>
          </w14:textFill>
        </w:rPr>
      </w:pPr>
    </w:p>
    <w:p>
      <w:pPr>
        <w:pStyle w:val="2"/>
        <w:rPr>
          <w:color w:val="000000" w:themeColor="text1"/>
          <w:sz w:val="44"/>
          <w:szCs w:val="44"/>
          <w14:textFill>
            <w14:solidFill>
              <w14:schemeClr w14:val="tx1"/>
            </w14:solidFill>
          </w14:textFill>
        </w:rPr>
      </w:pPr>
    </w:p>
    <w:p>
      <w:pPr>
        <w:pStyle w:val="4"/>
        <w:rPr>
          <w:color w:val="000000" w:themeColor="text1"/>
          <w:sz w:val="44"/>
          <w:szCs w:val="44"/>
          <w14:textFill>
            <w14:solidFill>
              <w14:schemeClr w14:val="tx1"/>
            </w14:solidFill>
          </w14:textFill>
        </w:rPr>
      </w:pPr>
    </w:p>
    <w:p>
      <w:pPr>
        <w:rPr>
          <w:color w:val="000000" w:themeColor="text1"/>
          <w:sz w:val="44"/>
          <w:szCs w:val="44"/>
          <w14:textFill>
            <w14:solidFill>
              <w14:schemeClr w14:val="tx1"/>
            </w14:solidFill>
          </w14:textFill>
        </w:rPr>
      </w:pPr>
    </w:p>
    <w:p>
      <w:pPr>
        <w:pStyle w:val="4"/>
        <w:rPr>
          <w:color w:val="000000" w:themeColor="text1"/>
          <w:sz w:val="44"/>
          <w:szCs w:val="44"/>
          <w14:textFill>
            <w14:solidFill>
              <w14:schemeClr w14:val="tx1"/>
            </w14:solidFill>
          </w14:textFill>
        </w:rPr>
      </w:pPr>
    </w:p>
    <w:p/>
    <w:p/>
    <w:p>
      <w:pPr>
        <w:pStyle w:val="59"/>
        <w:keepNext w:val="0"/>
        <w:keepLines w:val="0"/>
        <w:pageBreakBefore w:val="0"/>
        <w:kinsoku/>
        <w:wordWrap/>
        <w:overflowPunct/>
        <w:topLinePunct w:val="0"/>
        <w:autoSpaceDE/>
        <w:autoSpaceDN/>
        <w:bidi w:val="0"/>
        <w:adjustRightInd/>
        <w:snapToGrid/>
        <w:ind w:left="0" w:right="0" w:firstLine="0" w:firstLineChars="0"/>
        <w:jc w:val="center"/>
        <w:textAlignment w:val="auto"/>
        <w:rPr>
          <w:rFonts w:hint="eastAsia"/>
          <w:color w:val="FF0000"/>
          <w:sz w:val="36"/>
          <w:szCs w:val="36"/>
          <w:lang w:val="en-US"/>
        </w:rPr>
      </w:pPr>
      <w:r>
        <w:rPr>
          <w:rFonts w:hint="eastAsia"/>
          <w:color w:val="FF0000"/>
          <w:sz w:val="36"/>
          <w:szCs w:val="36"/>
          <w:lang w:val="en-US"/>
        </w:rPr>
        <w:t>S504宁县至湘乐（古城至石鼓段）公路改建工程</w:t>
      </w:r>
    </w:p>
    <w:p>
      <w:pPr>
        <w:pStyle w:val="59"/>
        <w:keepNext w:val="0"/>
        <w:keepLines w:val="0"/>
        <w:pageBreakBefore w:val="0"/>
        <w:kinsoku/>
        <w:wordWrap/>
        <w:overflowPunct/>
        <w:topLinePunct w:val="0"/>
        <w:autoSpaceDE/>
        <w:autoSpaceDN/>
        <w:bidi w:val="0"/>
        <w:adjustRightInd/>
        <w:snapToGrid/>
        <w:ind w:left="0" w:right="0" w:firstLine="0" w:firstLineChars="0"/>
        <w:jc w:val="center"/>
        <w:textAlignment w:val="auto"/>
        <w:rPr>
          <w:b/>
          <w:color w:val="FF0000"/>
          <w:sz w:val="72"/>
          <w:szCs w:val="72"/>
        </w:rPr>
      </w:pPr>
      <w:r>
        <w:rPr>
          <w:rFonts w:hint="eastAsia"/>
          <w:b/>
          <w:color w:val="FF0000"/>
          <w:sz w:val="72"/>
          <w:szCs w:val="72"/>
          <w:lang w:val="en-US" w:eastAsia="zh-CN"/>
        </w:rPr>
        <w:t>声</w:t>
      </w:r>
      <w:r>
        <w:rPr>
          <w:b/>
          <w:color w:val="FF0000"/>
          <w:sz w:val="72"/>
          <w:szCs w:val="72"/>
        </w:rPr>
        <w:t>环境影响专项评价</w:t>
      </w:r>
    </w:p>
    <w:p>
      <w:pPr>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sz w:val="48"/>
          <w:szCs w:val="48"/>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pStyle w:val="29"/>
        <w:keepNext w:val="0"/>
        <w:keepLines w:val="0"/>
        <w:pageBreakBefore w:val="0"/>
        <w:kinsoku/>
        <w:wordWrap/>
        <w:overflowPunct/>
        <w:topLinePunct w:val="0"/>
        <w:autoSpaceDE/>
        <w:autoSpaceDN/>
        <w:bidi w:val="0"/>
        <w:adjustRightInd/>
        <w:snapToGrid/>
        <w:ind w:left="0" w:right="0" w:firstLine="0" w:firstLineChars="0"/>
        <w:jc w:val="center"/>
        <w:textAlignment w:val="auto"/>
        <w:rPr>
          <w:color w:val="FF0000"/>
        </w:rPr>
      </w:pPr>
    </w:p>
    <w:p>
      <w:pPr>
        <w:keepNext w:val="0"/>
        <w:keepLines w:val="0"/>
        <w:pageBreakBefore w:val="0"/>
        <w:kinsoku/>
        <w:wordWrap/>
        <w:overflowPunct/>
        <w:topLinePunct w:val="0"/>
        <w:autoSpaceDE/>
        <w:autoSpaceDN/>
        <w:bidi w:val="0"/>
        <w:adjustRightInd/>
        <w:snapToGrid/>
        <w:ind w:left="0" w:right="0" w:firstLine="0" w:firstLineChars="0"/>
        <w:jc w:val="center"/>
        <w:textAlignment w:val="auto"/>
        <w:rPr>
          <w:caps/>
          <w:color w:val="FF0000"/>
          <w:sz w:val="36"/>
          <w:szCs w:val="36"/>
        </w:rPr>
      </w:pPr>
    </w:p>
    <w:p>
      <w:pPr>
        <w:jc w:val="center"/>
        <w:rPr>
          <w:caps/>
          <w:color w:val="FF0000"/>
          <w:sz w:val="36"/>
          <w:szCs w:val="36"/>
        </w:rPr>
      </w:pPr>
      <w:r>
        <w:rPr>
          <w:rFonts w:hint="eastAsia"/>
          <w:caps/>
          <w:color w:val="FF0000"/>
          <w:sz w:val="36"/>
          <w:szCs w:val="36"/>
        </w:rPr>
        <w:t>宁县交通运输局</w:t>
      </w:r>
    </w:p>
    <w:p>
      <w:pPr>
        <w:keepNext w:val="0"/>
        <w:keepLines w:val="0"/>
        <w:pageBreakBefore w:val="0"/>
        <w:kinsoku/>
        <w:wordWrap/>
        <w:overflowPunct/>
        <w:topLinePunct w:val="0"/>
        <w:autoSpaceDE/>
        <w:autoSpaceDN/>
        <w:bidi w:val="0"/>
        <w:adjustRightInd/>
        <w:snapToGrid/>
        <w:ind w:left="0" w:right="0" w:firstLine="0" w:firstLineChars="0"/>
        <w:jc w:val="center"/>
        <w:textAlignment w:val="auto"/>
        <w:rPr>
          <w:caps/>
          <w:color w:val="FF0000"/>
          <w:sz w:val="36"/>
          <w:szCs w:val="36"/>
        </w:rPr>
      </w:pPr>
    </w:p>
    <w:p>
      <w:pPr>
        <w:keepNext w:val="0"/>
        <w:keepLines w:val="0"/>
        <w:pageBreakBefore w:val="0"/>
        <w:kinsoku/>
        <w:wordWrap/>
        <w:overflowPunct/>
        <w:topLinePunct w:val="0"/>
        <w:autoSpaceDE/>
        <w:autoSpaceDN/>
        <w:bidi w:val="0"/>
        <w:adjustRightInd/>
        <w:snapToGrid/>
        <w:ind w:left="0" w:right="0" w:firstLine="0" w:firstLineChars="0"/>
        <w:jc w:val="center"/>
        <w:textAlignment w:val="auto"/>
        <w:rPr>
          <w:rFonts w:hint="eastAsia" w:ascii="Times New Roman" w:hAnsi="Times New Roman" w:eastAsia="宋体" w:cs="Times New Roman"/>
          <w:caps/>
          <w:color w:val="FF0000"/>
          <w:sz w:val="40"/>
          <w:szCs w:val="40"/>
          <w:lang w:val="zh-CN" w:eastAsia="zh-CN"/>
        </w:rPr>
      </w:pPr>
      <w:r>
        <w:rPr>
          <w:rFonts w:hint="eastAsia" w:ascii="Times New Roman" w:hAnsi="Times New Roman" w:eastAsia="宋体" w:cs="Times New Roman"/>
          <w:caps/>
          <w:color w:val="FF0000"/>
          <w:sz w:val="36"/>
          <w:szCs w:val="36"/>
          <w:lang w:eastAsia="zh-CN"/>
        </w:rPr>
        <w:t>二〇二三年</w:t>
      </w:r>
      <w:r>
        <w:rPr>
          <w:rFonts w:hint="eastAsia" w:ascii="Times New Roman" w:hAnsi="Times New Roman" w:eastAsia="宋体" w:cs="Times New Roman"/>
          <w:caps/>
          <w:color w:val="FF0000"/>
          <w:sz w:val="36"/>
          <w:szCs w:val="36"/>
          <w:lang w:val="en-US" w:eastAsia="zh-CN"/>
        </w:rPr>
        <w:t>五</w:t>
      </w:r>
      <w:r>
        <w:rPr>
          <w:rFonts w:hint="eastAsia" w:ascii="Times New Roman" w:hAnsi="Times New Roman" w:eastAsia="宋体" w:cs="Times New Roman"/>
          <w:caps/>
          <w:color w:val="FF0000"/>
          <w:sz w:val="36"/>
          <w:szCs w:val="36"/>
          <w:lang w:eastAsia="zh-CN"/>
        </w:rPr>
        <w:t>月</w:t>
      </w: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2"/>
        <w:rPr>
          <w:color w:val="FF0000"/>
          <w:lang w:val="zh-CN"/>
        </w:rPr>
      </w:pPr>
    </w:p>
    <w:p>
      <w:pPr>
        <w:pStyle w:val="4"/>
        <w:rPr>
          <w:color w:val="FF0000"/>
          <w:lang w:val="zh-CN"/>
        </w:rPr>
      </w:pPr>
    </w:p>
    <w:p>
      <w:pPr>
        <w:rPr>
          <w:color w:val="FF0000"/>
          <w:lang w:val="zh-CN"/>
        </w:rPr>
      </w:pPr>
    </w:p>
    <w:p>
      <w:pPr>
        <w:pStyle w:val="99"/>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b/>
          <w:bCs/>
          <w:color w:val="FF0000"/>
          <w:szCs w:val="24"/>
        </w:rPr>
      </w:pPr>
      <w:r>
        <w:rPr>
          <w:rFonts w:hint="eastAsia"/>
          <w:b/>
          <w:bCs/>
          <w:color w:val="FF0000"/>
          <w:szCs w:val="24"/>
        </w:rPr>
        <w:t>1、</w:t>
      </w:r>
      <w:r>
        <w:rPr>
          <w:b/>
          <w:bCs/>
          <w:color w:val="FF0000"/>
          <w:szCs w:val="24"/>
        </w:rPr>
        <w:t>编制目的与依据</w:t>
      </w:r>
    </w:p>
    <w:p>
      <w:pPr>
        <w:pStyle w:val="99"/>
        <w:adjustRightInd w:val="0"/>
        <w:snapToGrid w:val="0"/>
        <w:rPr>
          <w:b/>
          <w:bCs/>
          <w:color w:val="FF0000"/>
          <w:szCs w:val="24"/>
        </w:rPr>
      </w:pPr>
      <w:r>
        <w:rPr>
          <w:b/>
          <w:bCs/>
          <w:color w:val="FF0000"/>
          <w:szCs w:val="24"/>
        </w:rPr>
        <w:t>1.1编制目的</w:t>
      </w:r>
    </w:p>
    <w:p>
      <w:pPr>
        <w:pStyle w:val="99"/>
        <w:adjustRightInd w:val="0"/>
        <w:snapToGrid w:val="0"/>
        <w:ind w:firstLine="480"/>
        <w:rPr>
          <w:color w:val="FF0000"/>
          <w:szCs w:val="24"/>
        </w:rPr>
      </w:pPr>
      <w:r>
        <w:rPr>
          <w:color w:val="FF0000"/>
          <w:szCs w:val="24"/>
        </w:rPr>
        <w:t>本项目进入运营期后，对声环境的影响主要来自于</w:t>
      </w:r>
      <w:r>
        <w:rPr>
          <w:rFonts w:hint="eastAsia"/>
          <w:color w:val="FF0000"/>
          <w:szCs w:val="24"/>
          <w:lang w:val="en-US" w:eastAsia="zh-CN"/>
        </w:rPr>
        <w:t>道</w:t>
      </w:r>
      <w:r>
        <w:rPr>
          <w:color w:val="FF0000"/>
          <w:szCs w:val="24"/>
        </w:rPr>
        <w:t>路上运行车辆辐射的交通噪声，</w:t>
      </w:r>
      <w:r>
        <w:rPr>
          <w:rFonts w:hint="eastAsia"/>
          <w:color w:val="FF0000"/>
          <w:szCs w:val="24"/>
          <w:lang w:val="en-US" w:eastAsia="zh-CN"/>
        </w:rPr>
        <w:t>道</w:t>
      </w:r>
      <w:r>
        <w:rPr>
          <w:color w:val="FF0000"/>
          <w:szCs w:val="24"/>
        </w:rPr>
        <w:t>路运营期间路两侧敏感点会受一定程度的影响。因此，对该</w:t>
      </w:r>
      <w:r>
        <w:rPr>
          <w:rFonts w:hint="eastAsia"/>
          <w:color w:val="FF0000"/>
          <w:szCs w:val="24"/>
          <w:lang w:val="en-US" w:eastAsia="zh-CN"/>
        </w:rPr>
        <w:t>道</w:t>
      </w:r>
      <w:r>
        <w:rPr>
          <w:color w:val="FF0000"/>
          <w:szCs w:val="24"/>
        </w:rPr>
        <w:t>路建成后在近期、中期和远期的噪声总体水平及其对周围评价范围内的敏感点噪声影响做出预测和评价，以便根据噪声影响的实际情况因地制宜的制定合理的降噪措施，并结合今后在项目沿线的相关规划提供科学的依据。</w:t>
      </w:r>
    </w:p>
    <w:p>
      <w:pPr>
        <w:pStyle w:val="99"/>
        <w:adjustRightInd w:val="0"/>
        <w:snapToGrid w:val="0"/>
        <w:ind w:firstLine="482"/>
        <w:rPr>
          <w:b/>
          <w:bCs/>
          <w:color w:val="FF0000"/>
          <w:szCs w:val="24"/>
        </w:rPr>
      </w:pPr>
      <w:r>
        <w:rPr>
          <w:b/>
          <w:bCs/>
          <w:color w:val="FF0000"/>
          <w:szCs w:val="24"/>
        </w:rPr>
        <w:t>1.2编制依据</w:t>
      </w:r>
    </w:p>
    <w:p>
      <w:pPr>
        <w:pStyle w:val="99"/>
        <w:adjustRightInd w:val="0"/>
        <w:snapToGrid w:val="0"/>
        <w:ind w:firstLine="482"/>
        <w:rPr>
          <w:b/>
          <w:bCs/>
          <w:color w:val="FF0000"/>
          <w:szCs w:val="24"/>
        </w:rPr>
      </w:pPr>
      <w:r>
        <w:rPr>
          <w:b/>
          <w:bCs/>
          <w:color w:val="FF0000"/>
          <w:szCs w:val="24"/>
        </w:rPr>
        <w:t>1.</w:t>
      </w:r>
      <w:r>
        <w:rPr>
          <w:rFonts w:hint="eastAsia"/>
          <w:b/>
          <w:bCs/>
          <w:color w:val="FF0000"/>
          <w:szCs w:val="24"/>
          <w:lang w:val="en-US" w:eastAsia="zh-CN"/>
        </w:rPr>
        <w:t>2</w:t>
      </w:r>
      <w:r>
        <w:rPr>
          <w:b/>
          <w:bCs/>
          <w:color w:val="FF0000"/>
          <w:szCs w:val="24"/>
        </w:rPr>
        <w:t>.1法律、法规</w:t>
      </w:r>
    </w:p>
    <w:p>
      <w:pPr>
        <w:pStyle w:val="99"/>
        <w:adjustRightInd w:val="0"/>
        <w:snapToGrid w:val="0"/>
        <w:ind w:left="480" w:firstLine="0" w:firstLineChars="0"/>
        <w:rPr>
          <w:color w:val="FF0000"/>
          <w:szCs w:val="24"/>
        </w:rPr>
      </w:pPr>
      <w:r>
        <w:rPr>
          <w:rFonts w:hint="eastAsia" w:ascii="宋体" w:hAnsi="宋体"/>
          <w:color w:val="FF0000"/>
          <w:szCs w:val="24"/>
        </w:rPr>
        <w:t>⑴</w:t>
      </w:r>
      <w:r>
        <w:rPr>
          <w:color w:val="FF0000"/>
          <w:szCs w:val="24"/>
        </w:rPr>
        <w:t>《中华人民共和国环境保护法(修订)》2015年1月1日；</w:t>
      </w:r>
    </w:p>
    <w:p>
      <w:pPr>
        <w:pStyle w:val="99"/>
        <w:adjustRightInd w:val="0"/>
        <w:snapToGrid w:val="0"/>
        <w:ind w:left="480" w:firstLine="0" w:firstLineChars="0"/>
        <w:rPr>
          <w:color w:val="FF0000"/>
          <w:szCs w:val="24"/>
        </w:rPr>
      </w:pPr>
      <w:r>
        <w:rPr>
          <w:rFonts w:hint="eastAsia" w:ascii="宋体" w:hAnsi="宋体"/>
          <w:color w:val="FF0000"/>
          <w:szCs w:val="24"/>
        </w:rPr>
        <w:t>⑵</w:t>
      </w:r>
      <w:r>
        <w:rPr>
          <w:color w:val="FF0000"/>
          <w:szCs w:val="24"/>
        </w:rPr>
        <w:t>《中华人民共和国环境影响评价法》2018年12月29日；</w:t>
      </w:r>
    </w:p>
    <w:p>
      <w:pPr>
        <w:pStyle w:val="99"/>
        <w:adjustRightInd w:val="0"/>
        <w:snapToGrid w:val="0"/>
        <w:ind w:left="480" w:firstLine="0" w:firstLineChars="0"/>
        <w:rPr>
          <w:color w:val="FF0000"/>
          <w:szCs w:val="24"/>
        </w:rPr>
      </w:pPr>
      <w:r>
        <w:rPr>
          <w:rFonts w:hint="eastAsia" w:ascii="宋体" w:hAnsi="宋体"/>
          <w:color w:val="FF0000"/>
          <w:szCs w:val="24"/>
        </w:rPr>
        <w:t>⑶</w:t>
      </w:r>
      <w:r>
        <w:rPr>
          <w:color w:val="FF0000"/>
          <w:szCs w:val="24"/>
        </w:rPr>
        <w:t>《中华人民共和国噪声污染防治法》2020年9月1日；</w:t>
      </w:r>
    </w:p>
    <w:p>
      <w:pPr>
        <w:pStyle w:val="99"/>
        <w:adjustRightInd w:val="0"/>
        <w:snapToGrid w:val="0"/>
        <w:ind w:left="480" w:firstLine="0" w:firstLineChars="0"/>
        <w:rPr>
          <w:color w:val="FF0000"/>
          <w:szCs w:val="24"/>
        </w:rPr>
      </w:pPr>
      <w:r>
        <w:rPr>
          <w:rFonts w:hint="eastAsia" w:ascii="宋体" w:hAnsi="宋体"/>
          <w:color w:val="FF0000"/>
          <w:szCs w:val="24"/>
        </w:rPr>
        <w:t>⑷</w:t>
      </w:r>
      <w:r>
        <w:rPr>
          <w:color w:val="FF0000"/>
          <w:szCs w:val="24"/>
        </w:rPr>
        <w:t>《建设项目环境保护管理条例》(国务院第682号令)，2017年10月1日；</w:t>
      </w:r>
    </w:p>
    <w:p>
      <w:pPr>
        <w:pStyle w:val="99"/>
        <w:adjustRightInd w:val="0"/>
        <w:snapToGrid w:val="0"/>
        <w:ind w:left="480" w:firstLine="0" w:firstLineChars="0"/>
        <w:rPr>
          <w:color w:val="FF0000"/>
          <w:szCs w:val="24"/>
        </w:rPr>
      </w:pPr>
      <w:r>
        <w:rPr>
          <w:rFonts w:hint="eastAsia" w:ascii="宋体" w:hAnsi="宋体"/>
          <w:color w:val="FF0000"/>
          <w:szCs w:val="24"/>
        </w:rPr>
        <w:t>⑸</w:t>
      </w:r>
      <w:r>
        <w:rPr>
          <w:color w:val="FF0000"/>
          <w:szCs w:val="24"/>
        </w:rPr>
        <w:t>《建设项目环境影响评价分类管理名录》，2021年1月1日</w:t>
      </w:r>
      <w:r>
        <w:rPr>
          <w:rFonts w:hint="eastAsia"/>
          <w:color w:val="FF0000"/>
          <w:szCs w:val="24"/>
        </w:rPr>
        <w:t>。</w:t>
      </w:r>
    </w:p>
    <w:p>
      <w:pPr>
        <w:pStyle w:val="99"/>
        <w:adjustRightInd w:val="0"/>
        <w:snapToGrid w:val="0"/>
        <w:ind w:firstLine="482"/>
        <w:rPr>
          <w:b/>
          <w:bCs/>
          <w:color w:val="FF0000"/>
          <w:szCs w:val="24"/>
        </w:rPr>
      </w:pPr>
      <w:r>
        <w:rPr>
          <w:b/>
          <w:bCs/>
          <w:color w:val="FF0000"/>
          <w:szCs w:val="24"/>
        </w:rPr>
        <w:t>1.</w:t>
      </w:r>
      <w:r>
        <w:rPr>
          <w:rFonts w:hint="eastAsia"/>
          <w:b/>
          <w:bCs/>
          <w:color w:val="FF0000"/>
          <w:szCs w:val="24"/>
          <w:lang w:val="en-US" w:eastAsia="zh-CN"/>
        </w:rPr>
        <w:t>2</w:t>
      </w:r>
      <w:r>
        <w:rPr>
          <w:b/>
          <w:bCs/>
          <w:color w:val="FF0000"/>
          <w:szCs w:val="24"/>
        </w:rPr>
        <w:t>.2相关技术导则、规范及标准</w:t>
      </w:r>
    </w:p>
    <w:p>
      <w:pPr>
        <w:pStyle w:val="99"/>
        <w:adjustRightInd w:val="0"/>
        <w:snapToGrid w:val="0"/>
        <w:ind w:left="480" w:firstLine="0" w:firstLineChars="0"/>
        <w:rPr>
          <w:color w:val="FF0000"/>
          <w:szCs w:val="24"/>
        </w:rPr>
      </w:pPr>
      <w:r>
        <w:rPr>
          <w:rFonts w:hint="eastAsia" w:ascii="宋体" w:hAnsi="宋体"/>
          <w:color w:val="FF0000"/>
          <w:szCs w:val="24"/>
        </w:rPr>
        <w:t>⑴</w:t>
      </w:r>
      <w:r>
        <w:rPr>
          <w:color w:val="FF0000"/>
          <w:szCs w:val="24"/>
        </w:rPr>
        <w:t>《建设项目环境影响评价技术导则一总纲》(HJ21-2016)；</w:t>
      </w:r>
    </w:p>
    <w:p>
      <w:pPr>
        <w:pStyle w:val="99"/>
        <w:adjustRightInd w:val="0"/>
        <w:snapToGrid w:val="0"/>
        <w:ind w:left="480" w:firstLine="0" w:firstLineChars="0"/>
        <w:rPr>
          <w:rFonts w:hint="eastAsia" w:eastAsia="宋体"/>
          <w:color w:val="FF0000"/>
          <w:szCs w:val="24"/>
          <w:lang w:eastAsia="zh-CN"/>
        </w:rPr>
      </w:pPr>
      <w:r>
        <w:rPr>
          <w:rFonts w:hint="eastAsia" w:ascii="宋体" w:hAnsi="宋体"/>
          <w:color w:val="FF0000"/>
          <w:szCs w:val="24"/>
        </w:rPr>
        <w:t>⑵</w:t>
      </w:r>
      <w:r>
        <w:rPr>
          <w:color w:val="FF0000"/>
          <w:szCs w:val="24"/>
        </w:rPr>
        <w:t>《环境影响评价技术导则-声环境》(H2.4-2021)</w:t>
      </w:r>
      <w:r>
        <w:rPr>
          <w:rFonts w:hint="eastAsia"/>
          <w:color w:val="FF0000"/>
          <w:szCs w:val="24"/>
          <w:lang w:eastAsia="zh-CN"/>
        </w:rPr>
        <w:t>。</w:t>
      </w:r>
    </w:p>
    <w:p>
      <w:pPr>
        <w:pStyle w:val="99"/>
        <w:adjustRightInd w:val="0"/>
        <w:snapToGrid w:val="0"/>
        <w:ind w:left="0" w:leftChars="0" w:firstLine="0" w:firstLineChars="0"/>
        <w:rPr>
          <w:b/>
          <w:bCs/>
          <w:color w:val="FF0000"/>
          <w:szCs w:val="24"/>
        </w:rPr>
      </w:pPr>
      <w:r>
        <w:rPr>
          <w:rFonts w:hint="eastAsia"/>
          <w:b/>
          <w:bCs/>
          <w:color w:val="FF0000"/>
          <w:szCs w:val="24"/>
        </w:rPr>
        <w:t>2、</w:t>
      </w:r>
      <w:r>
        <w:rPr>
          <w:b/>
          <w:bCs/>
          <w:color w:val="FF0000"/>
          <w:szCs w:val="24"/>
        </w:rPr>
        <w:t>环境功能区划</w:t>
      </w:r>
    </w:p>
    <w:p>
      <w:pPr>
        <w:pStyle w:val="99"/>
        <w:adjustRightInd w:val="0"/>
        <w:snapToGrid w:val="0"/>
        <w:ind w:firstLine="480"/>
        <w:rPr>
          <w:rFonts w:hint="eastAsia" w:ascii="宋体" w:hAnsi="宋体" w:eastAsia="宋体" w:cs="宋体"/>
          <w:color w:val="FF0000"/>
          <w:szCs w:val="24"/>
        </w:rPr>
      </w:pPr>
      <w:r>
        <w:rPr>
          <w:color w:val="FF0000"/>
          <w:szCs w:val="24"/>
        </w:rPr>
        <w:t>根据《声环境质量标准》</w:t>
      </w:r>
      <w:r>
        <w:rPr>
          <w:rFonts w:hint="eastAsia"/>
          <w:color w:val="FF0000"/>
          <w:szCs w:val="24"/>
          <w:lang w:eastAsia="zh-CN"/>
        </w:rPr>
        <w:t>（</w:t>
      </w:r>
      <w:r>
        <w:rPr>
          <w:color w:val="FF0000"/>
          <w:szCs w:val="24"/>
        </w:rPr>
        <w:t>GB3096-2008</w:t>
      </w:r>
      <w:r>
        <w:rPr>
          <w:rFonts w:hint="eastAsia"/>
          <w:color w:val="FF0000"/>
          <w:szCs w:val="24"/>
          <w:lang w:eastAsia="zh-CN"/>
        </w:rPr>
        <w:t>）</w:t>
      </w:r>
      <w:r>
        <w:rPr>
          <w:color w:val="FF0000"/>
          <w:szCs w:val="24"/>
        </w:rPr>
        <w:t>及《声环境功能区划分技术规范》(GB/T15190-2014)，本项目运营期线路两侧执行《声环境质量标准》(GB3096-2008)中执行2类标准</w:t>
      </w:r>
      <w:r>
        <w:rPr>
          <w:rFonts w:hint="eastAsia"/>
          <w:color w:val="FF0000"/>
          <w:szCs w:val="24"/>
          <w:lang w:eastAsia="zh-CN"/>
        </w:rPr>
        <w:t>，</w:t>
      </w:r>
      <w:r>
        <w:rPr>
          <w:rFonts w:hint="eastAsia"/>
          <w:color w:val="FF0000"/>
          <w:szCs w:val="24"/>
          <w:lang w:val="en-US" w:eastAsia="zh-CN"/>
        </w:rPr>
        <w:t>学校处执行</w:t>
      </w:r>
      <w:r>
        <w:rPr>
          <w:color w:val="FF0000"/>
          <w:szCs w:val="24"/>
        </w:rPr>
        <w:t>《声环境质量标准》(GB3096-2008)中执行</w:t>
      </w:r>
      <w:r>
        <w:rPr>
          <w:rFonts w:hint="eastAsia"/>
          <w:color w:val="FF0000"/>
          <w:szCs w:val="24"/>
          <w:lang w:val="en-US" w:eastAsia="zh-CN"/>
        </w:rPr>
        <w:t>1</w:t>
      </w:r>
      <w:r>
        <w:rPr>
          <w:color w:val="FF0000"/>
          <w:szCs w:val="24"/>
        </w:rPr>
        <w:t>类标准。具体见表1。</w:t>
      </w:r>
    </w:p>
    <w:p>
      <w:pPr>
        <w:pStyle w:val="99"/>
        <w:adjustRightInd w:val="0"/>
        <w:snapToGrid w:val="0"/>
        <w:spacing w:line="240" w:lineRule="auto"/>
        <w:ind w:firstLine="482"/>
        <w:jc w:val="center"/>
        <w:rPr>
          <w:color w:val="FF0000"/>
          <w:sz w:val="21"/>
          <w:szCs w:val="21"/>
        </w:rPr>
      </w:pPr>
      <w:r>
        <w:rPr>
          <w:b/>
          <w:bCs/>
          <w:color w:val="FF0000"/>
          <w:sz w:val="21"/>
          <w:szCs w:val="21"/>
        </w:rPr>
        <w:t>表1           道路两侧声环境功能区划分一览表</w:t>
      </w:r>
    </w:p>
    <w:tbl>
      <w:tblPr>
        <w:tblStyle w:val="30"/>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758"/>
        <w:gridCol w:w="1411"/>
        <w:gridCol w:w="3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86" w:type="dxa"/>
            <w:vMerge w:val="restart"/>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类型</w:t>
            </w:r>
          </w:p>
        </w:tc>
        <w:tc>
          <w:tcPr>
            <w:tcW w:w="3169" w:type="dxa"/>
            <w:gridSpan w:val="2"/>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标准值LAe（dB）</w:t>
            </w:r>
          </w:p>
        </w:tc>
        <w:tc>
          <w:tcPr>
            <w:tcW w:w="3604" w:type="dxa"/>
            <w:vMerge w:val="restart"/>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486" w:type="dxa"/>
            <w:vMerge w:val="continue"/>
            <w:shd w:val="clear" w:color="auto" w:fill="auto"/>
            <w:vAlign w:val="center"/>
          </w:tcPr>
          <w:p>
            <w:pPr>
              <w:pStyle w:val="99"/>
              <w:adjustRightInd w:val="0"/>
              <w:snapToGrid w:val="0"/>
              <w:spacing w:line="240" w:lineRule="auto"/>
              <w:ind w:firstLine="0" w:firstLineChars="0"/>
              <w:jc w:val="center"/>
              <w:rPr>
                <w:color w:val="FF0000"/>
                <w:sz w:val="21"/>
                <w:szCs w:val="21"/>
              </w:rPr>
            </w:pPr>
          </w:p>
        </w:tc>
        <w:tc>
          <w:tcPr>
            <w:tcW w:w="1758" w:type="dxa"/>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昼间</w:t>
            </w:r>
          </w:p>
        </w:tc>
        <w:tc>
          <w:tcPr>
            <w:tcW w:w="1411" w:type="dxa"/>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夜间</w:t>
            </w:r>
          </w:p>
        </w:tc>
        <w:tc>
          <w:tcPr>
            <w:tcW w:w="3604" w:type="dxa"/>
            <w:vMerge w:val="continue"/>
            <w:shd w:val="clear" w:color="auto" w:fill="auto"/>
            <w:vAlign w:val="center"/>
          </w:tcPr>
          <w:p>
            <w:pPr>
              <w:pStyle w:val="99"/>
              <w:adjustRightInd w:val="0"/>
              <w:snapToGrid w:val="0"/>
              <w:spacing w:line="240" w:lineRule="auto"/>
              <w:ind w:firstLine="0" w:firstLineChars="0"/>
              <w:jc w:val="center"/>
              <w:rPr>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86" w:type="dxa"/>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2类</w:t>
            </w:r>
          </w:p>
        </w:tc>
        <w:tc>
          <w:tcPr>
            <w:tcW w:w="1758" w:type="dxa"/>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60</w:t>
            </w:r>
          </w:p>
        </w:tc>
        <w:tc>
          <w:tcPr>
            <w:tcW w:w="1411" w:type="dxa"/>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50</w:t>
            </w:r>
          </w:p>
        </w:tc>
        <w:tc>
          <w:tcPr>
            <w:tcW w:w="3604" w:type="dxa"/>
            <w:vMerge w:val="restart"/>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道路两侧距离红线</w:t>
            </w:r>
            <w:r>
              <w:rPr>
                <w:rFonts w:hint="eastAsia"/>
                <w:color w:val="FF0000"/>
                <w:sz w:val="21"/>
                <w:szCs w:val="21"/>
                <w:lang w:val="en-US" w:eastAsia="zh-CN"/>
              </w:rPr>
              <w:t>35</w:t>
            </w:r>
            <w:r>
              <w:rPr>
                <w:rFonts w:hint="eastAsia" w:ascii="宋体" w:hAnsi="宋体" w:eastAsia="宋体" w:cs="宋体"/>
                <w:color w:val="FF0000"/>
                <w:szCs w:val="24"/>
              </w:rPr>
              <w:t>±</w:t>
            </w:r>
            <w:r>
              <w:rPr>
                <w:rFonts w:hint="eastAsia"/>
                <w:color w:val="FF0000"/>
                <w:sz w:val="21"/>
                <w:szCs w:val="21"/>
                <w:lang w:val="en-US" w:eastAsia="zh-CN"/>
              </w:rPr>
              <w:t>5</w:t>
            </w:r>
            <w:r>
              <w:rPr>
                <w:color w:val="FF0000"/>
                <w:sz w:val="21"/>
                <w:szCs w:val="21"/>
              </w:rPr>
              <w:t>m以外区域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86" w:type="dxa"/>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1类</w:t>
            </w:r>
          </w:p>
        </w:tc>
        <w:tc>
          <w:tcPr>
            <w:tcW w:w="1758" w:type="dxa"/>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55</w:t>
            </w:r>
          </w:p>
        </w:tc>
        <w:tc>
          <w:tcPr>
            <w:tcW w:w="1411" w:type="dxa"/>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lang w:val="en-US" w:eastAsia="zh-CN"/>
              </w:rPr>
            </w:pPr>
            <w:r>
              <w:rPr>
                <w:rFonts w:hint="eastAsia"/>
                <w:color w:val="FF0000"/>
                <w:sz w:val="21"/>
                <w:szCs w:val="21"/>
                <w:lang w:val="en-US" w:eastAsia="zh-CN"/>
              </w:rPr>
              <w:t>45</w:t>
            </w:r>
          </w:p>
        </w:tc>
        <w:tc>
          <w:tcPr>
            <w:tcW w:w="3604" w:type="dxa"/>
            <w:vMerge w:val="continue"/>
            <w:shd w:val="clear" w:color="auto" w:fill="auto"/>
            <w:vAlign w:val="center"/>
          </w:tcPr>
          <w:p>
            <w:pPr>
              <w:pStyle w:val="99"/>
              <w:adjustRightInd w:val="0"/>
              <w:snapToGrid w:val="0"/>
              <w:spacing w:line="240" w:lineRule="auto"/>
              <w:ind w:firstLine="0" w:firstLineChars="0"/>
              <w:jc w:val="center"/>
              <w:rPr>
                <w:color w:val="FF0000"/>
                <w:sz w:val="21"/>
                <w:szCs w:val="21"/>
              </w:rPr>
            </w:pPr>
          </w:p>
        </w:tc>
      </w:tr>
    </w:tbl>
    <w:p>
      <w:pPr>
        <w:pStyle w:val="99"/>
        <w:adjustRightInd w:val="0"/>
        <w:snapToGrid w:val="0"/>
        <w:spacing w:before="120" w:beforeLines="50"/>
        <w:ind w:left="0" w:leftChars="0" w:firstLine="0" w:firstLineChars="0"/>
        <w:rPr>
          <w:rFonts w:hint="eastAsia"/>
          <w:b/>
          <w:bCs/>
          <w:color w:val="FF0000"/>
        </w:rPr>
      </w:pPr>
      <w:r>
        <w:rPr>
          <w:rFonts w:hint="eastAsia"/>
          <w:b/>
          <w:bCs/>
          <w:color w:val="FF0000"/>
        </w:rPr>
        <w:t>3、评价工作等级及范围</w:t>
      </w:r>
    </w:p>
    <w:p>
      <w:pPr>
        <w:pStyle w:val="99"/>
        <w:adjustRightInd w:val="0"/>
        <w:snapToGrid w:val="0"/>
        <w:ind w:firstLine="480"/>
        <w:rPr>
          <w:rFonts w:hint="eastAsia"/>
          <w:color w:val="FF0000"/>
        </w:rPr>
      </w:pPr>
      <w:r>
        <w:rPr>
          <w:color w:val="FF0000"/>
        </w:rPr>
        <w:t>结合本项目的建设性质和周围环境分布特点，对本项目的噪声影响评价将从以下三方面进行，一是项目所在区域的声环境功能区类别；二是项目建设前后所在区域的声环境质量变化程度；三是受建设项目影响的人口数量。本项目处于声环境功能</w:t>
      </w:r>
      <w:r>
        <w:rPr>
          <w:rFonts w:hint="eastAsia"/>
          <w:color w:val="FF0000"/>
          <w:lang w:val="en-US" w:eastAsia="zh-CN"/>
        </w:rPr>
        <w:t>1类区和</w:t>
      </w:r>
      <w:r>
        <w:rPr>
          <w:color w:val="FF0000"/>
        </w:rPr>
        <w:t>2类区，建成后敏感目标噪声级增</w:t>
      </w:r>
      <w:r>
        <w:rPr>
          <w:rFonts w:hint="eastAsia"/>
          <w:color w:val="FF0000"/>
          <w:lang w:val="en-US" w:eastAsia="zh-CN"/>
        </w:rPr>
        <w:t>量达</w:t>
      </w:r>
      <w:r>
        <w:rPr>
          <w:rFonts w:hint="eastAsia"/>
          <w:color w:val="FF0000"/>
        </w:rPr>
        <w:t>3~5dB(A)</w:t>
      </w:r>
      <w:r>
        <w:rPr>
          <w:color w:val="FF0000"/>
        </w:rPr>
        <w:t>，受影响的人口增加较多，因此根据导则将噪声评价等级定为二级。声环境评价范围为拟建道路两侧200m的范围。</w:t>
      </w:r>
      <w:r>
        <w:rPr>
          <w:rFonts w:hint="eastAsia"/>
          <w:color w:val="FF0000"/>
        </w:rPr>
        <w:t>评价等级划分见表2。</w:t>
      </w:r>
    </w:p>
    <w:p>
      <w:pPr>
        <w:pStyle w:val="9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FF0000"/>
          <w:sz w:val="21"/>
          <w:szCs w:val="21"/>
        </w:rPr>
      </w:pPr>
      <w:r>
        <w:rPr>
          <w:b/>
          <w:bCs/>
          <w:color w:val="FF0000"/>
          <w:sz w:val="21"/>
          <w:szCs w:val="21"/>
        </w:rPr>
        <w:t xml:space="preserve">表2     </w:t>
      </w:r>
      <w:r>
        <w:rPr>
          <w:rFonts w:hint="eastAsia"/>
          <w:b/>
          <w:bCs/>
          <w:color w:val="FF0000"/>
          <w:sz w:val="21"/>
          <w:szCs w:val="21"/>
        </w:rPr>
        <w:t xml:space="preserve">  </w:t>
      </w:r>
      <w:r>
        <w:rPr>
          <w:b/>
          <w:bCs/>
          <w:color w:val="FF0000"/>
          <w:sz w:val="21"/>
          <w:szCs w:val="21"/>
        </w:rPr>
        <w:t xml:space="preserve">   评价等级判别表</w:t>
      </w:r>
    </w:p>
    <w:tbl>
      <w:tblPr>
        <w:tblStyle w:val="30"/>
        <w:tblW w:w="839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2884"/>
        <w:gridCol w:w="2978"/>
        <w:gridCol w:w="13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69"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项目</w:t>
            </w:r>
          </w:p>
        </w:tc>
        <w:tc>
          <w:tcPr>
            <w:tcW w:w="2884"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声环境功能区</w:t>
            </w:r>
          </w:p>
        </w:tc>
        <w:tc>
          <w:tcPr>
            <w:tcW w:w="297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项目建设前后评价范围内敏感目标噪声级的变化程度</w:t>
            </w:r>
          </w:p>
        </w:tc>
        <w:tc>
          <w:tcPr>
            <w:tcW w:w="136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人口数量变化程度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69"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一级评价</w:t>
            </w:r>
          </w:p>
        </w:tc>
        <w:tc>
          <w:tcPr>
            <w:tcW w:w="2884"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0类区以及对噪声有特别限制要求的保护区等敏感目标</w:t>
            </w:r>
          </w:p>
        </w:tc>
        <w:tc>
          <w:tcPr>
            <w:tcW w:w="297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噪声增高量</w:t>
            </w:r>
            <w:r>
              <w:rPr>
                <w:rFonts w:hint="eastAsia"/>
                <w:snapToGrid w:val="0"/>
                <w:color w:val="FF0000"/>
                <w:sz w:val="21"/>
                <w:szCs w:val="21"/>
              </w:rPr>
              <w:t>：</w:t>
            </w:r>
            <w:r>
              <w:rPr>
                <w:snapToGrid w:val="0"/>
                <w:color w:val="FF0000"/>
                <w:sz w:val="21"/>
                <w:szCs w:val="21"/>
              </w:rPr>
              <w:t>&gt;5dB(A)</w:t>
            </w:r>
          </w:p>
        </w:tc>
        <w:tc>
          <w:tcPr>
            <w:tcW w:w="136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显著增多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69"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二级评价</w:t>
            </w:r>
          </w:p>
        </w:tc>
        <w:tc>
          <w:tcPr>
            <w:tcW w:w="2884"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1类、</w:t>
            </w:r>
            <w:r>
              <w:rPr>
                <w:b/>
                <w:bCs/>
                <w:snapToGrid w:val="0"/>
                <w:color w:val="FF0000"/>
                <w:sz w:val="21"/>
                <w:szCs w:val="21"/>
              </w:rPr>
              <w:t>2类区</w:t>
            </w:r>
          </w:p>
        </w:tc>
        <w:tc>
          <w:tcPr>
            <w:tcW w:w="2978" w:type="dxa"/>
            <w:tcBorders>
              <w:tl2br w:val="nil"/>
              <w:tr2bl w:val="nil"/>
            </w:tcBorders>
            <w:shd w:val="clear" w:color="auto" w:fill="auto"/>
            <w:vAlign w:val="center"/>
          </w:tcPr>
          <w:p>
            <w:pPr>
              <w:pStyle w:val="99"/>
              <w:adjustRightInd w:val="0"/>
              <w:snapToGrid w:val="0"/>
              <w:spacing w:line="240" w:lineRule="auto"/>
              <w:ind w:firstLine="0" w:firstLineChars="0"/>
              <w:jc w:val="center"/>
              <w:rPr>
                <w:b/>
                <w:bCs/>
                <w:snapToGrid w:val="0"/>
                <w:color w:val="FF0000"/>
                <w:sz w:val="21"/>
                <w:szCs w:val="21"/>
              </w:rPr>
            </w:pPr>
            <w:r>
              <w:rPr>
                <w:b/>
                <w:bCs/>
                <w:snapToGrid w:val="0"/>
                <w:color w:val="FF0000"/>
                <w:sz w:val="21"/>
                <w:szCs w:val="21"/>
              </w:rPr>
              <w:t>噪声</w:t>
            </w:r>
            <w:r>
              <w:rPr>
                <w:rFonts w:hint="eastAsia"/>
                <w:b/>
                <w:bCs/>
                <w:snapToGrid w:val="0"/>
                <w:color w:val="FF0000"/>
                <w:sz w:val="21"/>
                <w:szCs w:val="21"/>
              </w:rPr>
              <w:t>增高量：</w:t>
            </w:r>
            <w:r>
              <w:rPr>
                <w:b/>
                <w:bCs/>
                <w:snapToGrid w:val="0"/>
                <w:color w:val="FF0000"/>
                <w:sz w:val="21"/>
                <w:szCs w:val="21"/>
              </w:rPr>
              <w:t>3dB(A)</w:t>
            </w:r>
            <w:r>
              <w:rPr>
                <w:rFonts w:hint="eastAsia"/>
                <w:b/>
                <w:bCs/>
                <w:snapToGrid w:val="0"/>
                <w:color w:val="FF0000"/>
                <w:sz w:val="21"/>
                <w:szCs w:val="21"/>
              </w:rPr>
              <w:t>~</w:t>
            </w:r>
            <w:r>
              <w:rPr>
                <w:b/>
                <w:bCs/>
                <w:snapToGrid w:val="0"/>
                <w:color w:val="FF0000"/>
                <w:sz w:val="21"/>
                <w:szCs w:val="21"/>
              </w:rPr>
              <w:t>5dB(A)之间(含</w:t>
            </w:r>
            <w:r>
              <w:rPr>
                <w:rFonts w:hint="eastAsia"/>
                <w:b/>
                <w:bCs/>
                <w:snapToGrid w:val="0"/>
                <w:color w:val="FF0000"/>
                <w:sz w:val="21"/>
                <w:szCs w:val="21"/>
              </w:rPr>
              <w:t>5</w:t>
            </w:r>
            <w:r>
              <w:rPr>
                <w:b/>
                <w:bCs/>
                <w:snapToGrid w:val="0"/>
                <w:color w:val="FF0000"/>
                <w:sz w:val="21"/>
                <w:szCs w:val="21"/>
              </w:rPr>
              <w:t>dB(A)增加较多</w:t>
            </w:r>
          </w:p>
        </w:tc>
        <w:tc>
          <w:tcPr>
            <w:tcW w:w="1368" w:type="dxa"/>
            <w:tcBorders>
              <w:tl2br w:val="nil"/>
              <w:tr2bl w:val="nil"/>
            </w:tcBorders>
            <w:shd w:val="clear" w:color="auto" w:fill="auto"/>
            <w:vAlign w:val="center"/>
          </w:tcPr>
          <w:p>
            <w:pPr>
              <w:pStyle w:val="99"/>
              <w:adjustRightInd w:val="0"/>
              <w:snapToGrid w:val="0"/>
              <w:spacing w:line="240" w:lineRule="auto"/>
              <w:ind w:firstLine="0" w:firstLineChars="0"/>
              <w:jc w:val="center"/>
              <w:rPr>
                <w:b/>
                <w:bCs/>
                <w:snapToGrid w:val="0"/>
                <w:color w:val="FF0000"/>
                <w:sz w:val="21"/>
                <w:szCs w:val="21"/>
              </w:rPr>
            </w:pPr>
            <w:r>
              <w:rPr>
                <w:b/>
                <w:bCs/>
                <w:snapToGrid w:val="0"/>
                <w:color w:val="FF0000"/>
                <w:sz w:val="21"/>
                <w:szCs w:val="21"/>
              </w:rPr>
              <w:t>增加较多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69"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三级评价</w:t>
            </w:r>
          </w:p>
        </w:tc>
        <w:tc>
          <w:tcPr>
            <w:tcW w:w="2884"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3类区、</w:t>
            </w:r>
            <w:r>
              <w:rPr>
                <w:bCs/>
                <w:snapToGrid w:val="0"/>
                <w:color w:val="FF0000"/>
                <w:sz w:val="21"/>
                <w:szCs w:val="21"/>
              </w:rPr>
              <w:t>4类区</w:t>
            </w:r>
          </w:p>
        </w:tc>
        <w:tc>
          <w:tcPr>
            <w:tcW w:w="297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噪声增高量</w:t>
            </w:r>
            <w:r>
              <w:rPr>
                <w:rFonts w:hint="eastAsia"/>
                <w:snapToGrid w:val="0"/>
                <w:color w:val="FF0000"/>
                <w:sz w:val="21"/>
                <w:szCs w:val="21"/>
              </w:rPr>
              <w:t>：</w:t>
            </w:r>
            <w:r>
              <w:rPr>
                <w:snapToGrid w:val="0"/>
                <w:color w:val="FF0000"/>
                <w:sz w:val="21"/>
                <w:szCs w:val="21"/>
              </w:rPr>
              <w:t>在3dB(A)以下，不含3dB(A)</w:t>
            </w:r>
          </w:p>
        </w:tc>
        <w:tc>
          <w:tcPr>
            <w:tcW w:w="1368" w:type="dxa"/>
            <w:tcBorders>
              <w:tl2br w:val="nil"/>
              <w:tr2bl w:val="nil"/>
            </w:tcBorders>
            <w:shd w:val="clear" w:color="auto" w:fill="auto"/>
            <w:vAlign w:val="center"/>
          </w:tcPr>
          <w:p>
            <w:pPr>
              <w:pStyle w:val="99"/>
              <w:adjustRightInd w:val="0"/>
              <w:snapToGrid w:val="0"/>
              <w:spacing w:line="240" w:lineRule="auto"/>
              <w:ind w:firstLine="0" w:firstLineChars="0"/>
              <w:jc w:val="center"/>
              <w:rPr>
                <w:snapToGrid w:val="0"/>
                <w:color w:val="FF0000"/>
                <w:sz w:val="21"/>
                <w:szCs w:val="21"/>
              </w:rPr>
            </w:pPr>
            <w:r>
              <w:rPr>
                <w:snapToGrid w:val="0"/>
                <w:color w:val="FF0000"/>
                <w:sz w:val="21"/>
                <w:szCs w:val="21"/>
              </w:rPr>
              <w:t>变化不大</w:t>
            </w:r>
          </w:p>
        </w:tc>
      </w:tr>
    </w:tbl>
    <w:p>
      <w:pPr>
        <w:pStyle w:val="99"/>
        <w:adjustRightInd w:val="0"/>
        <w:snapToGrid w:val="0"/>
        <w:spacing w:before="120" w:beforeLines="50"/>
        <w:ind w:left="0" w:leftChars="0" w:firstLine="0" w:firstLineChars="0"/>
        <w:rPr>
          <w:b/>
          <w:bCs/>
          <w:color w:val="FF0000"/>
          <w:szCs w:val="24"/>
        </w:rPr>
      </w:pPr>
      <w:r>
        <w:rPr>
          <w:rFonts w:hint="eastAsia"/>
          <w:b/>
          <w:bCs/>
          <w:color w:val="FF0000"/>
          <w:szCs w:val="24"/>
        </w:rPr>
        <w:t>4、</w:t>
      </w:r>
      <w:r>
        <w:rPr>
          <w:b/>
          <w:bCs/>
          <w:color w:val="FF0000"/>
          <w:szCs w:val="24"/>
        </w:rPr>
        <w:t>噪声源强</w:t>
      </w:r>
    </w:p>
    <w:p>
      <w:pPr>
        <w:pStyle w:val="99"/>
        <w:adjustRightInd w:val="0"/>
        <w:snapToGrid w:val="0"/>
        <w:ind w:firstLine="480"/>
        <w:rPr>
          <w:color w:val="FF0000"/>
          <w:szCs w:val="24"/>
        </w:rPr>
      </w:pPr>
      <w:r>
        <w:rPr>
          <w:color w:val="FF0000"/>
          <w:szCs w:val="24"/>
        </w:rPr>
        <w:t>根据《公路建设项目环境影响评价规范》(JTGB-2006)中第i种车型车辆在参照点(7.5m处)的平均辐射噪声级(dB)Loi按下式计算：</w:t>
      </w:r>
    </w:p>
    <w:p>
      <w:pPr>
        <w:pStyle w:val="99"/>
        <w:adjustRightInd w:val="0"/>
        <w:snapToGrid w:val="0"/>
        <w:ind w:firstLine="480"/>
        <w:rPr>
          <w:color w:val="FF0000"/>
          <w:szCs w:val="24"/>
        </w:rPr>
      </w:pPr>
      <w:r>
        <w:rPr>
          <w:color w:val="FF0000"/>
          <w:szCs w:val="24"/>
        </w:rPr>
        <w:t>小型车</w:t>
      </w:r>
      <w:r>
        <w:rPr>
          <w:rFonts w:hint="eastAsia"/>
          <w:color w:val="FF0000"/>
          <w:szCs w:val="24"/>
        </w:rPr>
        <w:t>：</w:t>
      </w:r>
      <w:r>
        <w:rPr>
          <w:color w:val="FF0000"/>
          <w:szCs w:val="24"/>
        </w:rPr>
        <w:t>Loi=12.6+34.73LgVS+△L路面</w:t>
      </w:r>
    </w:p>
    <w:p>
      <w:pPr>
        <w:pStyle w:val="99"/>
        <w:adjustRightInd w:val="0"/>
        <w:snapToGrid w:val="0"/>
        <w:ind w:firstLine="480"/>
        <w:rPr>
          <w:color w:val="FF0000"/>
          <w:szCs w:val="24"/>
        </w:rPr>
      </w:pPr>
      <w:r>
        <w:rPr>
          <w:color w:val="FF0000"/>
          <w:szCs w:val="24"/>
        </w:rPr>
        <w:t>中型车</w:t>
      </w:r>
      <w:r>
        <w:rPr>
          <w:rFonts w:hint="eastAsia"/>
          <w:color w:val="FF0000"/>
          <w:szCs w:val="24"/>
        </w:rPr>
        <w:t>：</w:t>
      </w:r>
      <w:r>
        <w:rPr>
          <w:color w:val="FF0000"/>
          <w:szCs w:val="24"/>
        </w:rPr>
        <w:t>Loi=8.8+40.48LgVM+△L纵坡</w:t>
      </w:r>
    </w:p>
    <w:p>
      <w:pPr>
        <w:pStyle w:val="99"/>
        <w:adjustRightInd w:val="0"/>
        <w:snapToGrid w:val="0"/>
        <w:ind w:firstLine="480"/>
        <w:rPr>
          <w:color w:val="FF0000"/>
          <w:szCs w:val="24"/>
        </w:rPr>
      </w:pPr>
      <w:r>
        <w:rPr>
          <w:color w:val="FF0000"/>
          <w:szCs w:val="24"/>
        </w:rPr>
        <w:t>大型车</w:t>
      </w:r>
      <w:r>
        <w:rPr>
          <w:rFonts w:hint="eastAsia"/>
          <w:color w:val="FF0000"/>
          <w:szCs w:val="24"/>
        </w:rPr>
        <w:t>：</w:t>
      </w:r>
      <w:r>
        <w:rPr>
          <w:color w:val="FF0000"/>
          <w:szCs w:val="24"/>
        </w:rPr>
        <w:t>Loi=22.0+36.32LgVL+△L纵坡</w:t>
      </w:r>
    </w:p>
    <w:p>
      <w:pPr>
        <w:pStyle w:val="99"/>
        <w:adjustRightInd w:val="0"/>
        <w:snapToGrid w:val="0"/>
        <w:ind w:firstLine="480"/>
        <w:rPr>
          <w:color w:val="FF0000"/>
          <w:szCs w:val="24"/>
        </w:rPr>
      </w:pPr>
      <w:r>
        <w:rPr>
          <w:color w:val="FF0000"/>
          <w:szCs w:val="24"/>
        </w:rPr>
        <w:t>式中：VS、VM、VL—表示小、中、大型车的速度。</w:t>
      </w:r>
    </w:p>
    <w:p>
      <w:pPr>
        <w:pStyle w:val="99"/>
        <w:adjustRightInd w:val="0"/>
        <w:snapToGrid w:val="0"/>
        <w:ind w:firstLine="480"/>
        <w:rPr>
          <w:color w:val="FF0000"/>
          <w:szCs w:val="24"/>
        </w:rPr>
      </w:pPr>
      <w:r>
        <w:rPr>
          <w:color w:val="FF0000"/>
          <w:szCs w:val="24"/>
        </w:rPr>
        <w:t>△L路面、△L纵坡源强修正如下：</w:t>
      </w:r>
    </w:p>
    <w:p>
      <w:pPr>
        <w:pStyle w:val="99"/>
        <w:adjustRightInd w:val="0"/>
        <w:snapToGrid w:val="0"/>
        <w:ind w:firstLine="480"/>
        <w:rPr>
          <w:color w:val="FF0000"/>
          <w:szCs w:val="24"/>
        </w:rPr>
      </w:pPr>
      <w:r>
        <w:rPr>
          <w:color w:val="FF0000"/>
          <w:szCs w:val="24"/>
        </w:rPr>
        <w:t>纵坡引起的交通噪声源强修正量△L纵坡计算按下表</w:t>
      </w:r>
      <w:r>
        <w:rPr>
          <w:rFonts w:hint="eastAsia"/>
          <w:color w:val="FF0000"/>
          <w:szCs w:val="24"/>
        </w:rPr>
        <w:t>3</w:t>
      </w:r>
      <w:r>
        <w:rPr>
          <w:color w:val="FF0000"/>
          <w:szCs w:val="24"/>
        </w:rPr>
        <w:t>取值。</w:t>
      </w:r>
    </w:p>
    <w:p>
      <w:pPr>
        <w:pStyle w:val="99"/>
        <w:adjustRightInd w:val="0"/>
        <w:snapToGrid w:val="0"/>
        <w:spacing w:line="240" w:lineRule="auto"/>
        <w:ind w:firstLine="0" w:firstLineChars="0"/>
        <w:jc w:val="center"/>
        <w:rPr>
          <w:b/>
          <w:bCs/>
          <w:color w:val="FF0000"/>
          <w:sz w:val="21"/>
          <w:szCs w:val="21"/>
        </w:rPr>
      </w:pPr>
      <w:r>
        <w:rPr>
          <w:b/>
          <w:bCs/>
          <w:color w:val="FF0000"/>
          <w:sz w:val="21"/>
          <w:szCs w:val="21"/>
        </w:rPr>
        <w:t>表3          路面纵坡噪南级修正值</w:t>
      </w:r>
    </w:p>
    <w:tbl>
      <w:tblPr>
        <w:tblStyle w:val="30"/>
        <w:tblW w:w="81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8"/>
        <w:gridCol w:w="4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58"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纵坡</w:t>
            </w:r>
          </w:p>
        </w:tc>
        <w:tc>
          <w:tcPr>
            <w:tcW w:w="4062"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噪声级修正值（dB）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58"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≤3</w:t>
            </w:r>
          </w:p>
        </w:tc>
        <w:tc>
          <w:tcPr>
            <w:tcW w:w="4062"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58"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4~5</w:t>
            </w:r>
          </w:p>
        </w:tc>
        <w:tc>
          <w:tcPr>
            <w:tcW w:w="4062"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58"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6~7</w:t>
            </w:r>
          </w:p>
        </w:tc>
        <w:tc>
          <w:tcPr>
            <w:tcW w:w="4062"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58"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＞7</w:t>
            </w:r>
          </w:p>
        </w:tc>
        <w:tc>
          <w:tcPr>
            <w:tcW w:w="4062" w:type="dxa"/>
            <w:tcBorders>
              <w:tl2br w:val="nil"/>
              <w:tr2bl w:val="nil"/>
            </w:tcBorders>
            <w:shd w:val="clear" w:color="auto" w:fill="auto"/>
            <w:vAlign w:val="top"/>
          </w:tcPr>
          <w:p>
            <w:pPr>
              <w:pStyle w:val="99"/>
              <w:adjustRightInd w:val="0"/>
              <w:snapToGrid w:val="0"/>
              <w:spacing w:line="240" w:lineRule="auto"/>
              <w:ind w:firstLine="0" w:firstLineChars="0"/>
              <w:jc w:val="center"/>
              <w:rPr>
                <w:color w:val="FF0000"/>
                <w:sz w:val="21"/>
                <w:szCs w:val="21"/>
              </w:rPr>
            </w:pPr>
            <w:r>
              <w:rPr>
                <w:color w:val="FF0000"/>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120" w:type="dxa"/>
            <w:gridSpan w:val="2"/>
            <w:tcBorders>
              <w:tl2br w:val="nil"/>
              <w:tr2bl w:val="nil"/>
            </w:tcBorders>
            <w:shd w:val="clear" w:color="auto" w:fill="auto"/>
            <w:vAlign w:val="top"/>
          </w:tcPr>
          <w:p>
            <w:pPr>
              <w:pStyle w:val="99"/>
              <w:adjustRightInd w:val="0"/>
              <w:snapToGrid w:val="0"/>
              <w:spacing w:line="240" w:lineRule="auto"/>
              <w:ind w:firstLine="0" w:firstLineChars="0"/>
              <w:rPr>
                <w:color w:val="FF0000"/>
                <w:sz w:val="21"/>
                <w:szCs w:val="21"/>
              </w:rPr>
            </w:pPr>
            <w:r>
              <w:rPr>
                <w:color w:val="FF0000"/>
                <w:sz w:val="21"/>
                <w:szCs w:val="21"/>
              </w:rPr>
              <w:t>注：本表仅对大型车和中型车修正，小型车不做修正。</w:t>
            </w:r>
          </w:p>
        </w:tc>
      </w:tr>
    </w:tbl>
    <w:p>
      <w:pPr>
        <w:pStyle w:val="99"/>
        <w:adjustRightInd w:val="0"/>
        <w:snapToGrid w:val="0"/>
        <w:spacing w:before="120" w:beforeLines="50"/>
        <w:ind w:firstLine="480"/>
        <w:rPr>
          <w:color w:val="FF0000"/>
          <w:szCs w:val="24"/>
        </w:rPr>
      </w:pPr>
      <w:r>
        <w:rPr>
          <w:color w:val="FF0000"/>
          <w:szCs w:val="24"/>
        </w:rPr>
        <w:t>本项目主线设计最大纵坡为</w:t>
      </w:r>
      <w:r>
        <w:rPr>
          <w:rFonts w:hint="eastAsia"/>
          <w:color w:val="FF0000"/>
          <w:szCs w:val="24"/>
        </w:rPr>
        <w:t>4.764</w:t>
      </w:r>
      <w:r>
        <w:rPr>
          <w:color w:val="FF0000"/>
          <w:szCs w:val="24"/>
        </w:rPr>
        <w:t>，修正值△L纵坡取</w:t>
      </w:r>
      <w:r>
        <w:rPr>
          <w:rFonts w:hint="eastAsia"/>
          <w:color w:val="FF0000"/>
          <w:szCs w:val="24"/>
          <w:lang w:val="en-US" w:eastAsia="zh-CN"/>
        </w:rPr>
        <w:t>1</w:t>
      </w:r>
      <w:r>
        <w:rPr>
          <w:color w:val="FF0000"/>
          <w:szCs w:val="24"/>
        </w:rPr>
        <w:t>；</w:t>
      </w:r>
    </w:p>
    <w:p>
      <w:pPr>
        <w:pStyle w:val="99"/>
        <w:adjustRightInd w:val="0"/>
        <w:snapToGrid w:val="0"/>
        <w:ind w:firstLine="480"/>
        <w:rPr>
          <w:color w:val="FF0000"/>
          <w:szCs w:val="24"/>
        </w:rPr>
      </w:pPr>
      <w:r>
        <w:rPr>
          <w:rFonts w:hint="eastAsia"/>
          <w:color w:val="FF0000"/>
          <w:szCs w:val="24"/>
          <w:lang w:val="en-US" w:eastAsia="zh-CN"/>
        </w:rPr>
        <w:t>道</w:t>
      </w:r>
      <w:r>
        <w:rPr>
          <w:color w:val="FF0000"/>
          <w:szCs w:val="24"/>
        </w:rPr>
        <w:t>路路面引起的交通噪声源强修正量△L路面取值按表4执行。</w:t>
      </w:r>
    </w:p>
    <w:p>
      <w:pPr>
        <w:pStyle w:val="99"/>
        <w:adjustRightInd w:val="0"/>
        <w:snapToGrid w:val="0"/>
        <w:spacing w:line="240" w:lineRule="auto"/>
        <w:ind w:firstLine="0" w:firstLineChars="0"/>
        <w:jc w:val="center"/>
        <w:rPr>
          <w:rFonts w:ascii="Times New Roman" w:hAnsi="Times New Roman" w:eastAsia="宋体" w:cs="Times New Roman"/>
          <w:b/>
          <w:bCs/>
          <w:color w:val="FF0000"/>
          <w:sz w:val="21"/>
          <w:szCs w:val="21"/>
        </w:rPr>
      </w:pPr>
      <w:r>
        <w:rPr>
          <w:rFonts w:ascii="Times New Roman" w:hAnsi="Times New Roman" w:eastAsia="宋体" w:cs="Times New Roman"/>
          <w:b/>
          <w:bCs/>
          <w:color w:val="FF0000"/>
          <w:sz w:val="21"/>
          <w:szCs w:val="21"/>
        </w:rPr>
        <w:t>表</w:t>
      </w:r>
      <w:r>
        <w:rPr>
          <w:rFonts w:hint="eastAsia" w:ascii="Times New Roman" w:hAnsi="Times New Roman" w:eastAsia="宋体" w:cs="Times New Roman"/>
          <w:b/>
          <w:bCs/>
          <w:color w:val="FF0000"/>
          <w:sz w:val="21"/>
          <w:szCs w:val="21"/>
        </w:rPr>
        <w:t>4</w:t>
      </w:r>
      <w:r>
        <w:rPr>
          <w:rFonts w:ascii="Times New Roman" w:hAnsi="Times New Roman" w:eastAsia="宋体" w:cs="Times New Roman"/>
          <w:b/>
          <w:bCs/>
          <w:color w:val="FF0000"/>
          <w:sz w:val="21"/>
          <w:szCs w:val="21"/>
        </w:rPr>
        <w:t xml:space="preserve">    </w:t>
      </w:r>
      <w:r>
        <w:rPr>
          <w:rFonts w:hint="eastAsia" w:ascii="Times New Roman" w:hAnsi="Times New Roman" w:eastAsia="宋体" w:cs="Times New Roman"/>
          <w:b/>
          <w:bCs/>
          <w:color w:val="FF0000"/>
          <w:sz w:val="21"/>
          <w:szCs w:val="21"/>
        </w:rPr>
        <w:t xml:space="preserve">   </w:t>
      </w:r>
      <w:r>
        <w:rPr>
          <w:rFonts w:ascii="Times New Roman" w:hAnsi="Times New Roman" w:eastAsia="宋体" w:cs="Times New Roman"/>
          <w:b/>
          <w:bCs/>
          <w:color w:val="FF0000"/>
          <w:sz w:val="21"/>
          <w:szCs w:val="21"/>
        </w:rPr>
        <w:t xml:space="preserve">  常规路面修正值</w:t>
      </w:r>
    </w:p>
    <w:tbl>
      <w:tblPr>
        <w:tblStyle w:val="30"/>
        <w:tblW w:w="81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1"/>
        <w:gridCol w:w="4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961"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路面</w:t>
            </w:r>
          </w:p>
        </w:tc>
        <w:tc>
          <w:tcPr>
            <w:tcW w:w="4162"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△L路面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961"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沥青混凝土路面</w:t>
            </w:r>
          </w:p>
        </w:tc>
        <w:tc>
          <w:tcPr>
            <w:tcW w:w="4162"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961"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水泥混凝士路面</w:t>
            </w:r>
          </w:p>
        </w:tc>
        <w:tc>
          <w:tcPr>
            <w:tcW w:w="4162"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color w:val="FF0000"/>
                <w:sz w:val="21"/>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123" w:type="dxa"/>
            <w:gridSpan w:val="2"/>
            <w:tcBorders>
              <w:tl2br w:val="nil"/>
              <w:tr2bl w:val="nil"/>
            </w:tcBorders>
            <w:shd w:val="clear" w:color="auto" w:fill="auto"/>
            <w:vAlign w:val="center"/>
          </w:tcPr>
          <w:p>
            <w:pPr>
              <w:pStyle w:val="99"/>
              <w:adjustRightInd w:val="0"/>
              <w:snapToGrid w:val="0"/>
              <w:spacing w:line="240" w:lineRule="auto"/>
              <w:ind w:firstLine="0" w:firstLineChars="0"/>
              <w:rPr>
                <w:color w:val="FF0000"/>
                <w:sz w:val="21"/>
                <w:szCs w:val="21"/>
              </w:rPr>
            </w:pPr>
            <w:r>
              <w:rPr>
                <w:color w:val="FF0000"/>
                <w:sz w:val="21"/>
                <w:szCs w:val="21"/>
              </w:rPr>
              <w:t>注</w:t>
            </w:r>
            <w:r>
              <w:rPr>
                <w:rFonts w:hint="eastAsia"/>
                <w:color w:val="FF0000"/>
                <w:sz w:val="21"/>
                <w:szCs w:val="21"/>
              </w:rPr>
              <w:t>：</w:t>
            </w:r>
            <w:r>
              <w:rPr>
                <w:color w:val="FF0000"/>
                <w:sz w:val="21"/>
                <w:szCs w:val="21"/>
              </w:rPr>
              <w:t>本表仅对小型车修正，大型年和中型车不作修正</w:t>
            </w:r>
          </w:p>
        </w:tc>
      </w:tr>
    </w:tbl>
    <w:p>
      <w:pPr>
        <w:pStyle w:val="99"/>
        <w:adjustRightInd w:val="0"/>
        <w:snapToGrid w:val="0"/>
        <w:spacing w:before="120" w:beforeLines="50"/>
        <w:ind w:firstLine="480"/>
        <w:rPr>
          <w:color w:val="FF0000"/>
          <w:szCs w:val="24"/>
        </w:rPr>
      </w:pPr>
      <w:r>
        <w:rPr>
          <w:color w:val="FF0000"/>
          <w:szCs w:val="24"/>
        </w:rPr>
        <w:t>本项目路面全为沥青混凝土路面，故△L路面为0。</w:t>
      </w:r>
    </w:p>
    <w:p>
      <w:pPr>
        <w:pStyle w:val="99"/>
        <w:adjustRightInd w:val="0"/>
        <w:snapToGrid w:val="0"/>
        <w:ind w:firstLine="480"/>
        <w:rPr>
          <w:color w:val="FF0000"/>
          <w:szCs w:val="24"/>
        </w:rPr>
      </w:pPr>
      <w:r>
        <w:rPr>
          <w:color w:val="FF0000"/>
          <w:szCs w:val="24"/>
        </w:rPr>
        <w:t>根据车流量表，本次环评大、中、小型车车速</w:t>
      </w:r>
      <w:r>
        <w:rPr>
          <w:rFonts w:hint="eastAsia"/>
          <w:color w:val="FF0000"/>
          <w:szCs w:val="24"/>
          <w:lang w:eastAsia="zh-CN"/>
        </w:rPr>
        <w:t>平均</w:t>
      </w:r>
      <w:r>
        <w:rPr>
          <w:color w:val="FF0000"/>
          <w:szCs w:val="24"/>
        </w:rPr>
        <w:t>时速</w:t>
      </w:r>
      <w:r>
        <w:rPr>
          <w:rFonts w:hint="eastAsia"/>
          <w:color w:val="FF0000"/>
          <w:szCs w:val="24"/>
          <w:lang w:val="en-US" w:eastAsia="zh-CN"/>
        </w:rPr>
        <w:t>4</w:t>
      </w:r>
      <w:r>
        <w:rPr>
          <w:color w:val="FF0000"/>
          <w:szCs w:val="24"/>
        </w:rPr>
        <w:t>0km/h计算，项目路段近、中、远期各种车型车速7.5m处噪声级见表5。</w:t>
      </w:r>
    </w:p>
    <w:p>
      <w:pPr>
        <w:pStyle w:val="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FF0000"/>
          <w:sz w:val="21"/>
          <w:szCs w:val="21"/>
          <w:highlight w:val="none"/>
        </w:rPr>
      </w:pPr>
      <w:r>
        <w:rPr>
          <w:b/>
          <w:bCs/>
          <w:color w:val="FF0000"/>
          <w:sz w:val="21"/>
          <w:szCs w:val="21"/>
          <w:highlight w:val="none"/>
        </w:rPr>
        <w:t>表</w:t>
      </w:r>
      <w:r>
        <w:rPr>
          <w:rFonts w:hint="eastAsia"/>
          <w:b/>
          <w:bCs/>
          <w:color w:val="FF0000"/>
          <w:sz w:val="21"/>
          <w:szCs w:val="21"/>
          <w:highlight w:val="none"/>
        </w:rPr>
        <w:t>5</w:t>
      </w:r>
      <w:r>
        <w:rPr>
          <w:b/>
          <w:bCs/>
          <w:color w:val="FF0000"/>
          <w:sz w:val="21"/>
          <w:szCs w:val="21"/>
          <w:highlight w:val="none"/>
        </w:rPr>
        <w:t xml:space="preserve">       本项目车辆行驶辐射平均噪声级</w:t>
      </w:r>
      <w:r>
        <w:rPr>
          <w:rFonts w:hint="eastAsia"/>
          <w:b/>
          <w:bCs/>
          <w:color w:val="FF0000"/>
          <w:sz w:val="21"/>
          <w:szCs w:val="21"/>
          <w:highlight w:val="none"/>
          <w:lang w:val="en-US" w:eastAsia="zh-CN"/>
        </w:rPr>
        <w:t xml:space="preserve">     </w:t>
      </w:r>
      <w:r>
        <w:rPr>
          <w:b/>
          <w:bCs/>
          <w:color w:val="FF0000"/>
          <w:sz w:val="21"/>
          <w:szCs w:val="21"/>
          <w:highlight w:val="none"/>
        </w:rPr>
        <w:t>单位:dB(A)</w:t>
      </w:r>
    </w:p>
    <w:tbl>
      <w:tblPr>
        <w:tblStyle w:val="30"/>
        <w:tblW w:w="83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668"/>
        <w:gridCol w:w="1668"/>
        <w:gridCol w:w="1668"/>
        <w:gridCol w:w="1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65"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r>
              <w:rPr>
                <w:color w:val="FF0000"/>
                <w:sz w:val="21"/>
                <w:szCs w:val="21"/>
                <w:highlight w:val="none"/>
              </w:rPr>
              <w:t>路段</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特征年</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r>
              <w:rPr>
                <w:rFonts w:hint="eastAsia"/>
                <w:color w:val="FF0000"/>
                <w:sz w:val="21"/>
                <w:szCs w:val="21"/>
                <w:highlight w:val="none"/>
                <w:lang w:eastAsia="zh-CN"/>
              </w:rPr>
              <w:t>车型</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昼间</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5" w:type="dxa"/>
            <w:vMerge w:val="restart"/>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highlight w:val="none"/>
                <w:lang w:val="en-US" w:eastAsia="zh-CN"/>
              </w:rPr>
              <w:t>S318线</w:t>
            </w:r>
          </w:p>
        </w:tc>
        <w:tc>
          <w:tcPr>
            <w:tcW w:w="1668" w:type="dxa"/>
            <w:vMerge w:val="restart"/>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近期（</w:t>
            </w:r>
            <w:r>
              <w:rPr>
                <w:rFonts w:hint="eastAsia"/>
                <w:color w:val="FF0000"/>
                <w:sz w:val="21"/>
                <w:szCs w:val="21"/>
                <w:highlight w:val="none"/>
                <w:lang w:val="en-US" w:eastAsia="zh-CN"/>
              </w:rPr>
              <w:t>2024年</w:t>
            </w:r>
            <w:r>
              <w:rPr>
                <w:rFonts w:hint="eastAsia"/>
                <w:color w:val="FF0000"/>
                <w:sz w:val="21"/>
                <w:szCs w:val="21"/>
                <w:highlight w:val="none"/>
                <w:lang w:eastAsia="zh-CN"/>
              </w:rPr>
              <w:t>）</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lang w:val="en-US" w:eastAsia="zh-CN"/>
              </w:rPr>
              <w:t>小型车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65.71</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lang w:val="en-US" w:eastAsia="zh-CN"/>
              </w:rPr>
              <w:t>中型车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65.35</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lang w:val="en-US" w:eastAsia="zh-CN"/>
              </w:rPr>
              <w:t>大型车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72.87</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p>
        </w:tc>
        <w:tc>
          <w:tcPr>
            <w:tcW w:w="1668" w:type="dxa"/>
            <w:vMerge w:val="restart"/>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中期（</w:t>
            </w:r>
            <w:r>
              <w:rPr>
                <w:rFonts w:hint="eastAsia"/>
                <w:color w:val="FF0000"/>
                <w:sz w:val="21"/>
                <w:szCs w:val="21"/>
                <w:highlight w:val="none"/>
                <w:lang w:val="en-US" w:eastAsia="zh-CN"/>
              </w:rPr>
              <w:t>2030年</w:t>
            </w:r>
            <w:r>
              <w:rPr>
                <w:rFonts w:hint="eastAsia"/>
                <w:color w:val="FF0000"/>
                <w:sz w:val="21"/>
                <w:szCs w:val="21"/>
                <w:highlight w:val="none"/>
                <w:lang w:eastAsia="zh-CN"/>
              </w:rPr>
              <w:t>）</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小型车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65.67</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中型车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65.50</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大型车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72.97</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restart"/>
            <w:tcBorders>
              <w:tl2br w:val="nil"/>
              <w:tr2bl w:val="nil"/>
            </w:tcBorders>
            <w:shd w:val="clear" w:color="auto" w:fill="auto"/>
            <w:vAlign w:val="center"/>
          </w:tcPr>
          <w:p>
            <w:pPr>
              <w:pStyle w:val="99"/>
              <w:adjustRightInd w:val="0"/>
              <w:snapToGrid w:val="0"/>
              <w:spacing w:line="240" w:lineRule="auto"/>
              <w:ind w:firstLine="0" w:firstLineChars="0"/>
              <w:jc w:val="center"/>
              <w:rPr>
                <w:rFonts w:hint="eastAsia" w:eastAsia="宋体"/>
                <w:color w:val="FF0000"/>
                <w:sz w:val="21"/>
                <w:szCs w:val="21"/>
                <w:highlight w:val="none"/>
                <w:lang w:eastAsia="zh-CN"/>
              </w:rPr>
            </w:pPr>
            <w:r>
              <w:rPr>
                <w:rFonts w:hint="eastAsia"/>
                <w:color w:val="FF0000"/>
                <w:sz w:val="21"/>
                <w:szCs w:val="21"/>
                <w:highlight w:val="none"/>
                <w:lang w:eastAsia="zh-CN"/>
              </w:rPr>
              <w:t>远期（</w:t>
            </w:r>
            <w:r>
              <w:rPr>
                <w:rFonts w:hint="eastAsia"/>
                <w:color w:val="FF0000"/>
                <w:sz w:val="21"/>
                <w:szCs w:val="21"/>
                <w:highlight w:val="none"/>
                <w:lang w:val="en-US" w:eastAsia="zh-CN"/>
              </w:rPr>
              <w:t>2038年</w:t>
            </w:r>
            <w:r>
              <w:rPr>
                <w:rFonts w:hint="eastAsia"/>
                <w:color w:val="FF0000"/>
                <w:sz w:val="21"/>
                <w:szCs w:val="21"/>
                <w:highlight w:val="none"/>
                <w:lang w:eastAsia="zh-CN"/>
              </w:rPr>
              <w:t>）</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小型车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65.60</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中型车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65.68</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65.16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65"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vMerge w:val="continue"/>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highlight w:val="none"/>
              </w:rPr>
            </w:pP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color w:val="FF0000"/>
                <w:sz w:val="21"/>
                <w:szCs w:val="21"/>
              </w:rPr>
            </w:pPr>
            <w:r>
              <w:rPr>
                <w:rFonts w:hint="eastAsia"/>
                <w:color w:val="FF0000"/>
                <w:sz w:val="21"/>
                <w:szCs w:val="21"/>
                <w:lang w:val="en-US" w:eastAsia="zh-CN"/>
              </w:rPr>
              <w:t>大型车</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73.10</w:t>
            </w:r>
          </w:p>
        </w:tc>
        <w:tc>
          <w:tcPr>
            <w:tcW w:w="1668" w:type="dxa"/>
            <w:tcBorders>
              <w:tl2br w:val="nil"/>
              <w:tr2bl w:val="nil"/>
            </w:tcBorders>
            <w:shd w:val="clear" w:color="auto" w:fill="auto"/>
            <w:vAlign w:val="center"/>
          </w:tcPr>
          <w:p>
            <w:pPr>
              <w:pStyle w:val="99"/>
              <w:adjustRightInd w:val="0"/>
              <w:snapToGrid w:val="0"/>
              <w:spacing w:line="240" w:lineRule="auto"/>
              <w:ind w:firstLine="0" w:firstLineChars="0"/>
              <w:jc w:val="center"/>
              <w:rPr>
                <w:rFonts w:hint="default"/>
                <w:color w:val="FF0000"/>
                <w:sz w:val="21"/>
                <w:szCs w:val="21"/>
                <w:lang w:val="en-US" w:eastAsia="zh-CN"/>
              </w:rPr>
            </w:pPr>
            <w:r>
              <w:rPr>
                <w:rFonts w:hint="eastAsia"/>
                <w:color w:val="FF0000"/>
                <w:sz w:val="21"/>
                <w:szCs w:val="21"/>
                <w:lang w:val="en-US" w:eastAsia="zh-CN"/>
              </w:rPr>
              <w:t>72.75</w:t>
            </w:r>
          </w:p>
        </w:tc>
      </w:tr>
    </w:tbl>
    <w:p>
      <w:pPr>
        <w:adjustRightInd w:val="0"/>
        <w:snapToGrid w:val="0"/>
        <w:spacing w:before="120" w:beforeLines="50" w:line="360" w:lineRule="auto"/>
        <w:rPr>
          <w:rFonts w:hint="eastAsia"/>
          <w:b/>
          <w:color w:val="FF0000"/>
          <w:sz w:val="24"/>
        </w:rPr>
      </w:pPr>
      <w:r>
        <w:rPr>
          <w:rFonts w:hint="eastAsia"/>
          <w:b/>
          <w:color w:val="FF0000"/>
          <w:sz w:val="24"/>
        </w:rPr>
        <w:t>5、环境影响分析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eastAsia="宋体"/>
          <w:b/>
          <w:color w:val="FF0000"/>
          <w:sz w:val="24"/>
          <w:lang w:val="en-US" w:eastAsia="zh-CN"/>
        </w:rPr>
      </w:pPr>
      <w:r>
        <w:rPr>
          <w:rFonts w:hint="eastAsia"/>
          <w:b/>
          <w:color w:val="FF0000"/>
          <w:sz w:val="24"/>
        </w:rPr>
        <w:t>5.1</w:t>
      </w:r>
      <w:r>
        <w:rPr>
          <w:b/>
          <w:color w:val="FF0000"/>
          <w:sz w:val="24"/>
        </w:rPr>
        <w:t>预测模式</w:t>
      </w:r>
      <w:r>
        <w:rPr>
          <w:rFonts w:hint="eastAsia"/>
          <w:b/>
          <w:color w:val="FF0000"/>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噪声预测按《环境影响评价技术导则声环境》（HJ2.4-2021）中有关公路交通运输噪声模型和计算方法进行预测。项目公路可视作连续的线声源，噪声级预测模式如下。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①第i类车等效声级预测模式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drawing>
          <wp:inline distT="0" distB="0" distL="114300" distR="114300">
            <wp:extent cx="3790950" cy="438785"/>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4"/>
                    <a:stretch>
                      <a:fillRect/>
                    </a:stretch>
                  </pic:blipFill>
                  <pic:spPr>
                    <a:xfrm>
                      <a:off x="0" y="0"/>
                      <a:ext cx="3790950" cy="4387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式中：</w:t>
      </w:r>
      <w:r>
        <w:rPr>
          <w:color w:val="FF0000"/>
          <w:sz w:val="24"/>
        </w:rPr>
        <w:drawing>
          <wp:inline distT="0" distB="0" distL="114300" distR="114300">
            <wp:extent cx="447040" cy="247015"/>
            <wp:effectExtent l="0" t="0" r="0" b="762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5"/>
                    <a:stretch>
                      <a:fillRect/>
                    </a:stretch>
                  </pic:blipFill>
                  <pic:spPr>
                    <a:xfrm>
                      <a:off x="0" y="0"/>
                      <a:ext cx="447040" cy="247015"/>
                    </a:xfrm>
                    <a:prstGeom prst="rect">
                      <a:avLst/>
                    </a:prstGeom>
                    <a:noFill/>
                    <a:ln>
                      <a:noFill/>
                    </a:ln>
                  </pic:spPr>
                </pic:pic>
              </a:graphicData>
            </a:graphic>
          </wp:inline>
        </w:drawing>
      </w:r>
      <w:r>
        <w:rPr>
          <w:color w:val="FF0000"/>
          <w:sz w:val="24"/>
        </w:rPr>
        <w:t>—i车型小时等效声级，dB；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FF0000"/>
          <w:sz w:val="24"/>
        </w:rPr>
      </w:pPr>
      <w:r>
        <w:rPr>
          <w:color w:val="FF0000"/>
          <w:sz w:val="24"/>
        </w:rPr>
        <w:drawing>
          <wp:inline distT="0" distB="0" distL="114300" distR="114300">
            <wp:extent cx="370205" cy="266065"/>
            <wp:effectExtent l="0" t="0" r="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6"/>
                    <a:stretch>
                      <a:fillRect/>
                    </a:stretch>
                  </pic:blipFill>
                  <pic:spPr>
                    <a:xfrm>
                      <a:off x="0" y="0"/>
                      <a:ext cx="370205" cy="266065"/>
                    </a:xfrm>
                    <a:prstGeom prst="rect">
                      <a:avLst/>
                    </a:prstGeom>
                    <a:noFill/>
                    <a:ln>
                      <a:noFill/>
                    </a:ln>
                  </pic:spPr>
                </pic:pic>
              </a:graphicData>
            </a:graphic>
          </wp:inline>
        </w:drawing>
      </w:r>
      <w:r>
        <w:rPr>
          <w:color w:val="FF0000"/>
          <w:sz w:val="24"/>
        </w:rPr>
        <w:t>—i类车车速</w:t>
      </w:r>
      <w:r>
        <w:rPr>
          <w:i/>
          <w:color w:val="FF0000"/>
          <w:sz w:val="24"/>
        </w:rPr>
        <w:t>V</w:t>
      </w:r>
      <w:r>
        <w:rPr>
          <w:i/>
          <w:color w:val="FF0000"/>
          <w:sz w:val="24"/>
          <w:vertAlign w:val="subscript"/>
        </w:rPr>
        <w:t>i</w:t>
      </w:r>
      <w:r>
        <w:rPr>
          <w:color w:val="FF0000"/>
          <w:sz w:val="24"/>
        </w:rPr>
        <w:t>，km/h时，水平距离为7.5m处的能量平均A声级，dB；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FF0000"/>
          <w:sz w:val="24"/>
        </w:rPr>
      </w:pPr>
      <w:r>
        <w:rPr>
          <w:i/>
          <w:color w:val="FF0000"/>
          <w:sz w:val="24"/>
        </w:rPr>
        <w:t>N</w:t>
      </w:r>
      <w:r>
        <w:rPr>
          <w:i/>
          <w:color w:val="FF0000"/>
          <w:sz w:val="24"/>
          <w:vertAlign w:val="subscript"/>
        </w:rPr>
        <w:t>i</w:t>
      </w:r>
      <w:r>
        <w:rPr>
          <w:color w:val="FF0000"/>
          <w:sz w:val="24"/>
        </w:rPr>
        <w:t>—昼间、夜间通过某个预测点的第i类车平均小时车流量，辆/h；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FF0000"/>
          <w:sz w:val="24"/>
        </w:rPr>
      </w:pPr>
      <w:r>
        <w:rPr>
          <w:color w:val="FF0000"/>
          <w:sz w:val="24"/>
        </w:rPr>
        <w:t>r—从车道中心线到预测点的距离，m；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FF0000"/>
          <w:sz w:val="24"/>
        </w:rPr>
      </w:pPr>
      <w:r>
        <w:rPr>
          <w:color w:val="FF0000"/>
          <w:sz w:val="24"/>
        </w:rPr>
        <w:t>T—计算等效声级的时间，1h；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color w:val="FF0000"/>
          <w:sz w:val="24"/>
        </w:rPr>
      </w:pPr>
      <w:r>
        <w:rPr>
          <w:color w:val="FF0000"/>
          <w:sz w:val="24"/>
        </w:rPr>
        <w:t>Ψ</w:t>
      </w:r>
      <w:r>
        <w:rPr>
          <w:color w:val="FF0000"/>
          <w:sz w:val="24"/>
          <w:vertAlign w:val="subscript"/>
        </w:rPr>
        <w:t>1</w:t>
      </w:r>
      <w:r>
        <w:rPr>
          <w:color w:val="FF0000"/>
          <w:sz w:val="24"/>
        </w:rPr>
        <w:t>、Ψ</w:t>
      </w:r>
      <w:r>
        <w:rPr>
          <w:color w:val="FF0000"/>
          <w:sz w:val="24"/>
          <w:vertAlign w:val="subscript"/>
        </w:rPr>
        <w:t>2</w:t>
      </w:r>
      <w:r>
        <w:rPr>
          <w:color w:val="FF0000"/>
          <w:sz w:val="24"/>
        </w:rPr>
        <w:t>—预测点到有限长路段两端的张角，弧度；见图</w:t>
      </w:r>
      <w:r>
        <w:rPr>
          <w:rFonts w:hint="eastAsia"/>
          <w:color w:val="FF0000"/>
          <w:sz w:val="24"/>
        </w:rPr>
        <w:t>8-1</w:t>
      </w:r>
      <w:r>
        <w:rPr>
          <w:color w:val="FF0000"/>
          <w:sz w:val="24"/>
        </w:rPr>
        <w:t>。</w:t>
      </w:r>
    </w:p>
    <w:p>
      <w:pPr>
        <w:rPr>
          <w:color w:val="FF0000"/>
        </w:rPr>
      </w:pPr>
    </w:p>
    <w:p>
      <w:pPr>
        <w:rPr>
          <w:color w:val="FF0000"/>
        </w:rPr>
      </w:pPr>
    </w:p>
    <w:p>
      <w:pPr>
        <w:rPr>
          <w:color w:val="FF0000"/>
        </w:rPr>
      </w:pPr>
      <w:r>
        <w:rPr>
          <w:color w:val="FF0000"/>
        </w:rPr>
        <mc:AlternateContent>
          <mc:Choice Requires="wpg">
            <w:drawing>
              <wp:anchor distT="0" distB="0" distL="114300" distR="114300" simplePos="0" relativeHeight="251661312" behindDoc="0" locked="0" layoutInCell="1" allowOverlap="1">
                <wp:simplePos x="0" y="0"/>
                <wp:positionH relativeFrom="column">
                  <wp:posOffset>894080</wp:posOffset>
                </wp:positionH>
                <wp:positionV relativeFrom="paragraph">
                  <wp:posOffset>-5715</wp:posOffset>
                </wp:positionV>
                <wp:extent cx="3471545" cy="1487170"/>
                <wp:effectExtent l="0" t="0" r="0" b="0"/>
                <wp:wrapNone/>
                <wp:docPr id="92" name="组合 92"/>
                <wp:cNvGraphicFramePr/>
                <a:graphic xmlns:a="http://schemas.openxmlformats.org/drawingml/2006/main">
                  <a:graphicData uri="http://schemas.microsoft.com/office/word/2010/wordprocessingGroup">
                    <wpg:wgp>
                      <wpg:cNvGrpSpPr/>
                      <wpg:grpSpPr>
                        <a:xfrm>
                          <a:off x="0" y="0"/>
                          <a:ext cx="3471545" cy="1487170"/>
                          <a:chOff x="0" y="0"/>
                          <a:chExt cx="5310" cy="1829"/>
                        </a:xfrm>
                        <a:effectLst/>
                      </wpg:grpSpPr>
                      <wpg:grpSp>
                        <wpg:cNvPr id="90" name="组合 90"/>
                        <wpg:cNvGrpSpPr/>
                        <wpg:grpSpPr>
                          <a:xfrm>
                            <a:off x="0" y="0"/>
                            <a:ext cx="5310" cy="1829"/>
                            <a:chOff x="0" y="0"/>
                            <a:chExt cx="5310" cy="1829"/>
                          </a:xfrm>
                          <a:effectLst/>
                        </wpg:grpSpPr>
                        <wpg:grpSp>
                          <wpg:cNvPr id="40" name="组合 40"/>
                          <wpg:cNvGrpSpPr/>
                          <wpg:grpSpPr>
                            <a:xfrm>
                              <a:off x="360" y="246"/>
                              <a:ext cx="4620" cy="1115"/>
                              <a:chOff x="0" y="0"/>
                              <a:chExt cx="5992" cy="1739"/>
                            </a:xfrm>
                            <a:effectLst/>
                          </wpg:grpSpPr>
                          <wps:wsp>
                            <wps:cNvPr id="36" name="直接连接符 36"/>
                            <wps:cNvCnPr/>
                            <wps:spPr>
                              <a:xfrm>
                                <a:off x="0" y="23"/>
                                <a:ext cx="5985" cy="0"/>
                              </a:xfrm>
                              <a:prstGeom prst="line">
                                <a:avLst/>
                              </a:prstGeom>
                              <a:ln w="9525" cap="flat" cmpd="sng">
                                <a:solidFill>
                                  <a:srgbClr val="000000"/>
                                </a:solidFill>
                                <a:prstDash val="solid"/>
                                <a:headEnd type="none" w="med" len="med"/>
                                <a:tailEnd type="none" w="med" len="med"/>
                              </a:ln>
                              <a:effectLst/>
                            </wps:spPr>
                            <wps:bodyPr upright="1"/>
                          </wps:wsp>
                          <wps:wsp>
                            <wps:cNvPr id="38" name="直接连接符 38"/>
                            <wps:cNvCnPr/>
                            <wps:spPr>
                              <a:xfrm>
                                <a:off x="2520" y="23"/>
                                <a:ext cx="0" cy="1716"/>
                              </a:xfrm>
                              <a:prstGeom prst="line">
                                <a:avLst/>
                              </a:prstGeom>
                              <a:ln w="9525" cap="flat" cmpd="sng">
                                <a:solidFill>
                                  <a:srgbClr val="000000"/>
                                </a:solidFill>
                                <a:prstDash val="solid"/>
                                <a:headEnd type="none" w="med" len="med"/>
                                <a:tailEnd type="none" w="med" len="med"/>
                              </a:ln>
                              <a:effectLst/>
                            </wps:spPr>
                            <wps:bodyPr upright="1"/>
                          </wps:wsp>
                          <wps:wsp>
                            <wps:cNvPr id="39" name="任意多边形 39"/>
                            <wps:cNvSpPr/>
                            <wps:spPr>
                              <a:xfrm>
                                <a:off x="0" y="0"/>
                                <a:ext cx="5992" cy="1710"/>
                              </a:xfrm>
                              <a:custGeom>
                                <a:avLst/>
                                <a:gdLst/>
                                <a:ahLst/>
                                <a:cxnLst>
                                  <a:cxn ang="0">
                                    <a:pos x="0" y="23"/>
                                  </a:cxn>
                                  <a:cxn ang="0">
                                    <a:pos x="2512" y="1710"/>
                                  </a:cxn>
                                  <a:cxn ang="0">
                                    <a:pos x="5992" y="0"/>
                                  </a:cxn>
                                </a:cxnLst>
                                <a:pathLst>
                                  <a:path w="5992" h="1710">
                                    <a:moveTo>
                                      <a:pt x="0" y="23"/>
                                    </a:moveTo>
                                    <a:lnTo>
                                      <a:pt x="2512" y="1710"/>
                                    </a:lnTo>
                                    <a:lnTo>
                                      <a:pt x="5992" y="0"/>
                                    </a:lnTo>
                                  </a:path>
                                </a:pathLst>
                              </a:custGeom>
                              <a:noFill/>
                              <a:ln w="9525" cap="flat" cmpd="sng">
                                <a:solidFill>
                                  <a:srgbClr val="000000"/>
                                </a:solidFill>
                                <a:prstDash val="solid"/>
                                <a:headEnd type="none" w="med" len="med"/>
                                <a:tailEnd type="none" w="med" len="med"/>
                              </a:ln>
                              <a:effectLst/>
                            </wps:spPr>
                            <wps:bodyPr upright="1"/>
                          </wps:wsp>
                        </wpg:grpSp>
                        <wps:wsp>
                          <wps:cNvPr id="45" name="文本框 45"/>
                          <wps:cNvSpPr txBox="1"/>
                          <wps:spPr>
                            <a:xfrm>
                              <a:off x="0" y="24"/>
                              <a:ext cx="420" cy="468"/>
                            </a:xfrm>
                            <a:prstGeom prst="rect">
                              <a:avLst/>
                            </a:prstGeom>
                            <a:noFill/>
                            <a:ln>
                              <a:noFill/>
                            </a:ln>
                            <a:effectLst/>
                          </wps:spPr>
                          <wps:txbx>
                            <w:txbxContent>
                              <w:p>
                                <w:r>
                                  <w:t>A</w:t>
                                </w:r>
                              </w:p>
                            </w:txbxContent>
                          </wps:txbx>
                          <wps:bodyPr upright="1"/>
                        </wps:wsp>
                        <wps:wsp>
                          <wps:cNvPr id="46" name="文本框 46"/>
                          <wps:cNvSpPr txBox="1"/>
                          <wps:spPr>
                            <a:xfrm>
                              <a:off x="4890" y="0"/>
                              <a:ext cx="420" cy="468"/>
                            </a:xfrm>
                            <a:prstGeom prst="rect">
                              <a:avLst/>
                            </a:prstGeom>
                            <a:noFill/>
                            <a:ln>
                              <a:noFill/>
                            </a:ln>
                            <a:effectLst/>
                          </wps:spPr>
                          <wps:txbx>
                            <w:txbxContent>
                              <w:p>
                                <w:r>
                                  <w:t>B</w:t>
                                </w:r>
                              </w:p>
                              <w:p/>
                            </w:txbxContent>
                          </wps:txbx>
                          <wps:bodyPr upright="1"/>
                        </wps:wsp>
                        <wps:wsp>
                          <wps:cNvPr id="59" name="文本框 59"/>
                          <wps:cNvSpPr txBox="1"/>
                          <wps:spPr>
                            <a:xfrm>
                              <a:off x="2060" y="1361"/>
                              <a:ext cx="420" cy="468"/>
                            </a:xfrm>
                            <a:prstGeom prst="rect">
                              <a:avLst/>
                            </a:prstGeom>
                            <a:noFill/>
                            <a:ln>
                              <a:noFill/>
                            </a:ln>
                            <a:effectLst/>
                          </wps:spPr>
                          <wps:txbx>
                            <w:txbxContent>
                              <w:p>
                                <w:r>
                                  <w:t>P</w:t>
                                </w:r>
                              </w:p>
                            </w:txbxContent>
                          </wps:txbx>
                          <wps:bodyPr upright="1"/>
                        </wps:wsp>
                        <wps:wsp>
                          <wps:cNvPr id="60" name="文本框 60"/>
                          <wps:cNvSpPr txBox="1"/>
                          <wps:spPr>
                            <a:xfrm>
                              <a:off x="1755" y="732"/>
                              <a:ext cx="630" cy="468"/>
                            </a:xfrm>
                            <a:prstGeom prst="rect">
                              <a:avLst/>
                            </a:prstGeom>
                            <a:noFill/>
                            <a:ln>
                              <a:noFill/>
                            </a:ln>
                            <a:effectLst/>
                          </wps:spPr>
                          <wps:txbx>
                            <w:txbxContent>
                              <w:p>
                                <w:r>
                                  <w:t>Ψ</w:t>
                                </w:r>
                                <w:r>
                                  <w:rPr>
                                    <w:vertAlign w:val="subscript"/>
                                  </w:rPr>
                                  <w:t>1</w:t>
                                </w:r>
                              </w:p>
                            </w:txbxContent>
                          </wps:txbx>
                          <wps:bodyPr upright="1"/>
                        </wps:wsp>
                        <wps:wsp>
                          <wps:cNvPr id="89" name="文本框 89"/>
                          <wps:cNvSpPr txBox="1"/>
                          <wps:spPr>
                            <a:xfrm>
                              <a:off x="2280" y="732"/>
                              <a:ext cx="630" cy="468"/>
                            </a:xfrm>
                            <a:prstGeom prst="rect">
                              <a:avLst/>
                            </a:prstGeom>
                            <a:noFill/>
                            <a:ln>
                              <a:noFill/>
                            </a:ln>
                            <a:effectLst/>
                          </wps:spPr>
                          <wps:txbx>
                            <w:txbxContent>
                              <w:p>
                                <w:r>
                                  <w:t>Ψ</w:t>
                                </w:r>
                                <w:r>
                                  <w:rPr>
                                    <w:vertAlign w:val="subscript"/>
                                  </w:rPr>
                                  <w:t>2</w:t>
                                </w:r>
                              </w:p>
                            </w:txbxContent>
                          </wps:txbx>
                          <wps:bodyPr upright="1"/>
                        </wps:wsp>
                      </wpg:grpSp>
                      <wps:wsp>
                        <wps:cNvPr id="91" name="任意多边形 91"/>
                        <wps:cNvSpPr/>
                        <wps:spPr>
                          <a:xfrm>
                            <a:off x="1975" y="957"/>
                            <a:ext cx="704" cy="213"/>
                          </a:xfrm>
                          <a:custGeom>
                            <a:avLst/>
                            <a:gdLst/>
                            <a:ahLst/>
                            <a:cxnLst>
                              <a:cxn ang="0">
                                <a:pos x="0" y="213"/>
                              </a:cxn>
                              <a:cxn ang="0">
                                <a:pos x="352" y="0"/>
                              </a:cxn>
                              <a:cxn ang="0">
                                <a:pos x="704" y="213"/>
                              </a:cxn>
                            </a:cxnLst>
                            <a:pathLst>
                              <a:path w="840" h="156">
                                <a:moveTo>
                                  <a:pt x="0" y="156"/>
                                </a:moveTo>
                                <a:cubicBezTo>
                                  <a:pt x="140" y="78"/>
                                  <a:pt x="280" y="0"/>
                                  <a:pt x="420" y="0"/>
                                </a:cubicBezTo>
                                <a:cubicBezTo>
                                  <a:pt x="560" y="0"/>
                                  <a:pt x="700" y="78"/>
                                  <a:pt x="840" y="156"/>
                                </a:cubicBezTo>
                              </a:path>
                            </a:pathLst>
                          </a:custGeom>
                          <a:no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70.4pt;margin-top:-0.45pt;height:117.1pt;width:273.35pt;z-index:251661312;mso-width-relative:page;mso-height-relative:page;" coordsize="5310,1829" o:gfxdata="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C+reYD2gAAAAkB&#10;AAAPAAAAAAAAAAEAIAAAACIAAABkcnMvZG93bnJldi54bWxQSwECFAAUAAAACACHTuJASUDizv4E&#10;AACQGAAADgAAAAAAAAABACAAAAApAQAAZHJzL2Uyb0RvYy54bWxQSwUGAAAAAAYABgBZAQAAmQgA&#10;AAAA&#10;">
                <o:lock v:ext="edit" aspectratio="f"/>
                <v:group id="_x0000_s1026" o:spid="_x0000_s1026" o:spt="203" style="position:absolute;left:0;top:0;height:1829;width:5310;" coordsize="5310,1829"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360;top:246;height:1115;width:4620;" coordsize="5992,1739"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line id="_x0000_s1026" o:spid="_x0000_s1026" o:spt="20" style="position:absolute;left:0;top:23;height:0;width:5985;"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520;top:23;height:1716;width: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100" style="position:absolute;left:0;top:0;height:1710;width:5992;" filled="f" stroked="t" coordsize="5992,1710" o:gfxdata="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RDL4A&#10;AADbAAAADwAAAAAAAAABACAAAAAiAAAAZHJzL2Rvd25yZXYueG1sUEsBAhQAFAAAAAgAh07iQDMv&#10;BZ47AAAAOQAAABAAAAAAAAAAAQAgAAAADQEAAGRycy9zaGFwZXhtbC54bWxQSwUGAAAAAAYABgBb&#10;AQAAtwMAAAAA&#10;" path="m0,23l2512,1710,5992,0e">
                      <v:path o:connectlocs="0,23;2512,1710;5992,0" o:connectangles="0,0,0"/>
                      <v:fill on="f" focussize="0,0"/>
                      <v:stroke color="#000000" joinstyle="round"/>
                      <v:imagedata o:title=""/>
                      <o:lock v:ext="edit" aspectratio="f"/>
                    </v:shape>
                  </v:group>
                  <v:shape id="_x0000_s1026" o:spid="_x0000_s1026" o:spt="202" type="#_x0000_t202" style="position:absolute;left:0;top:24;height:468;width:420;"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t>A</w:t>
                          </w:r>
                        </w:p>
                      </w:txbxContent>
                    </v:textbox>
                  </v:shape>
                  <v:shape id="_x0000_s1026" o:spid="_x0000_s1026" o:spt="202" type="#_x0000_t202" style="position:absolute;left:4890;top:0;height:468;width:42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t>B</w:t>
                          </w:r>
                        </w:p>
                        <w:p/>
                      </w:txbxContent>
                    </v:textbox>
                  </v:shape>
                  <v:shape id="_x0000_s1026" o:spid="_x0000_s1026" o:spt="202" type="#_x0000_t202" style="position:absolute;left:2060;top:1361;height:468;width:420;"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t>P</w:t>
                          </w:r>
                        </w:p>
                      </w:txbxContent>
                    </v:textbox>
                  </v:shape>
                  <v:shape id="_x0000_s1026" o:spid="_x0000_s1026" o:spt="202" type="#_x0000_t202" style="position:absolute;left:1755;top:732;height:468;width:630;"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r>
                            <w:t>Ψ</w:t>
                          </w:r>
                          <w:r>
                            <w:rPr>
                              <w:vertAlign w:val="subscript"/>
                            </w:rPr>
                            <w:t>1</w:t>
                          </w:r>
                        </w:p>
                      </w:txbxContent>
                    </v:textbox>
                  </v:shape>
                  <v:shape id="_x0000_s1026" o:spid="_x0000_s1026" o:spt="202" type="#_x0000_t202" style="position:absolute;left:2280;top:732;height:468;width:630;"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r>
                            <w:t>Ψ</w:t>
                          </w:r>
                          <w:r>
                            <w:rPr>
                              <w:vertAlign w:val="subscript"/>
                            </w:rPr>
                            <w:t>2</w:t>
                          </w:r>
                        </w:p>
                      </w:txbxContent>
                    </v:textbox>
                  </v:shape>
                </v:group>
                <v:shape id="_x0000_s1026" o:spid="_x0000_s1026" o:spt="100" style="position:absolute;left:1975;top:957;height:213;width:704;" filled="f" stroked="t" coordsize="840,156" o:gfxdata="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tmAC8AAAA&#10;2wAAAA8AAAAAAAAAAQAgAAAAIgAAAGRycy9kb3ducmV2LnhtbFBLAQIUABQAAAAIAIdO4kAzLwWe&#10;OwAAADkAAAAQAAAAAAAAAAEAIAAAAAsBAABkcnMvc2hhcGV4bWwueG1sUEsFBgAAAAAGAAYAWwEA&#10;ALUDAAAAAA==&#10;" path="m0,156c140,78,280,0,420,0c560,0,700,78,840,156e">
                  <v:path o:connectlocs="0,213;352,0;704,213" o:connectangles="0,0,0"/>
                  <v:fill on="f" focussize="0,0"/>
                  <v:stroke color="#000000" joinstyle="round"/>
                  <v:imagedata o:title=""/>
                  <o:lock v:ext="edit" aspectratio="f"/>
                </v:shape>
              </v:group>
            </w:pict>
          </mc:Fallback>
        </mc:AlternateContent>
      </w:r>
    </w:p>
    <w:p>
      <w:pPr>
        <w:rPr>
          <w:color w:val="FF0000"/>
        </w:rPr>
      </w:pPr>
    </w:p>
    <w:p>
      <w:pPr>
        <w:rPr>
          <w:color w:val="FF0000"/>
        </w:rPr>
      </w:pPr>
    </w:p>
    <w:p>
      <w:pPr>
        <w:rPr>
          <w:color w:val="FF0000"/>
        </w:rPr>
      </w:pPr>
    </w:p>
    <w:p>
      <w:pPr>
        <w:rPr>
          <w:color w:val="FF0000"/>
        </w:rPr>
      </w:pPr>
    </w:p>
    <w:p>
      <w:pPr>
        <w:rPr>
          <w:rFonts w:eastAsia="黑体"/>
          <w:color w:val="FF0000"/>
          <w:szCs w:val="21"/>
        </w:rPr>
      </w:pPr>
    </w:p>
    <w:p>
      <w:pPr>
        <w:spacing w:line="300" w:lineRule="auto"/>
        <w:rPr>
          <w:rFonts w:eastAsia="黑体"/>
          <w:color w:val="FF0000"/>
          <w:szCs w:val="21"/>
        </w:rPr>
      </w:pPr>
    </w:p>
    <w:p>
      <w:pPr>
        <w:pStyle w:val="100"/>
        <w:spacing w:line="300" w:lineRule="auto"/>
        <w:rPr>
          <w:rFonts w:eastAsia="宋体"/>
          <w:b/>
          <w:color w:val="FF0000"/>
          <w:szCs w:val="24"/>
        </w:rPr>
      </w:pPr>
      <w:r>
        <w:rPr>
          <w:rFonts w:hint="eastAsia" w:eastAsia="宋体"/>
          <w:b/>
          <w:color w:val="FF0000"/>
          <w:szCs w:val="24"/>
          <w:lang w:val="en-US" w:eastAsia="zh-CN"/>
        </w:rPr>
        <w:t>图</w:t>
      </w:r>
      <w:r>
        <w:rPr>
          <w:rFonts w:hint="eastAsia" w:eastAsia="宋体"/>
          <w:b/>
          <w:color w:val="FF0000"/>
          <w:szCs w:val="24"/>
        </w:rPr>
        <w:t>1</w:t>
      </w:r>
      <w:r>
        <w:rPr>
          <w:rFonts w:eastAsia="宋体"/>
          <w:b/>
          <w:color w:val="FF0000"/>
          <w:szCs w:val="24"/>
        </w:rPr>
        <w:t xml:space="preserve">    有限路段的修正函数（A―B为路段，P为预测点）</w:t>
      </w:r>
    </w:p>
    <w:p>
      <w:pPr>
        <w:pStyle w:val="101"/>
        <w:snapToGrid/>
        <w:spacing w:line="360" w:lineRule="auto"/>
        <w:ind w:firstLine="520"/>
        <w:rPr>
          <w:color w:val="FF0000"/>
          <w:sz w:val="24"/>
          <w:szCs w:val="24"/>
        </w:rPr>
      </w:pPr>
      <w:r>
        <w:rPr>
          <w:color w:val="FF0000"/>
          <w:sz w:val="24"/>
          <w:szCs w:val="24"/>
        </w:rPr>
        <w:t>△L—由其他因素引起的修正量，dB（A），可按下式计算：</w:t>
      </w:r>
    </w:p>
    <w:p>
      <w:pPr>
        <w:spacing w:line="360" w:lineRule="auto"/>
        <w:ind w:firstLine="200"/>
        <w:jc w:val="center"/>
        <w:rPr>
          <w:color w:val="FF0000"/>
          <w:sz w:val="24"/>
        </w:rPr>
      </w:pPr>
      <w:r>
        <w:rPr>
          <w:color w:val="FF0000"/>
          <w:sz w:val="24"/>
        </w:rPr>
        <w:t>△L=△L</w:t>
      </w:r>
      <w:r>
        <w:rPr>
          <w:color w:val="FF0000"/>
          <w:sz w:val="24"/>
          <w:vertAlign w:val="subscript"/>
        </w:rPr>
        <w:t>1</w:t>
      </w:r>
      <w:r>
        <w:rPr>
          <w:color w:val="FF0000"/>
          <w:sz w:val="24"/>
        </w:rPr>
        <w:t>-△L</w:t>
      </w:r>
      <w:r>
        <w:rPr>
          <w:color w:val="FF0000"/>
          <w:sz w:val="24"/>
          <w:vertAlign w:val="subscript"/>
        </w:rPr>
        <w:t>2</w:t>
      </w:r>
      <w:r>
        <w:rPr>
          <w:color w:val="FF0000"/>
          <w:sz w:val="24"/>
        </w:rPr>
        <w:t>+△L</w:t>
      </w:r>
      <w:r>
        <w:rPr>
          <w:color w:val="FF0000"/>
          <w:sz w:val="24"/>
          <w:vertAlign w:val="subscript"/>
        </w:rPr>
        <w:t>3</w:t>
      </w:r>
    </w:p>
    <w:p>
      <w:pPr>
        <w:spacing w:line="360" w:lineRule="auto"/>
        <w:ind w:firstLine="200"/>
        <w:jc w:val="center"/>
        <w:rPr>
          <w:color w:val="FF0000"/>
          <w:sz w:val="24"/>
        </w:rPr>
      </w:pPr>
      <w:r>
        <w:rPr>
          <w:color w:val="FF0000"/>
          <w:sz w:val="24"/>
        </w:rPr>
        <w:t>△L</w:t>
      </w:r>
      <w:r>
        <w:rPr>
          <w:color w:val="FF0000"/>
          <w:sz w:val="24"/>
          <w:vertAlign w:val="subscript"/>
        </w:rPr>
        <w:t>1</w:t>
      </w:r>
      <w:r>
        <w:rPr>
          <w:color w:val="FF0000"/>
          <w:sz w:val="24"/>
        </w:rPr>
        <w:t>=△L</w:t>
      </w:r>
      <w:r>
        <w:rPr>
          <w:color w:val="FF0000"/>
          <w:sz w:val="24"/>
          <w:vertAlign w:val="subscript"/>
        </w:rPr>
        <w:t>坡度</w:t>
      </w:r>
      <w:r>
        <w:rPr>
          <w:color w:val="FF0000"/>
          <w:sz w:val="24"/>
        </w:rPr>
        <w:t>+△L</w:t>
      </w:r>
      <w:r>
        <w:rPr>
          <w:color w:val="FF0000"/>
          <w:sz w:val="24"/>
          <w:vertAlign w:val="subscript"/>
        </w:rPr>
        <w:t>路面</w:t>
      </w:r>
    </w:p>
    <w:p>
      <w:pPr>
        <w:spacing w:line="360" w:lineRule="auto"/>
        <w:ind w:firstLine="200"/>
        <w:jc w:val="center"/>
        <w:rPr>
          <w:color w:val="FF0000"/>
          <w:sz w:val="24"/>
        </w:rPr>
      </w:pPr>
      <w:r>
        <w:rPr>
          <w:color w:val="FF0000"/>
          <w:sz w:val="24"/>
        </w:rPr>
        <w:t>△L</w:t>
      </w:r>
      <w:r>
        <w:rPr>
          <w:color w:val="FF0000"/>
          <w:sz w:val="24"/>
          <w:vertAlign w:val="subscript"/>
        </w:rPr>
        <w:t>2</w:t>
      </w:r>
      <w:r>
        <w:rPr>
          <w:color w:val="FF0000"/>
          <w:sz w:val="24"/>
        </w:rPr>
        <w:t>=A</w:t>
      </w:r>
      <w:r>
        <w:rPr>
          <w:color w:val="FF0000"/>
          <w:sz w:val="24"/>
          <w:vertAlign w:val="subscript"/>
        </w:rPr>
        <w:t>atm</w:t>
      </w:r>
      <w:r>
        <w:rPr>
          <w:color w:val="FF0000"/>
          <w:sz w:val="24"/>
        </w:rPr>
        <w:t>+A</w:t>
      </w:r>
      <w:r>
        <w:rPr>
          <w:color w:val="FF0000"/>
          <w:sz w:val="24"/>
          <w:vertAlign w:val="subscript"/>
        </w:rPr>
        <w:t>gr</w:t>
      </w:r>
      <w:r>
        <w:rPr>
          <w:color w:val="FF0000"/>
          <w:sz w:val="24"/>
        </w:rPr>
        <w:t>+A</w:t>
      </w:r>
      <w:r>
        <w:rPr>
          <w:color w:val="FF0000"/>
          <w:sz w:val="24"/>
          <w:vertAlign w:val="subscript"/>
        </w:rPr>
        <w:t>bar</w:t>
      </w:r>
      <w:r>
        <w:rPr>
          <w:color w:val="FF0000"/>
          <w:sz w:val="24"/>
        </w:rPr>
        <w:t>+A</w:t>
      </w:r>
      <w:r>
        <w:rPr>
          <w:color w:val="FF0000"/>
          <w:sz w:val="24"/>
          <w:vertAlign w:val="subscript"/>
        </w:rPr>
        <w:t>misc</w:t>
      </w:r>
    </w:p>
    <w:p>
      <w:pPr>
        <w:pStyle w:val="101"/>
        <w:snapToGrid/>
        <w:spacing w:line="360" w:lineRule="auto"/>
        <w:ind w:firstLine="520"/>
        <w:rPr>
          <w:color w:val="FF0000"/>
          <w:sz w:val="24"/>
          <w:szCs w:val="24"/>
        </w:rPr>
      </w:pPr>
      <w:r>
        <w:rPr>
          <w:color w:val="FF0000"/>
          <w:sz w:val="24"/>
          <w:szCs w:val="24"/>
        </w:rPr>
        <w:t>式中：△L</w:t>
      </w:r>
      <w:r>
        <w:rPr>
          <w:color w:val="FF0000"/>
          <w:sz w:val="24"/>
          <w:szCs w:val="24"/>
          <w:vertAlign w:val="subscript"/>
        </w:rPr>
        <w:t>1</w:t>
      </w:r>
      <w:r>
        <w:rPr>
          <w:color w:val="FF0000"/>
          <w:sz w:val="24"/>
          <w:szCs w:val="24"/>
        </w:rPr>
        <w:t>—线路因素引起的修正量，dB（A）</w:t>
      </w:r>
    </w:p>
    <w:p>
      <w:pPr>
        <w:pStyle w:val="101"/>
        <w:snapToGrid/>
        <w:spacing w:line="360" w:lineRule="auto"/>
        <w:ind w:firstLine="1300" w:firstLineChars="500"/>
        <w:rPr>
          <w:color w:val="FF0000"/>
          <w:sz w:val="24"/>
          <w:szCs w:val="24"/>
        </w:rPr>
      </w:pPr>
      <w:r>
        <w:rPr>
          <w:color w:val="FF0000"/>
          <w:sz w:val="24"/>
          <w:szCs w:val="24"/>
        </w:rPr>
        <w:t>△L</w:t>
      </w:r>
      <w:r>
        <w:rPr>
          <w:color w:val="FF0000"/>
          <w:sz w:val="24"/>
          <w:szCs w:val="24"/>
          <w:vertAlign w:val="subscript"/>
        </w:rPr>
        <w:t>坡度</w:t>
      </w:r>
      <w:r>
        <w:rPr>
          <w:color w:val="FF0000"/>
          <w:sz w:val="24"/>
          <w:szCs w:val="24"/>
        </w:rPr>
        <w:t>—公路纵坡修正量，dB（A）</w:t>
      </w:r>
    </w:p>
    <w:p>
      <w:pPr>
        <w:pStyle w:val="101"/>
        <w:snapToGrid/>
        <w:spacing w:line="360" w:lineRule="auto"/>
        <w:ind w:firstLine="1300" w:firstLineChars="500"/>
        <w:rPr>
          <w:color w:val="FF0000"/>
          <w:sz w:val="24"/>
          <w:szCs w:val="24"/>
        </w:rPr>
      </w:pPr>
      <w:r>
        <w:rPr>
          <w:color w:val="FF0000"/>
          <w:sz w:val="24"/>
          <w:szCs w:val="24"/>
        </w:rPr>
        <w:t>△L</w:t>
      </w:r>
      <w:r>
        <w:rPr>
          <w:color w:val="FF0000"/>
          <w:sz w:val="24"/>
          <w:szCs w:val="24"/>
          <w:vertAlign w:val="subscript"/>
        </w:rPr>
        <w:t>路面</w:t>
      </w:r>
      <w:r>
        <w:rPr>
          <w:color w:val="FF0000"/>
          <w:sz w:val="24"/>
          <w:szCs w:val="24"/>
        </w:rPr>
        <w:t>—路面材料引起的修正量，dB（A）</w:t>
      </w:r>
    </w:p>
    <w:p>
      <w:pPr>
        <w:pStyle w:val="101"/>
        <w:snapToGrid/>
        <w:spacing w:line="360" w:lineRule="auto"/>
        <w:ind w:firstLine="1300" w:firstLineChars="500"/>
        <w:rPr>
          <w:color w:val="FF0000"/>
          <w:sz w:val="24"/>
          <w:szCs w:val="24"/>
        </w:rPr>
      </w:pPr>
      <w:r>
        <w:rPr>
          <w:color w:val="FF0000"/>
          <w:sz w:val="24"/>
          <w:szCs w:val="24"/>
        </w:rPr>
        <w:t>△L</w:t>
      </w:r>
      <w:r>
        <w:rPr>
          <w:color w:val="FF0000"/>
          <w:sz w:val="24"/>
          <w:szCs w:val="24"/>
          <w:vertAlign w:val="subscript"/>
        </w:rPr>
        <w:t>2</w:t>
      </w:r>
      <w:r>
        <w:rPr>
          <w:color w:val="FF0000"/>
          <w:sz w:val="24"/>
          <w:szCs w:val="24"/>
        </w:rPr>
        <w:t>—声波传播途径中引起的衰减量，dB（A）</w:t>
      </w:r>
    </w:p>
    <w:p>
      <w:pPr>
        <w:pStyle w:val="101"/>
        <w:snapToGrid/>
        <w:spacing w:line="360" w:lineRule="auto"/>
        <w:ind w:firstLine="1300" w:firstLineChars="500"/>
        <w:rPr>
          <w:color w:val="FF0000"/>
          <w:sz w:val="24"/>
          <w:szCs w:val="24"/>
        </w:rPr>
      </w:pPr>
      <w:r>
        <w:rPr>
          <w:color w:val="FF0000"/>
          <w:sz w:val="24"/>
          <w:szCs w:val="24"/>
        </w:rPr>
        <w:t>△L</w:t>
      </w:r>
      <w:r>
        <w:rPr>
          <w:color w:val="FF0000"/>
          <w:sz w:val="24"/>
          <w:szCs w:val="24"/>
          <w:vertAlign w:val="subscript"/>
        </w:rPr>
        <w:t>3</w:t>
      </w:r>
      <w:r>
        <w:rPr>
          <w:color w:val="FF0000"/>
          <w:sz w:val="24"/>
          <w:szCs w:val="24"/>
        </w:rPr>
        <w:t>—由反射等引起的修正量，dB（A）</w:t>
      </w:r>
    </w:p>
    <w:p>
      <w:pPr>
        <w:pStyle w:val="101"/>
        <w:snapToGrid/>
        <w:spacing w:line="360" w:lineRule="auto"/>
        <w:ind w:firstLine="520"/>
        <w:rPr>
          <w:color w:val="FF0000"/>
          <w:sz w:val="24"/>
          <w:szCs w:val="24"/>
        </w:rPr>
      </w:pPr>
      <w:r>
        <w:rPr>
          <w:color w:val="FF0000"/>
          <w:sz w:val="24"/>
          <w:szCs w:val="24"/>
        </w:rPr>
        <w:t>②总车流等效声级计算模式</w:t>
      </w:r>
    </w:p>
    <w:p>
      <w:pPr>
        <w:spacing w:line="360" w:lineRule="auto"/>
        <w:jc w:val="center"/>
        <w:rPr>
          <w:color w:val="FF0000"/>
          <w:sz w:val="24"/>
        </w:rPr>
      </w:pPr>
      <w:r>
        <w:rPr>
          <w:color w:val="FF0000"/>
          <w:sz w:val="24"/>
        </w:rPr>
        <w:drawing>
          <wp:inline distT="0" distB="0" distL="114300" distR="114300">
            <wp:extent cx="3048000" cy="276860"/>
            <wp:effectExtent l="0" t="0" r="0" b="25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7"/>
                    <a:stretch>
                      <a:fillRect/>
                    </a:stretch>
                  </pic:blipFill>
                  <pic:spPr>
                    <a:xfrm>
                      <a:off x="0" y="0"/>
                      <a:ext cx="3048000" cy="276860"/>
                    </a:xfrm>
                    <a:prstGeom prst="rect">
                      <a:avLst/>
                    </a:prstGeom>
                    <a:noFill/>
                    <a:ln>
                      <a:noFill/>
                    </a:ln>
                  </pic:spPr>
                </pic:pic>
              </a:graphicData>
            </a:graphic>
          </wp:inline>
        </w:drawing>
      </w:r>
    </w:p>
    <w:p>
      <w:pPr>
        <w:pStyle w:val="101"/>
        <w:snapToGrid/>
        <w:spacing w:line="360" w:lineRule="auto"/>
        <w:ind w:firstLine="520"/>
        <w:rPr>
          <w:color w:val="FF0000"/>
          <w:sz w:val="24"/>
          <w:szCs w:val="24"/>
        </w:rPr>
      </w:pPr>
      <w:r>
        <w:rPr>
          <w:color w:val="FF0000"/>
          <w:sz w:val="24"/>
          <w:szCs w:val="24"/>
        </w:rPr>
        <w:t>⑵ 预测参数</w:t>
      </w:r>
    </w:p>
    <w:p>
      <w:pPr>
        <w:pStyle w:val="101"/>
        <w:snapToGrid/>
        <w:spacing w:line="360" w:lineRule="auto"/>
        <w:ind w:firstLine="520"/>
        <w:rPr>
          <w:color w:val="FF0000"/>
          <w:sz w:val="24"/>
          <w:szCs w:val="24"/>
        </w:rPr>
      </w:pPr>
      <w:r>
        <w:rPr>
          <w:color w:val="FF0000"/>
          <w:sz w:val="24"/>
          <w:szCs w:val="24"/>
        </w:rPr>
        <w:t>⑴线路因素引起的修正量（△L</w:t>
      </w:r>
      <w:r>
        <w:rPr>
          <w:color w:val="FF0000"/>
          <w:sz w:val="24"/>
          <w:szCs w:val="24"/>
          <w:vertAlign w:val="subscript"/>
        </w:rPr>
        <w:t>1</w:t>
      </w:r>
      <w:r>
        <w:rPr>
          <w:color w:val="FF0000"/>
          <w:sz w:val="24"/>
          <w:szCs w:val="24"/>
        </w:rPr>
        <w:t>）</w:t>
      </w:r>
    </w:p>
    <w:p>
      <w:pPr>
        <w:pStyle w:val="101"/>
        <w:snapToGrid/>
        <w:spacing w:line="360" w:lineRule="auto"/>
        <w:ind w:firstLine="520"/>
        <w:rPr>
          <w:color w:val="FF0000"/>
          <w:sz w:val="24"/>
          <w:szCs w:val="24"/>
        </w:rPr>
      </w:pPr>
      <w:r>
        <w:rPr>
          <w:color w:val="FF0000"/>
          <w:sz w:val="24"/>
          <w:szCs w:val="24"/>
        </w:rPr>
        <w:t>①公路纵坡修正量△L坡度可按下式计算：</w:t>
      </w:r>
    </w:p>
    <w:p>
      <w:pPr>
        <w:pStyle w:val="101"/>
        <w:snapToGrid/>
        <w:spacing w:line="360" w:lineRule="auto"/>
        <w:ind w:firstLine="520"/>
        <w:rPr>
          <w:color w:val="FF0000"/>
          <w:sz w:val="24"/>
          <w:szCs w:val="24"/>
        </w:rPr>
      </w:pPr>
      <w:r>
        <w:rPr>
          <w:color w:val="FF0000"/>
          <w:sz w:val="24"/>
          <w:szCs w:val="24"/>
        </w:rPr>
        <w:t>大型车：△L坡度=98×β dB（A）</w:t>
      </w:r>
    </w:p>
    <w:p>
      <w:pPr>
        <w:pStyle w:val="101"/>
        <w:snapToGrid/>
        <w:spacing w:line="360" w:lineRule="auto"/>
        <w:ind w:firstLine="520"/>
        <w:rPr>
          <w:color w:val="FF0000"/>
          <w:sz w:val="24"/>
          <w:szCs w:val="24"/>
        </w:rPr>
      </w:pPr>
      <w:r>
        <w:rPr>
          <w:color w:val="FF0000"/>
          <w:sz w:val="24"/>
          <w:szCs w:val="24"/>
        </w:rPr>
        <w:t>中型车：△L坡度=73×βdB（A）</w:t>
      </w:r>
    </w:p>
    <w:p>
      <w:pPr>
        <w:pStyle w:val="101"/>
        <w:snapToGrid/>
        <w:spacing w:line="360" w:lineRule="auto"/>
        <w:ind w:firstLine="520"/>
        <w:rPr>
          <w:color w:val="FF0000"/>
          <w:sz w:val="24"/>
          <w:szCs w:val="24"/>
        </w:rPr>
      </w:pPr>
      <w:r>
        <w:rPr>
          <w:color w:val="FF0000"/>
          <w:sz w:val="24"/>
          <w:szCs w:val="24"/>
        </w:rPr>
        <w:t>小型车：△L坡度=50×βdB（A）</w:t>
      </w:r>
    </w:p>
    <w:p>
      <w:pPr>
        <w:pStyle w:val="101"/>
        <w:snapToGrid/>
        <w:spacing w:line="360" w:lineRule="auto"/>
        <w:ind w:firstLine="520"/>
        <w:rPr>
          <w:color w:val="FF0000"/>
          <w:sz w:val="24"/>
          <w:szCs w:val="24"/>
        </w:rPr>
      </w:pPr>
      <w:r>
        <w:rPr>
          <w:color w:val="FF0000"/>
          <w:sz w:val="24"/>
          <w:szCs w:val="24"/>
        </w:rPr>
        <w:t>式中：β—为公路纵坡坡度（%）。</w:t>
      </w:r>
    </w:p>
    <w:p>
      <w:pPr>
        <w:pStyle w:val="101"/>
        <w:snapToGrid/>
        <w:spacing w:line="360" w:lineRule="auto"/>
        <w:ind w:firstLine="520"/>
        <w:rPr>
          <w:color w:val="FF0000"/>
          <w:sz w:val="24"/>
          <w:szCs w:val="24"/>
        </w:rPr>
      </w:pPr>
      <w:r>
        <w:rPr>
          <w:color w:val="FF0000"/>
          <w:sz w:val="24"/>
          <w:szCs w:val="24"/>
        </w:rPr>
        <w:t>②路面修正量（△L路面）</w:t>
      </w:r>
    </w:p>
    <w:p>
      <w:pPr>
        <w:pStyle w:val="101"/>
        <w:snapToGrid/>
        <w:spacing w:line="360" w:lineRule="auto"/>
        <w:ind w:firstLine="520"/>
        <w:rPr>
          <w:color w:val="FF0000"/>
          <w:sz w:val="24"/>
          <w:szCs w:val="24"/>
        </w:rPr>
      </w:pPr>
      <w:r>
        <w:rPr>
          <w:color w:val="FF0000"/>
          <w:sz w:val="24"/>
          <w:szCs w:val="24"/>
        </w:rPr>
        <w:t>不同路面的噪声修正量见表</w:t>
      </w:r>
      <w:r>
        <w:rPr>
          <w:rFonts w:hint="eastAsia"/>
          <w:color w:val="FF0000"/>
          <w:sz w:val="24"/>
          <w:szCs w:val="24"/>
        </w:rPr>
        <w:t>6</w:t>
      </w:r>
      <w:r>
        <w:rPr>
          <w:color w:val="FF0000"/>
          <w:sz w:val="24"/>
          <w:szCs w:val="24"/>
        </w:rPr>
        <w:t>。</w:t>
      </w:r>
    </w:p>
    <w:p>
      <w:pPr>
        <w:pStyle w:val="100"/>
        <w:spacing w:line="240" w:lineRule="auto"/>
        <w:ind w:firstLine="462" w:firstLineChars="200"/>
        <w:jc w:val="center"/>
        <w:rPr>
          <w:rFonts w:eastAsia="宋体"/>
          <w:b/>
          <w:color w:val="FF0000"/>
          <w:sz w:val="21"/>
          <w:szCs w:val="21"/>
        </w:rPr>
      </w:pPr>
      <w:r>
        <w:rPr>
          <w:rFonts w:eastAsia="宋体"/>
          <w:b/>
          <w:color w:val="FF0000"/>
          <w:sz w:val="21"/>
          <w:szCs w:val="21"/>
        </w:rPr>
        <w:t>表</w:t>
      </w:r>
      <w:r>
        <w:rPr>
          <w:rFonts w:hint="eastAsia" w:eastAsia="宋体"/>
          <w:b/>
          <w:color w:val="FF0000"/>
          <w:sz w:val="21"/>
          <w:szCs w:val="21"/>
        </w:rPr>
        <w:t>6</w:t>
      </w:r>
      <w:r>
        <w:rPr>
          <w:rFonts w:eastAsia="宋体"/>
          <w:b/>
          <w:color w:val="FF0000"/>
          <w:sz w:val="21"/>
          <w:szCs w:val="21"/>
        </w:rPr>
        <w:t xml:space="preserve">       常见路面噪声修正量    单位：dB（A）</w:t>
      </w:r>
    </w:p>
    <w:tbl>
      <w:tblPr>
        <w:tblStyle w:val="30"/>
        <w:tblW w:w="82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2142"/>
        <w:gridCol w:w="2142"/>
        <w:gridCol w:w="22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69" w:type="dxa"/>
            <w:vMerge w:val="restart"/>
            <w:tcBorders>
              <w:tl2br w:val="nil"/>
              <w:tr2bl w:val="nil"/>
            </w:tcBorders>
            <w:vAlign w:val="center"/>
          </w:tcPr>
          <w:p>
            <w:pPr>
              <w:spacing w:line="240" w:lineRule="auto"/>
              <w:jc w:val="center"/>
              <w:rPr>
                <w:color w:val="FF0000"/>
                <w:sz w:val="21"/>
                <w:szCs w:val="21"/>
              </w:rPr>
            </w:pPr>
            <w:r>
              <w:rPr>
                <w:color w:val="FF0000"/>
                <w:sz w:val="21"/>
                <w:szCs w:val="21"/>
              </w:rPr>
              <w:t>路面类型</w:t>
            </w:r>
          </w:p>
        </w:tc>
        <w:tc>
          <w:tcPr>
            <w:tcW w:w="6579" w:type="dxa"/>
            <w:gridSpan w:val="3"/>
            <w:tcBorders>
              <w:tl2br w:val="nil"/>
              <w:tr2bl w:val="nil"/>
            </w:tcBorders>
            <w:vAlign w:val="center"/>
          </w:tcPr>
          <w:p>
            <w:pPr>
              <w:spacing w:line="240" w:lineRule="auto"/>
              <w:jc w:val="center"/>
              <w:rPr>
                <w:color w:val="FF0000"/>
                <w:sz w:val="21"/>
                <w:szCs w:val="21"/>
              </w:rPr>
            </w:pPr>
            <w:r>
              <w:rPr>
                <w:color w:val="FF0000"/>
                <w:sz w:val="21"/>
                <w:szCs w:val="21"/>
              </w:rPr>
              <w:t>不同行驶速度修正量km/h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69" w:type="dxa"/>
            <w:vMerge w:val="continue"/>
            <w:tcBorders>
              <w:tl2br w:val="nil"/>
              <w:tr2bl w:val="nil"/>
            </w:tcBorders>
            <w:vAlign w:val="center"/>
          </w:tcPr>
          <w:p>
            <w:pPr>
              <w:widowControl/>
              <w:jc w:val="left"/>
              <w:rPr>
                <w:color w:val="FF0000"/>
                <w:szCs w:val="21"/>
              </w:rPr>
            </w:pPr>
          </w:p>
        </w:tc>
        <w:tc>
          <w:tcPr>
            <w:tcW w:w="2142" w:type="dxa"/>
            <w:tcBorders>
              <w:tl2br w:val="nil"/>
              <w:tr2bl w:val="nil"/>
            </w:tcBorders>
            <w:vAlign w:val="center"/>
          </w:tcPr>
          <w:p>
            <w:pPr>
              <w:jc w:val="center"/>
              <w:rPr>
                <w:color w:val="FF0000"/>
                <w:szCs w:val="21"/>
              </w:rPr>
            </w:pPr>
            <w:r>
              <w:rPr>
                <w:color w:val="FF0000"/>
                <w:szCs w:val="21"/>
              </w:rPr>
              <w:t>30</w:t>
            </w:r>
          </w:p>
        </w:tc>
        <w:tc>
          <w:tcPr>
            <w:tcW w:w="2142" w:type="dxa"/>
            <w:tcBorders>
              <w:tl2br w:val="nil"/>
              <w:tr2bl w:val="nil"/>
            </w:tcBorders>
            <w:vAlign w:val="center"/>
          </w:tcPr>
          <w:p>
            <w:pPr>
              <w:jc w:val="center"/>
              <w:rPr>
                <w:color w:val="FF0000"/>
                <w:szCs w:val="21"/>
              </w:rPr>
            </w:pPr>
            <w:r>
              <w:rPr>
                <w:color w:val="FF0000"/>
                <w:szCs w:val="21"/>
              </w:rPr>
              <w:t>40</w:t>
            </w:r>
          </w:p>
        </w:tc>
        <w:tc>
          <w:tcPr>
            <w:tcW w:w="2295" w:type="dxa"/>
            <w:tcBorders>
              <w:tl2br w:val="nil"/>
              <w:tr2bl w:val="nil"/>
            </w:tcBorders>
            <w:vAlign w:val="center"/>
          </w:tcPr>
          <w:p>
            <w:pPr>
              <w:jc w:val="center"/>
              <w:rPr>
                <w:color w:val="FF0000"/>
                <w:szCs w:val="21"/>
              </w:rPr>
            </w:pPr>
            <w:r>
              <w:rPr>
                <w:color w:val="FF000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69" w:type="dxa"/>
            <w:tcBorders>
              <w:tl2br w:val="nil"/>
              <w:tr2bl w:val="nil"/>
            </w:tcBorders>
            <w:vAlign w:val="center"/>
          </w:tcPr>
          <w:p>
            <w:pPr>
              <w:jc w:val="center"/>
              <w:rPr>
                <w:color w:val="FF0000"/>
                <w:szCs w:val="21"/>
              </w:rPr>
            </w:pPr>
            <w:r>
              <w:rPr>
                <w:color w:val="FF0000"/>
                <w:szCs w:val="21"/>
              </w:rPr>
              <w:t>沥青混凝土</w:t>
            </w:r>
          </w:p>
        </w:tc>
        <w:tc>
          <w:tcPr>
            <w:tcW w:w="2142" w:type="dxa"/>
            <w:tcBorders>
              <w:tl2br w:val="nil"/>
              <w:tr2bl w:val="nil"/>
            </w:tcBorders>
            <w:vAlign w:val="center"/>
          </w:tcPr>
          <w:p>
            <w:pPr>
              <w:jc w:val="center"/>
              <w:rPr>
                <w:color w:val="FF0000"/>
                <w:szCs w:val="21"/>
              </w:rPr>
            </w:pPr>
            <w:r>
              <w:rPr>
                <w:color w:val="FF0000"/>
                <w:szCs w:val="21"/>
              </w:rPr>
              <w:t>0</w:t>
            </w:r>
          </w:p>
        </w:tc>
        <w:tc>
          <w:tcPr>
            <w:tcW w:w="2142" w:type="dxa"/>
            <w:tcBorders>
              <w:tl2br w:val="nil"/>
              <w:tr2bl w:val="nil"/>
            </w:tcBorders>
            <w:vAlign w:val="center"/>
          </w:tcPr>
          <w:p>
            <w:pPr>
              <w:jc w:val="center"/>
              <w:rPr>
                <w:color w:val="FF0000"/>
                <w:szCs w:val="21"/>
              </w:rPr>
            </w:pPr>
            <w:r>
              <w:rPr>
                <w:color w:val="FF0000"/>
                <w:szCs w:val="21"/>
              </w:rPr>
              <w:t>0</w:t>
            </w:r>
          </w:p>
        </w:tc>
        <w:tc>
          <w:tcPr>
            <w:tcW w:w="2295" w:type="dxa"/>
            <w:tcBorders>
              <w:tl2br w:val="nil"/>
              <w:tr2bl w:val="nil"/>
            </w:tcBorders>
            <w:vAlign w:val="center"/>
          </w:tcPr>
          <w:p>
            <w:pPr>
              <w:jc w:val="center"/>
              <w:rPr>
                <w:color w:val="FF0000"/>
                <w:szCs w:val="21"/>
              </w:rPr>
            </w:pPr>
            <w:r>
              <w:rPr>
                <w:color w:val="FF0000"/>
                <w:szCs w:val="21"/>
              </w:rPr>
              <w:t>0</w:t>
            </w:r>
          </w:p>
        </w:tc>
      </w:tr>
    </w:tbl>
    <w:p>
      <w:pPr>
        <w:pStyle w:val="102"/>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textAlignment w:val="auto"/>
        <w:rPr>
          <w:rFonts w:ascii="Times New Roman" w:hAnsi="Times New Roman"/>
          <w:color w:val="FF0000"/>
          <w:sz w:val="24"/>
          <w:szCs w:val="24"/>
        </w:rPr>
      </w:pPr>
      <w:r>
        <w:rPr>
          <w:rFonts w:ascii="Times New Roman" w:hAnsi="Times New Roman"/>
          <w:color w:val="FF0000"/>
          <w:sz w:val="24"/>
          <w:szCs w:val="24"/>
        </w:rPr>
        <w:t>⑵声波传播途径中引起的衰减量（△L</w:t>
      </w:r>
      <w:r>
        <w:rPr>
          <w:rFonts w:ascii="Times New Roman" w:hAnsi="Times New Roman"/>
          <w:color w:val="FF0000"/>
          <w:sz w:val="24"/>
          <w:szCs w:val="24"/>
          <w:vertAlign w:val="subscript"/>
        </w:rPr>
        <w:t>2</w:t>
      </w:r>
      <w:r>
        <w:rPr>
          <w:rFonts w:ascii="Times New Roman" w:hAnsi="Times New Roman"/>
          <w:color w:val="FF0000"/>
          <w:sz w:val="24"/>
          <w:szCs w:val="24"/>
        </w:rPr>
        <w:t>）</w:t>
      </w:r>
    </w:p>
    <w:p>
      <w:pPr>
        <w:pStyle w:val="101"/>
        <w:snapToGrid/>
        <w:spacing w:line="360" w:lineRule="auto"/>
        <w:ind w:firstLine="520"/>
        <w:rPr>
          <w:color w:val="FF0000"/>
          <w:sz w:val="24"/>
          <w:szCs w:val="24"/>
        </w:rPr>
      </w:pPr>
      <w:r>
        <w:rPr>
          <w:color w:val="FF0000"/>
          <w:sz w:val="24"/>
          <w:szCs w:val="24"/>
        </w:rPr>
        <w:t>①障碍物声衰减量A</w:t>
      </w:r>
      <w:r>
        <w:rPr>
          <w:color w:val="FF0000"/>
          <w:sz w:val="24"/>
          <w:szCs w:val="24"/>
          <w:vertAlign w:val="subscript"/>
        </w:rPr>
        <w:t>bar</w:t>
      </w:r>
    </w:p>
    <w:p>
      <w:pPr>
        <w:pStyle w:val="101"/>
        <w:snapToGrid/>
        <w:spacing w:line="360" w:lineRule="auto"/>
        <w:ind w:firstLine="520"/>
        <w:rPr>
          <w:color w:val="FF0000"/>
          <w:sz w:val="24"/>
          <w:szCs w:val="24"/>
        </w:rPr>
      </w:pPr>
      <w:r>
        <w:rPr>
          <w:color w:val="FF0000"/>
          <w:sz w:val="24"/>
          <w:szCs w:val="24"/>
        </w:rPr>
        <w:t>a．声屏障衰减量（A</w:t>
      </w:r>
      <w:r>
        <w:rPr>
          <w:color w:val="FF0000"/>
          <w:sz w:val="24"/>
          <w:szCs w:val="24"/>
          <w:vertAlign w:val="subscript"/>
        </w:rPr>
        <w:t>bar</w:t>
      </w:r>
      <w:r>
        <w:rPr>
          <w:color w:val="FF0000"/>
          <w:sz w:val="24"/>
          <w:szCs w:val="24"/>
        </w:rPr>
        <w:t>）计算</w:t>
      </w:r>
    </w:p>
    <w:p>
      <w:pPr>
        <w:pStyle w:val="101"/>
        <w:snapToGrid/>
        <w:spacing w:line="360" w:lineRule="auto"/>
        <w:ind w:firstLine="520"/>
        <w:rPr>
          <w:color w:val="FF0000"/>
          <w:sz w:val="24"/>
          <w:szCs w:val="24"/>
        </w:rPr>
      </w:pPr>
      <w:r>
        <w:rPr>
          <w:color w:val="FF0000"/>
          <w:sz w:val="24"/>
          <w:szCs w:val="24"/>
        </w:rPr>
        <w:t>无限长声屏障可按下式计算：</w:t>
      </w:r>
    </w:p>
    <w:p>
      <w:pPr>
        <w:pStyle w:val="10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FF0000"/>
        </w:rPr>
      </w:pPr>
      <w:r>
        <w:rPr>
          <w:color w:val="FF0000"/>
        </w:rPr>
        <w:drawing>
          <wp:inline distT="0" distB="0" distL="114300" distR="114300">
            <wp:extent cx="4962525" cy="1579880"/>
            <wp:effectExtent l="0" t="0" r="3175" b="7620"/>
            <wp:docPr id="19" name="图片 8" descr="未命名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未命名6"/>
                    <pic:cNvPicPr>
                      <a:picLocks noChangeAspect="1"/>
                    </pic:cNvPicPr>
                  </pic:nvPicPr>
                  <pic:blipFill>
                    <a:blip r:embed="rId18">
                      <a:lum bright="-17996" contrast="54000"/>
                    </a:blip>
                    <a:stretch>
                      <a:fillRect/>
                    </a:stretch>
                  </pic:blipFill>
                  <pic:spPr>
                    <a:xfrm>
                      <a:off x="0" y="0"/>
                      <a:ext cx="4962525" cy="1579880"/>
                    </a:xfrm>
                    <a:prstGeom prst="rect">
                      <a:avLst/>
                    </a:prstGeom>
                    <a:noFill/>
                    <a:ln>
                      <a:noFill/>
                    </a:ln>
                  </pic:spPr>
                </pic:pic>
              </a:graphicData>
            </a:graphic>
          </wp:inline>
        </w:drawing>
      </w:r>
    </w:p>
    <w:p>
      <w:pPr>
        <w:pStyle w:val="101"/>
        <w:snapToGrid/>
        <w:spacing w:line="360" w:lineRule="auto"/>
        <w:ind w:firstLine="520"/>
        <w:rPr>
          <w:color w:val="FF0000"/>
          <w:sz w:val="24"/>
          <w:szCs w:val="24"/>
        </w:rPr>
      </w:pPr>
      <w:r>
        <w:rPr>
          <w:color w:val="FF0000"/>
          <w:sz w:val="24"/>
          <w:szCs w:val="24"/>
        </w:rPr>
        <w:t>式中：</w:t>
      </w:r>
      <w:r>
        <w:rPr>
          <w:i/>
          <w:color w:val="FF0000"/>
          <w:sz w:val="24"/>
          <w:szCs w:val="24"/>
        </w:rPr>
        <w:t>f</w:t>
      </w:r>
      <w:r>
        <w:rPr>
          <w:color w:val="FF0000"/>
          <w:sz w:val="24"/>
          <w:szCs w:val="24"/>
        </w:rPr>
        <w:t>-声波频率，Hz；</w:t>
      </w:r>
    </w:p>
    <w:p>
      <w:pPr>
        <w:pStyle w:val="101"/>
        <w:snapToGrid/>
        <w:spacing w:line="360" w:lineRule="auto"/>
        <w:ind w:firstLine="1170" w:firstLineChars="450"/>
        <w:rPr>
          <w:color w:val="FF0000"/>
          <w:sz w:val="24"/>
          <w:szCs w:val="24"/>
        </w:rPr>
      </w:pPr>
      <w:r>
        <w:rPr>
          <w:i/>
          <w:color w:val="FF0000"/>
          <w:sz w:val="24"/>
          <w:szCs w:val="24"/>
        </w:rPr>
        <w:t>δ</w:t>
      </w:r>
      <w:r>
        <w:rPr>
          <w:color w:val="FF0000"/>
          <w:sz w:val="24"/>
          <w:szCs w:val="24"/>
        </w:rPr>
        <w:t>-声程差，m；</w:t>
      </w:r>
    </w:p>
    <w:p>
      <w:pPr>
        <w:pStyle w:val="101"/>
        <w:snapToGrid/>
        <w:spacing w:line="360" w:lineRule="auto"/>
        <w:ind w:firstLine="1170" w:firstLineChars="450"/>
        <w:rPr>
          <w:color w:val="FF0000"/>
          <w:sz w:val="24"/>
          <w:szCs w:val="24"/>
        </w:rPr>
      </w:pPr>
      <w:r>
        <w:rPr>
          <w:i/>
          <w:color w:val="FF0000"/>
          <w:sz w:val="24"/>
          <w:szCs w:val="24"/>
        </w:rPr>
        <w:t>c</w:t>
      </w:r>
      <w:r>
        <w:rPr>
          <w:color w:val="FF0000"/>
          <w:sz w:val="24"/>
          <w:szCs w:val="24"/>
        </w:rPr>
        <w:t>-声速，m/s。</w:t>
      </w:r>
    </w:p>
    <w:p>
      <w:pPr>
        <w:pStyle w:val="101"/>
        <w:snapToGrid/>
        <w:spacing w:line="360" w:lineRule="auto"/>
        <w:ind w:firstLine="520"/>
        <w:rPr>
          <w:color w:val="FF0000"/>
          <w:sz w:val="24"/>
          <w:szCs w:val="24"/>
        </w:rPr>
      </w:pPr>
      <w:r>
        <w:rPr>
          <w:color w:val="FF0000"/>
          <w:sz w:val="24"/>
          <w:szCs w:val="24"/>
        </w:rPr>
        <w:t>在公路建设项目评价中采用500Hz频率的声波计算得到的屏障衰减量近似作为A声级的衰减量。有限长声源的衰减量根据上式进行计算，然后根据图</w:t>
      </w:r>
      <w:r>
        <w:rPr>
          <w:rFonts w:hint="eastAsia"/>
          <w:color w:val="FF0000"/>
          <w:sz w:val="24"/>
          <w:szCs w:val="24"/>
        </w:rPr>
        <w:t>8-2</w:t>
      </w:r>
      <w:r>
        <w:rPr>
          <w:color w:val="FF0000"/>
          <w:sz w:val="24"/>
          <w:szCs w:val="24"/>
        </w:rPr>
        <w:t>进行修正。修正后的A</w:t>
      </w:r>
      <w:r>
        <w:rPr>
          <w:color w:val="FF0000"/>
          <w:sz w:val="24"/>
          <w:szCs w:val="24"/>
          <w:vertAlign w:val="subscript"/>
        </w:rPr>
        <w:t>bar</w:t>
      </w:r>
      <w:r>
        <w:rPr>
          <w:color w:val="FF0000"/>
          <w:sz w:val="24"/>
          <w:szCs w:val="24"/>
        </w:rPr>
        <w:t>取决于遮蔽角β/θ。图</w:t>
      </w:r>
      <w:r>
        <w:rPr>
          <w:rFonts w:hint="eastAsia"/>
          <w:color w:val="FF0000"/>
          <w:sz w:val="24"/>
          <w:szCs w:val="24"/>
        </w:rPr>
        <w:t>8-2</w:t>
      </w:r>
      <w:r>
        <w:rPr>
          <w:color w:val="FF0000"/>
          <w:sz w:val="24"/>
          <w:szCs w:val="24"/>
        </w:rPr>
        <w:t>中虚线表示：无限长屏障声衰减为8.5 dB，若有限长声屏障对应的遮蔽角百分率为92%，则有限长声屏障的声衰减为6.6dB。</w:t>
      </w:r>
    </w:p>
    <w:p>
      <w:pPr>
        <w:pStyle w:val="101"/>
        <w:ind w:firstLine="560"/>
        <w:rPr>
          <w:color w:val="FF0000"/>
        </w:rPr>
      </w:pPr>
      <w:r>
        <w:rPr>
          <w:color w:val="FF0000"/>
        </w:rPr>
        <w:drawing>
          <wp:inline distT="0" distB="0" distL="114300" distR="114300">
            <wp:extent cx="4665980" cy="2323465"/>
            <wp:effectExtent l="0" t="0" r="7620" b="635"/>
            <wp:docPr id="18" name="图片 9" descr="未命名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未命名7"/>
                    <pic:cNvPicPr>
                      <a:picLocks noChangeAspect="1"/>
                    </pic:cNvPicPr>
                  </pic:nvPicPr>
                  <pic:blipFill>
                    <a:blip r:embed="rId19">
                      <a:lum bright="-29999" contrast="54000"/>
                    </a:blip>
                    <a:stretch>
                      <a:fillRect/>
                    </a:stretch>
                  </pic:blipFill>
                  <pic:spPr>
                    <a:xfrm>
                      <a:off x="0" y="0"/>
                      <a:ext cx="4665980" cy="2323465"/>
                    </a:xfrm>
                    <a:prstGeom prst="rect">
                      <a:avLst/>
                    </a:prstGeom>
                    <a:noFill/>
                    <a:ln>
                      <a:noFill/>
                    </a:ln>
                  </pic:spPr>
                </pic:pic>
              </a:graphicData>
            </a:graphic>
          </wp:inline>
        </w:drawing>
      </w:r>
    </w:p>
    <w:p>
      <w:pPr>
        <w:pStyle w:val="100"/>
        <w:spacing w:line="360" w:lineRule="auto"/>
        <w:rPr>
          <w:rFonts w:eastAsia="宋体"/>
          <w:b/>
          <w:color w:val="FF0000"/>
          <w:szCs w:val="24"/>
        </w:rPr>
      </w:pPr>
      <w:r>
        <w:rPr>
          <w:rFonts w:eastAsia="宋体"/>
          <w:b/>
          <w:color w:val="FF0000"/>
          <w:szCs w:val="24"/>
        </w:rPr>
        <w:t>图</w:t>
      </w:r>
      <w:r>
        <w:rPr>
          <w:rFonts w:hint="eastAsia" w:eastAsia="宋体"/>
          <w:b/>
          <w:color w:val="FF0000"/>
          <w:szCs w:val="24"/>
        </w:rPr>
        <w:t>2</w:t>
      </w:r>
      <w:r>
        <w:rPr>
          <w:rFonts w:eastAsia="宋体"/>
          <w:b/>
          <w:color w:val="FF0000"/>
          <w:szCs w:val="24"/>
        </w:rPr>
        <w:t xml:space="preserve">     有限长度的声屏障及线声源的修正图</w:t>
      </w:r>
    </w:p>
    <w:p>
      <w:pPr>
        <w:pStyle w:val="101"/>
        <w:snapToGrid/>
        <w:spacing w:line="360" w:lineRule="auto"/>
        <w:ind w:firstLine="520"/>
        <w:rPr>
          <w:color w:val="FF0000"/>
          <w:sz w:val="24"/>
          <w:szCs w:val="24"/>
        </w:rPr>
      </w:pPr>
      <w:r>
        <w:rPr>
          <w:color w:val="FF0000"/>
          <w:sz w:val="24"/>
          <w:szCs w:val="24"/>
        </w:rPr>
        <w:t>b．高路堤或低路堑两侧声影区衰减量计算</w:t>
      </w:r>
    </w:p>
    <w:p>
      <w:pPr>
        <w:pStyle w:val="101"/>
        <w:snapToGrid/>
        <w:spacing w:line="360" w:lineRule="auto"/>
        <w:ind w:firstLine="520"/>
        <w:rPr>
          <w:color w:val="FF0000"/>
          <w:sz w:val="24"/>
          <w:szCs w:val="24"/>
        </w:rPr>
      </w:pPr>
      <w:r>
        <w:rPr>
          <w:color w:val="FF0000"/>
          <w:sz w:val="24"/>
          <w:szCs w:val="24"/>
        </w:rPr>
        <w:t>高路堤或低路堑两侧声影区衰减量A</w:t>
      </w:r>
      <w:r>
        <w:rPr>
          <w:color w:val="FF0000"/>
          <w:sz w:val="24"/>
          <w:szCs w:val="24"/>
          <w:vertAlign w:val="subscript"/>
        </w:rPr>
        <w:t>bar</w:t>
      </w:r>
      <w:r>
        <w:rPr>
          <w:color w:val="FF0000"/>
          <w:sz w:val="24"/>
          <w:szCs w:val="24"/>
        </w:rPr>
        <w:t>为预测点在高路堤或低路堑两侧声影区内引起的附加衰减量。</w:t>
      </w:r>
    </w:p>
    <w:p>
      <w:pPr>
        <w:pStyle w:val="101"/>
        <w:snapToGrid/>
        <w:spacing w:line="360" w:lineRule="auto"/>
        <w:ind w:firstLine="520"/>
        <w:rPr>
          <w:color w:val="FF0000"/>
          <w:sz w:val="24"/>
          <w:szCs w:val="24"/>
        </w:rPr>
      </w:pPr>
      <w:r>
        <w:rPr>
          <w:color w:val="FF0000"/>
          <w:sz w:val="24"/>
          <w:szCs w:val="24"/>
        </w:rPr>
        <w:t>当预测点处于声照区时，A</w:t>
      </w:r>
      <w:r>
        <w:rPr>
          <w:color w:val="FF0000"/>
          <w:sz w:val="24"/>
          <w:szCs w:val="24"/>
          <w:vertAlign w:val="subscript"/>
        </w:rPr>
        <w:t>bar</w:t>
      </w:r>
      <w:r>
        <w:rPr>
          <w:color w:val="FF0000"/>
          <w:sz w:val="24"/>
          <w:szCs w:val="24"/>
        </w:rPr>
        <w:t>=0；</w:t>
      </w:r>
    </w:p>
    <w:p>
      <w:pPr>
        <w:pStyle w:val="101"/>
        <w:snapToGrid/>
        <w:spacing w:line="360" w:lineRule="auto"/>
        <w:ind w:firstLine="520"/>
        <w:rPr>
          <w:color w:val="FF0000"/>
          <w:sz w:val="24"/>
          <w:szCs w:val="24"/>
        </w:rPr>
      </w:pPr>
      <w:r>
        <w:rPr>
          <w:color w:val="FF0000"/>
          <w:sz w:val="24"/>
          <w:szCs w:val="24"/>
        </w:rPr>
        <w:t>当预测点处于声影区，A</w:t>
      </w:r>
      <w:r>
        <w:rPr>
          <w:color w:val="FF0000"/>
          <w:sz w:val="24"/>
          <w:szCs w:val="24"/>
          <w:vertAlign w:val="subscript"/>
        </w:rPr>
        <w:t>bar</w:t>
      </w:r>
      <w:r>
        <w:rPr>
          <w:color w:val="FF0000"/>
          <w:sz w:val="24"/>
          <w:szCs w:val="24"/>
        </w:rPr>
        <w:t>决定于声程差δ。由图</w:t>
      </w:r>
      <w:r>
        <w:rPr>
          <w:rFonts w:hint="eastAsia"/>
          <w:color w:val="FF0000"/>
          <w:sz w:val="24"/>
          <w:szCs w:val="24"/>
        </w:rPr>
        <w:t>2</w:t>
      </w:r>
      <w:r>
        <w:rPr>
          <w:color w:val="FF0000"/>
          <w:sz w:val="24"/>
          <w:szCs w:val="24"/>
        </w:rPr>
        <w:t>计算δ，δ=a+b-c。再由图</w:t>
      </w:r>
      <w:r>
        <w:rPr>
          <w:rFonts w:hint="eastAsia"/>
          <w:color w:val="FF0000"/>
          <w:sz w:val="24"/>
          <w:szCs w:val="24"/>
        </w:rPr>
        <w:t>4</w:t>
      </w:r>
      <w:r>
        <w:rPr>
          <w:color w:val="FF0000"/>
          <w:sz w:val="24"/>
          <w:szCs w:val="24"/>
        </w:rPr>
        <w:t>查出A</w:t>
      </w:r>
      <w:r>
        <w:rPr>
          <w:color w:val="FF0000"/>
          <w:sz w:val="24"/>
          <w:szCs w:val="24"/>
          <w:vertAlign w:val="subscript"/>
        </w:rPr>
        <w:t>bar</w:t>
      </w:r>
      <w:r>
        <w:rPr>
          <w:color w:val="FF0000"/>
          <w:sz w:val="24"/>
          <w:szCs w:val="24"/>
        </w:rPr>
        <w:t>。</w:t>
      </w:r>
    </w:p>
    <w:p>
      <w:pPr>
        <w:pStyle w:val="100"/>
        <w:rPr>
          <w:color w:val="FF0000"/>
        </w:rPr>
      </w:pPr>
      <w:r>
        <w:rPr>
          <w:color w:val="FF0000"/>
        </w:rPr>
        <w:drawing>
          <wp:inline distT="0" distB="0" distL="114300" distR="114300">
            <wp:extent cx="4885690" cy="2146935"/>
            <wp:effectExtent l="9525" t="9525" r="19685" b="1524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0"/>
                    <a:srcRect t="5559"/>
                    <a:stretch>
                      <a:fillRect/>
                    </a:stretch>
                  </pic:blipFill>
                  <pic:spPr>
                    <a:xfrm>
                      <a:off x="0" y="0"/>
                      <a:ext cx="4885690" cy="2146935"/>
                    </a:xfrm>
                    <a:prstGeom prst="rect">
                      <a:avLst/>
                    </a:prstGeom>
                    <a:noFill/>
                    <a:ln>
                      <a:solidFill>
                        <a:schemeClr val="tx1"/>
                      </a:solidFill>
                    </a:ln>
                  </pic:spPr>
                </pic:pic>
              </a:graphicData>
            </a:graphic>
          </wp:inline>
        </w:drawing>
      </w:r>
    </w:p>
    <w:p>
      <w:pPr>
        <w:pStyle w:val="100"/>
        <w:adjustRightInd w:val="0"/>
        <w:snapToGrid w:val="0"/>
        <w:spacing w:line="360" w:lineRule="auto"/>
        <w:rPr>
          <w:rFonts w:eastAsia="宋体"/>
          <w:b/>
          <w:color w:val="FF0000"/>
          <w:sz w:val="21"/>
          <w:szCs w:val="21"/>
        </w:rPr>
      </w:pPr>
      <w:r>
        <w:rPr>
          <w:rFonts w:eastAsia="宋体"/>
          <w:b/>
          <w:color w:val="FF0000"/>
          <w:sz w:val="21"/>
          <w:szCs w:val="21"/>
        </w:rPr>
        <w:t>图</w:t>
      </w:r>
      <w:r>
        <w:rPr>
          <w:rFonts w:hint="eastAsia" w:eastAsia="宋体"/>
          <w:b/>
          <w:color w:val="FF0000"/>
          <w:sz w:val="21"/>
          <w:szCs w:val="21"/>
        </w:rPr>
        <w:t>3</w:t>
      </w:r>
      <w:r>
        <w:rPr>
          <w:rFonts w:eastAsia="宋体"/>
          <w:b/>
          <w:color w:val="FF0000"/>
          <w:sz w:val="21"/>
          <w:szCs w:val="21"/>
        </w:rPr>
        <w:t xml:space="preserve">     声影区噪声衰减量计算示意图</w:t>
      </w:r>
    </w:p>
    <w:p>
      <w:pPr>
        <w:pStyle w:val="101"/>
        <w:ind w:firstLine="0" w:firstLineChars="0"/>
        <w:jc w:val="center"/>
        <w:rPr>
          <w:color w:val="FF0000"/>
        </w:rPr>
      </w:pPr>
      <w:r>
        <w:rPr>
          <w:color w:val="FF0000"/>
        </w:rPr>
        <w:drawing>
          <wp:inline distT="0" distB="0" distL="114300" distR="114300">
            <wp:extent cx="4962525" cy="2478405"/>
            <wp:effectExtent l="0" t="0" r="3175" b="10795"/>
            <wp:docPr id="16" name="图片 11" descr="未命名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未命名9"/>
                    <pic:cNvPicPr>
                      <a:picLocks noChangeAspect="1"/>
                    </pic:cNvPicPr>
                  </pic:nvPicPr>
                  <pic:blipFill>
                    <a:blip r:embed="rId21"/>
                    <a:stretch>
                      <a:fillRect/>
                    </a:stretch>
                  </pic:blipFill>
                  <pic:spPr>
                    <a:xfrm>
                      <a:off x="0" y="0"/>
                      <a:ext cx="4962525" cy="2478405"/>
                    </a:xfrm>
                    <a:prstGeom prst="rect">
                      <a:avLst/>
                    </a:prstGeom>
                    <a:noFill/>
                    <a:ln>
                      <a:noFill/>
                    </a:ln>
                  </pic:spPr>
                </pic:pic>
              </a:graphicData>
            </a:graphic>
          </wp:inline>
        </w:drawing>
      </w:r>
    </w:p>
    <w:p>
      <w:pPr>
        <w:pStyle w:val="100"/>
        <w:spacing w:line="360" w:lineRule="auto"/>
        <w:rPr>
          <w:rFonts w:eastAsia="宋体"/>
          <w:b/>
          <w:color w:val="FF0000"/>
          <w:sz w:val="21"/>
          <w:szCs w:val="21"/>
        </w:rPr>
      </w:pPr>
      <w:r>
        <w:rPr>
          <w:rFonts w:eastAsia="宋体"/>
          <w:b/>
          <w:color w:val="FF0000"/>
          <w:sz w:val="21"/>
          <w:szCs w:val="21"/>
        </w:rPr>
        <w:t>图</w:t>
      </w:r>
      <w:r>
        <w:rPr>
          <w:rFonts w:hint="eastAsia" w:eastAsia="宋体"/>
          <w:b/>
          <w:color w:val="FF0000"/>
          <w:sz w:val="21"/>
          <w:szCs w:val="21"/>
        </w:rPr>
        <w:t>4</w:t>
      </w:r>
      <w:r>
        <w:rPr>
          <w:rFonts w:eastAsia="宋体"/>
          <w:b/>
          <w:color w:val="FF0000"/>
          <w:sz w:val="21"/>
          <w:szCs w:val="21"/>
        </w:rPr>
        <w:t xml:space="preserve">    噪声衰减量与声程差δ关系曲线（f=500Hz）</w:t>
      </w:r>
    </w:p>
    <w:p>
      <w:pPr>
        <w:spacing w:line="360" w:lineRule="auto"/>
        <w:ind w:firstLine="480" w:firstLineChars="200"/>
        <w:rPr>
          <w:color w:val="FF0000"/>
          <w:sz w:val="24"/>
        </w:rPr>
      </w:pPr>
      <w:r>
        <w:rPr>
          <w:color w:val="FF0000"/>
          <w:sz w:val="24"/>
        </w:rPr>
        <w:t>（3）由反射等引起的修正量（△L3）</w:t>
      </w:r>
    </w:p>
    <w:p>
      <w:pPr>
        <w:pStyle w:val="101"/>
        <w:snapToGrid/>
        <w:spacing w:line="360" w:lineRule="auto"/>
        <w:ind w:firstLine="520"/>
        <w:rPr>
          <w:color w:val="FF0000"/>
          <w:sz w:val="24"/>
          <w:szCs w:val="24"/>
        </w:rPr>
      </w:pPr>
      <w:r>
        <w:rPr>
          <w:color w:val="FF0000"/>
          <w:sz w:val="24"/>
        </w:rPr>
        <w:t>①</w:t>
      </w:r>
      <w:r>
        <w:rPr>
          <w:color w:val="FF0000"/>
          <w:sz w:val="24"/>
          <w:szCs w:val="24"/>
        </w:rPr>
        <w:t>两侧建筑物的反射声修正量</w:t>
      </w:r>
    </w:p>
    <w:p>
      <w:pPr>
        <w:pStyle w:val="101"/>
        <w:snapToGrid/>
        <w:spacing w:line="360" w:lineRule="auto"/>
        <w:ind w:firstLine="520"/>
        <w:rPr>
          <w:color w:val="FF0000"/>
          <w:sz w:val="24"/>
          <w:szCs w:val="24"/>
        </w:rPr>
      </w:pPr>
      <w:r>
        <w:rPr>
          <w:color w:val="FF0000"/>
          <w:sz w:val="24"/>
          <w:szCs w:val="24"/>
        </w:rPr>
        <w:t>地貌以及声源两侧建筑物反射影响因素的修正。当线路两侧建筑物间距小于总计算高度30%时，其反射声修正量为：</w:t>
      </w:r>
    </w:p>
    <w:p>
      <w:pPr>
        <w:pStyle w:val="101"/>
        <w:snapToGrid/>
        <w:spacing w:line="360" w:lineRule="auto"/>
        <w:ind w:firstLine="520"/>
        <w:rPr>
          <w:color w:val="FF0000"/>
          <w:sz w:val="24"/>
          <w:szCs w:val="24"/>
        </w:rPr>
      </w:pPr>
      <w:r>
        <w:rPr>
          <w:color w:val="FF0000"/>
          <w:sz w:val="24"/>
          <w:szCs w:val="24"/>
        </w:rPr>
        <w:t>两侧建筑物是反射面时：</w:t>
      </w:r>
    </w:p>
    <w:p>
      <w:pPr>
        <w:spacing w:line="360" w:lineRule="auto"/>
        <w:ind w:firstLine="200"/>
        <w:jc w:val="center"/>
        <w:rPr>
          <w:color w:val="FF0000"/>
          <w:sz w:val="24"/>
        </w:rPr>
      </w:pPr>
      <w:r>
        <w:rPr>
          <w:color w:val="FF0000"/>
          <w:sz w:val="24"/>
        </w:rPr>
        <w:drawing>
          <wp:inline distT="0" distB="0" distL="114300" distR="114300">
            <wp:extent cx="2589530" cy="408940"/>
            <wp:effectExtent l="0" t="0" r="1270" b="10160"/>
            <wp:docPr id="14"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1"/>
                    <pic:cNvPicPr>
                      <a:picLocks noChangeAspect="1"/>
                    </pic:cNvPicPr>
                  </pic:nvPicPr>
                  <pic:blipFill>
                    <a:blip r:embed="rId22"/>
                    <a:stretch>
                      <a:fillRect/>
                    </a:stretch>
                  </pic:blipFill>
                  <pic:spPr>
                    <a:xfrm>
                      <a:off x="0" y="0"/>
                      <a:ext cx="2589530" cy="408940"/>
                    </a:xfrm>
                    <a:prstGeom prst="rect">
                      <a:avLst/>
                    </a:prstGeom>
                    <a:noFill/>
                    <a:ln>
                      <a:noFill/>
                    </a:ln>
                  </pic:spPr>
                </pic:pic>
              </a:graphicData>
            </a:graphic>
          </wp:inline>
        </w:drawing>
      </w:r>
    </w:p>
    <w:p>
      <w:pPr>
        <w:pStyle w:val="101"/>
        <w:snapToGrid/>
        <w:spacing w:line="360" w:lineRule="auto"/>
        <w:ind w:firstLine="520"/>
        <w:rPr>
          <w:color w:val="FF0000"/>
          <w:sz w:val="24"/>
          <w:szCs w:val="24"/>
        </w:rPr>
      </w:pPr>
      <w:r>
        <w:rPr>
          <w:color w:val="FF0000"/>
          <w:sz w:val="24"/>
          <w:szCs w:val="24"/>
        </w:rPr>
        <w:t>两侧建筑物是一般吸收性表面：</w:t>
      </w:r>
    </w:p>
    <w:p>
      <w:pPr>
        <w:spacing w:line="360" w:lineRule="auto"/>
        <w:ind w:firstLine="200"/>
        <w:jc w:val="center"/>
        <w:rPr>
          <w:color w:val="FF0000"/>
          <w:sz w:val="24"/>
        </w:rPr>
      </w:pPr>
      <w:r>
        <w:rPr>
          <w:color w:val="FF0000"/>
          <w:sz w:val="24"/>
        </w:rPr>
        <w:drawing>
          <wp:inline distT="0" distB="0" distL="114300" distR="114300">
            <wp:extent cx="2277110" cy="419735"/>
            <wp:effectExtent l="0" t="0" r="8890" b="12065"/>
            <wp:docPr id="13" name="图片 1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222"/>
                    <pic:cNvPicPr>
                      <a:picLocks noChangeAspect="1"/>
                    </pic:cNvPicPr>
                  </pic:nvPicPr>
                  <pic:blipFill>
                    <a:blip r:embed="rId23"/>
                    <a:stretch>
                      <a:fillRect/>
                    </a:stretch>
                  </pic:blipFill>
                  <pic:spPr>
                    <a:xfrm>
                      <a:off x="0" y="0"/>
                      <a:ext cx="2277110" cy="419735"/>
                    </a:xfrm>
                    <a:prstGeom prst="rect">
                      <a:avLst/>
                    </a:prstGeom>
                    <a:noFill/>
                    <a:ln>
                      <a:noFill/>
                    </a:ln>
                  </pic:spPr>
                </pic:pic>
              </a:graphicData>
            </a:graphic>
          </wp:inline>
        </w:drawing>
      </w:r>
    </w:p>
    <w:p>
      <w:pPr>
        <w:pStyle w:val="101"/>
        <w:snapToGrid/>
        <w:spacing w:line="360" w:lineRule="auto"/>
        <w:ind w:firstLine="520"/>
        <w:rPr>
          <w:color w:val="FF0000"/>
          <w:sz w:val="24"/>
          <w:szCs w:val="24"/>
        </w:rPr>
      </w:pPr>
      <w:r>
        <w:rPr>
          <w:color w:val="FF0000"/>
          <w:sz w:val="24"/>
          <w:szCs w:val="24"/>
        </w:rPr>
        <w:t>两侧建筑物为全吸收性表面：</w:t>
      </w:r>
    </w:p>
    <w:p>
      <w:pPr>
        <w:spacing w:line="360" w:lineRule="auto"/>
        <w:ind w:firstLine="200"/>
        <w:jc w:val="center"/>
        <w:rPr>
          <w:color w:val="FF0000"/>
          <w:sz w:val="24"/>
        </w:rPr>
      </w:pPr>
      <w:r>
        <w:rPr>
          <w:color w:val="FF0000"/>
          <w:sz w:val="24"/>
        </w:rPr>
        <w:drawing>
          <wp:inline distT="0" distB="0" distL="114300" distR="114300">
            <wp:extent cx="1086485" cy="370205"/>
            <wp:effectExtent l="0" t="0" r="5715" b="10795"/>
            <wp:docPr id="12" name="图片 15"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333"/>
                    <pic:cNvPicPr>
                      <a:picLocks noChangeAspect="1"/>
                    </pic:cNvPicPr>
                  </pic:nvPicPr>
                  <pic:blipFill>
                    <a:blip r:embed="rId24"/>
                    <a:stretch>
                      <a:fillRect/>
                    </a:stretch>
                  </pic:blipFill>
                  <pic:spPr>
                    <a:xfrm>
                      <a:off x="0" y="0"/>
                      <a:ext cx="1086485" cy="370205"/>
                    </a:xfrm>
                    <a:prstGeom prst="rect">
                      <a:avLst/>
                    </a:prstGeom>
                    <a:noFill/>
                    <a:ln>
                      <a:noFill/>
                    </a:ln>
                  </pic:spPr>
                </pic:pic>
              </a:graphicData>
            </a:graphic>
          </wp:inline>
        </w:drawing>
      </w:r>
    </w:p>
    <w:p>
      <w:pPr>
        <w:pStyle w:val="102"/>
        <w:spacing w:line="360" w:lineRule="auto"/>
        <w:ind w:firstLine="480"/>
        <w:rPr>
          <w:rFonts w:ascii="Times New Roman" w:hAnsi="Times New Roman"/>
          <w:color w:val="FF0000"/>
          <w:sz w:val="24"/>
          <w:szCs w:val="24"/>
        </w:rPr>
      </w:pPr>
      <w:r>
        <w:rPr>
          <w:rFonts w:ascii="Times New Roman" w:hAnsi="Times New Roman"/>
          <w:color w:val="FF0000"/>
          <w:sz w:val="24"/>
          <w:szCs w:val="24"/>
        </w:rPr>
        <w:t>式中：W—为线路两侧建筑物反射面的间距，m；</w:t>
      </w:r>
    </w:p>
    <w:p>
      <w:pPr>
        <w:spacing w:line="360" w:lineRule="auto"/>
        <w:ind w:firstLine="1200" w:firstLineChars="500"/>
        <w:rPr>
          <w:color w:val="FF0000"/>
          <w:sz w:val="24"/>
        </w:rPr>
      </w:pPr>
      <w:r>
        <w:rPr>
          <w:color w:val="FF0000"/>
          <w:sz w:val="24"/>
        </w:rPr>
        <w:t>H</w:t>
      </w:r>
      <w:r>
        <w:rPr>
          <w:color w:val="FF0000"/>
          <w:sz w:val="24"/>
          <w:vertAlign w:val="subscript"/>
        </w:rPr>
        <w:t>b</w:t>
      </w:r>
      <w:r>
        <w:rPr>
          <w:color w:val="FF0000"/>
          <w:sz w:val="24"/>
        </w:rPr>
        <w:t>—为构筑物的平均高度h，取线路两侧较低一侧高度平均值代入计算，m。</w:t>
      </w:r>
    </w:p>
    <w:p>
      <w:pPr>
        <w:adjustRightInd w:val="0"/>
        <w:snapToGrid w:val="0"/>
        <w:spacing w:line="360" w:lineRule="auto"/>
        <w:ind w:firstLine="482" w:firstLineChars="200"/>
        <w:rPr>
          <w:b/>
          <w:bCs/>
          <w:color w:val="FF0000"/>
          <w:sz w:val="24"/>
        </w:rPr>
      </w:pPr>
      <w:r>
        <w:rPr>
          <w:rFonts w:hint="eastAsia"/>
          <w:b/>
          <w:bCs/>
          <w:color w:val="FF0000"/>
          <w:sz w:val="24"/>
        </w:rPr>
        <w:t>5</w:t>
      </w:r>
      <w:r>
        <w:rPr>
          <w:b/>
          <w:bCs/>
          <w:color w:val="FF0000"/>
          <w:sz w:val="24"/>
        </w:rPr>
        <w:t>.2预测模式选择</w:t>
      </w:r>
    </w:p>
    <w:p>
      <w:pPr>
        <w:adjustRightInd w:val="0"/>
        <w:snapToGrid w:val="0"/>
        <w:spacing w:line="360" w:lineRule="auto"/>
        <w:ind w:firstLine="480" w:firstLineChars="200"/>
        <w:rPr>
          <w:color w:val="FF0000"/>
          <w:sz w:val="24"/>
        </w:rPr>
      </w:pPr>
      <w:r>
        <w:rPr>
          <w:color w:val="FF0000"/>
          <w:sz w:val="24"/>
        </w:rPr>
        <w:t>本次评价采用NoiseSystem软件，该软件是根据《环境影响评价技术导则 声环境HJ2.4-20</w:t>
      </w:r>
      <w:r>
        <w:rPr>
          <w:rFonts w:hint="eastAsia"/>
          <w:color w:val="FF0000"/>
          <w:sz w:val="24"/>
          <w:lang w:val="en-US" w:eastAsia="zh-CN"/>
        </w:rPr>
        <w:t>21</w:t>
      </w:r>
      <w:r>
        <w:rPr>
          <w:color w:val="FF0000"/>
          <w:sz w:val="24"/>
        </w:rPr>
        <w:t>》，基于GIS的三维噪声影响评价系统。软件综合考虑了预测区域内所有声源、遮蔽物、气象要素等在声传播过程的综合效应，最终给出符合导则的计算结果。适用于工业项目、公路项目和铁路项目环境噪声的三级、二级和一级评价。</w:t>
      </w:r>
    </w:p>
    <w:p>
      <w:pPr>
        <w:adjustRightInd w:val="0"/>
        <w:snapToGrid w:val="0"/>
        <w:spacing w:line="360" w:lineRule="auto"/>
        <w:ind w:firstLine="482" w:firstLineChars="200"/>
        <w:rPr>
          <w:color w:val="FF0000"/>
          <w:sz w:val="24"/>
        </w:rPr>
      </w:pPr>
      <w:r>
        <w:rPr>
          <w:rFonts w:hint="eastAsia"/>
          <w:b/>
          <w:bCs/>
          <w:color w:val="FF0000"/>
          <w:sz w:val="24"/>
        </w:rPr>
        <w:t>5</w:t>
      </w:r>
      <w:r>
        <w:rPr>
          <w:b/>
          <w:bCs/>
          <w:color w:val="FF0000"/>
          <w:sz w:val="24"/>
        </w:rPr>
        <w:t>.3声环境预测与评价</w:t>
      </w:r>
    </w:p>
    <w:p>
      <w:pPr>
        <w:adjustRightInd w:val="0"/>
        <w:snapToGrid w:val="0"/>
        <w:spacing w:line="360" w:lineRule="auto"/>
        <w:ind w:firstLine="480" w:firstLineChars="200"/>
        <w:rPr>
          <w:bCs/>
          <w:color w:val="FF0000"/>
          <w:sz w:val="24"/>
          <w:shd w:val="clear" w:color="auto" w:fill="FFFFFF"/>
        </w:rPr>
      </w:pPr>
      <w:r>
        <w:rPr>
          <w:rFonts w:hint="eastAsia"/>
          <w:bCs/>
          <w:color w:val="FF0000"/>
          <w:sz w:val="24"/>
          <w:shd w:val="clear" w:color="auto" w:fill="FFFFFF"/>
        </w:rPr>
        <w:t>5</w:t>
      </w:r>
      <w:r>
        <w:rPr>
          <w:bCs/>
          <w:color w:val="FF0000"/>
          <w:sz w:val="24"/>
          <w:shd w:val="clear" w:color="auto" w:fill="FFFFFF"/>
        </w:rPr>
        <w:t>.3.1预测参数选择</w:t>
      </w:r>
    </w:p>
    <w:p>
      <w:pPr>
        <w:adjustRightInd w:val="0"/>
        <w:snapToGrid w:val="0"/>
        <w:spacing w:line="360" w:lineRule="auto"/>
        <w:ind w:firstLine="480" w:firstLineChars="200"/>
        <w:rPr>
          <w:color w:val="FF0000"/>
          <w:sz w:val="24"/>
        </w:rPr>
      </w:pPr>
      <w:r>
        <w:rPr>
          <w:color w:val="FF0000"/>
          <w:sz w:val="24"/>
        </w:rPr>
        <w:t>⑴车流量</w:t>
      </w:r>
    </w:p>
    <w:p>
      <w:pPr>
        <w:adjustRightInd w:val="0"/>
        <w:snapToGrid w:val="0"/>
        <w:spacing w:line="360" w:lineRule="auto"/>
        <w:ind w:firstLine="480" w:firstLineChars="200"/>
        <w:rPr>
          <w:color w:val="FF0000"/>
          <w:sz w:val="24"/>
        </w:rPr>
      </w:pPr>
      <w:r>
        <w:rPr>
          <w:color w:val="FF0000"/>
          <w:sz w:val="24"/>
        </w:rPr>
        <w:t>采用各特征年平均小时车流量，具体见表</w:t>
      </w:r>
      <w:r>
        <w:rPr>
          <w:rFonts w:hint="eastAsia"/>
          <w:color w:val="FF0000"/>
          <w:sz w:val="24"/>
          <w:lang w:val="en-US" w:eastAsia="zh-CN"/>
        </w:rPr>
        <w:t>8</w:t>
      </w:r>
      <w:r>
        <w:rPr>
          <w:color w:val="FF0000"/>
          <w:sz w:val="24"/>
        </w:rPr>
        <w:t>；</w:t>
      </w:r>
    </w:p>
    <w:p>
      <w:pPr>
        <w:adjustRightInd w:val="0"/>
        <w:snapToGrid w:val="0"/>
        <w:spacing w:line="360" w:lineRule="auto"/>
        <w:ind w:firstLine="480" w:firstLineChars="200"/>
        <w:rPr>
          <w:color w:val="FF0000"/>
          <w:sz w:val="24"/>
        </w:rPr>
      </w:pPr>
      <w:r>
        <w:rPr>
          <w:color w:val="FF0000"/>
          <w:sz w:val="24"/>
        </w:rPr>
        <w:t>⑵预测时段</w:t>
      </w:r>
    </w:p>
    <w:p>
      <w:pPr>
        <w:adjustRightInd w:val="0"/>
        <w:snapToGrid w:val="0"/>
        <w:spacing w:line="360" w:lineRule="auto"/>
        <w:ind w:firstLine="480" w:firstLineChars="200"/>
        <w:rPr>
          <w:color w:val="FF0000"/>
          <w:sz w:val="24"/>
        </w:rPr>
      </w:pPr>
      <w:r>
        <w:rPr>
          <w:color w:val="FF0000"/>
          <w:sz w:val="24"/>
        </w:rPr>
        <w:t>分别预测近期（202</w:t>
      </w:r>
      <w:r>
        <w:rPr>
          <w:rFonts w:hint="eastAsia"/>
          <w:color w:val="FF0000"/>
          <w:sz w:val="24"/>
          <w:lang w:val="en-US" w:eastAsia="zh-CN"/>
        </w:rPr>
        <w:t>4</w:t>
      </w:r>
      <w:r>
        <w:rPr>
          <w:color w:val="FF0000"/>
          <w:sz w:val="24"/>
        </w:rPr>
        <w:t>年）、中期（20</w:t>
      </w:r>
      <w:r>
        <w:rPr>
          <w:rFonts w:hint="eastAsia"/>
          <w:color w:val="FF0000"/>
          <w:sz w:val="24"/>
          <w:lang w:val="en-US" w:eastAsia="zh-CN"/>
        </w:rPr>
        <w:t>30</w:t>
      </w:r>
      <w:r>
        <w:rPr>
          <w:color w:val="FF0000"/>
          <w:sz w:val="24"/>
        </w:rPr>
        <w:t>年）、远期（203</w:t>
      </w:r>
      <w:r>
        <w:rPr>
          <w:rFonts w:hint="eastAsia"/>
          <w:color w:val="FF0000"/>
          <w:sz w:val="24"/>
          <w:lang w:val="en-US" w:eastAsia="zh-CN"/>
        </w:rPr>
        <w:t>8</w:t>
      </w:r>
      <w:r>
        <w:rPr>
          <w:color w:val="FF0000"/>
          <w:sz w:val="24"/>
        </w:rPr>
        <w:t>年）三个特征年；</w:t>
      </w:r>
    </w:p>
    <w:p>
      <w:pPr>
        <w:adjustRightInd w:val="0"/>
        <w:snapToGrid w:val="0"/>
        <w:spacing w:line="360" w:lineRule="auto"/>
        <w:ind w:firstLine="480" w:firstLineChars="200"/>
        <w:rPr>
          <w:color w:val="FF0000"/>
          <w:sz w:val="24"/>
        </w:rPr>
      </w:pPr>
      <w:r>
        <w:rPr>
          <w:color w:val="FF0000"/>
          <w:sz w:val="24"/>
        </w:rPr>
        <w:t>⑶设计车速</w:t>
      </w:r>
    </w:p>
    <w:p>
      <w:pPr>
        <w:adjustRightInd w:val="0"/>
        <w:snapToGrid w:val="0"/>
        <w:spacing w:line="360" w:lineRule="auto"/>
        <w:ind w:firstLine="480" w:firstLineChars="200"/>
        <w:rPr>
          <w:color w:val="FF0000"/>
          <w:sz w:val="24"/>
        </w:rPr>
      </w:pPr>
      <w:r>
        <w:rPr>
          <w:color w:val="FF0000"/>
          <w:sz w:val="24"/>
        </w:rPr>
        <w:t>根据本项目初步设计可知，本项目道路设计车速为40km/h；</w:t>
      </w:r>
    </w:p>
    <w:p>
      <w:pPr>
        <w:adjustRightInd w:val="0"/>
        <w:snapToGrid w:val="0"/>
        <w:spacing w:line="360" w:lineRule="auto"/>
        <w:ind w:firstLine="480" w:firstLineChars="200"/>
        <w:rPr>
          <w:color w:val="FF0000"/>
          <w:sz w:val="24"/>
        </w:rPr>
      </w:pPr>
      <w:r>
        <w:rPr>
          <w:color w:val="FF0000"/>
          <w:sz w:val="24"/>
        </w:rPr>
        <w:t>⑷计算车速</w:t>
      </w:r>
    </w:p>
    <w:p>
      <w:pPr>
        <w:adjustRightInd w:val="0"/>
        <w:snapToGrid w:val="0"/>
        <w:spacing w:line="360" w:lineRule="auto"/>
        <w:ind w:firstLine="480" w:firstLineChars="200"/>
        <w:rPr>
          <w:color w:val="FF0000"/>
          <w:sz w:val="24"/>
        </w:rPr>
      </w:pPr>
      <w:r>
        <w:rPr>
          <w:color w:val="FF0000"/>
          <w:sz w:val="24"/>
        </w:rPr>
        <w:t>行车速度计算采用Noise System V3.0软件，输入车流量及设计车速后，可计算得到各小时车流量条件下的行车速度。</w:t>
      </w:r>
    </w:p>
    <w:p>
      <w:pPr>
        <w:adjustRightInd w:val="0"/>
        <w:snapToGrid w:val="0"/>
        <w:spacing w:line="360" w:lineRule="auto"/>
        <w:ind w:firstLine="480" w:firstLineChars="200"/>
        <w:rPr>
          <w:color w:val="FF0000"/>
          <w:sz w:val="24"/>
        </w:rPr>
      </w:pPr>
      <w:r>
        <w:rPr>
          <w:color w:val="FF0000"/>
          <w:sz w:val="24"/>
        </w:rPr>
        <w:t>⑸路面类型</w:t>
      </w:r>
    </w:p>
    <w:p>
      <w:pPr>
        <w:adjustRightInd w:val="0"/>
        <w:snapToGrid w:val="0"/>
        <w:spacing w:line="360" w:lineRule="auto"/>
        <w:ind w:firstLine="480" w:firstLineChars="200"/>
        <w:rPr>
          <w:color w:val="FF0000"/>
          <w:sz w:val="24"/>
        </w:rPr>
      </w:pPr>
      <w:r>
        <w:rPr>
          <w:color w:val="FF0000"/>
          <w:sz w:val="24"/>
        </w:rPr>
        <w:t>本项目车行道路面采用沥青混凝土路面。根据工程分析，本项目道路工程噪声预测参数见表</w:t>
      </w:r>
      <w:r>
        <w:rPr>
          <w:rFonts w:hint="eastAsia"/>
          <w:color w:val="FF0000"/>
          <w:sz w:val="24"/>
          <w:lang w:val="en-US" w:eastAsia="zh-CN"/>
        </w:rPr>
        <w:t>7</w:t>
      </w:r>
      <w:r>
        <w:rPr>
          <w:color w:val="FF0000"/>
          <w:sz w:val="24"/>
        </w:rPr>
        <w:t>。</w:t>
      </w:r>
    </w:p>
    <w:p>
      <w:pPr>
        <w:adjustRightInd w:val="0"/>
        <w:snapToGrid w:val="0"/>
        <w:spacing w:line="240" w:lineRule="auto"/>
        <w:ind w:firstLine="200"/>
        <w:jc w:val="center"/>
        <w:rPr>
          <w:b/>
          <w:color w:val="FF0000"/>
          <w:sz w:val="21"/>
          <w:szCs w:val="21"/>
        </w:rPr>
      </w:pPr>
      <w:r>
        <w:rPr>
          <w:b/>
          <w:color w:val="FF0000"/>
          <w:sz w:val="21"/>
          <w:szCs w:val="21"/>
        </w:rPr>
        <w:t>表</w:t>
      </w:r>
      <w:r>
        <w:rPr>
          <w:rFonts w:hint="eastAsia"/>
          <w:b/>
          <w:color w:val="FF0000"/>
          <w:sz w:val="21"/>
          <w:szCs w:val="21"/>
          <w:lang w:val="en-US" w:eastAsia="zh-CN"/>
        </w:rPr>
        <w:t>7</w:t>
      </w:r>
      <w:r>
        <w:rPr>
          <w:b/>
          <w:color w:val="FF0000"/>
          <w:sz w:val="21"/>
          <w:szCs w:val="21"/>
        </w:rPr>
        <w:t xml:space="preserve">         本道路工程噪声预测参数表</w:t>
      </w:r>
    </w:p>
    <w:tbl>
      <w:tblPr>
        <w:tblStyle w:val="30"/>
        <w:tblW w:w="837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3"/>
        <w:gridCol w:w="684"/>
        <w:gridCol w:w="737"/>
        <w:gridCol w:w="687"/>
        <w:gridCol w:w="687"/>
        <w:gridCol w:w="721"/>
        <w:gridCol w:w="679"/>
        <w:gridCol w:w="815"/>
        <w:gridCol w:w="694"/>
        <w:gridCol w:w="605"/>
        <w:gridCol w:w="14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0" w:hRule="atLeast"/>
          <w:jc w:val="center"/>
        </w:trPr>
        <w:tc>
          <w:tcPr>
            <w:tcW w:w="663" w:type="dxa"/>
            <w:vMerge w:val="restart"/>
            <w:vAlign w:val="center"/>
          </w:tcPr>
          <w:p>
            <w:pPr>
              <w:adjustRightInd w:val="0"/>
              <w:snapToGrid w:val="0"/>
              <w:spacing w:line="240" w:lineRule="auto"/>
              <w:jc w:val="center"/>
              <w:rPr>
                <w:color w:val="FF0000"/>
                <w:sz w:val="21"/>
                <w:szCs w:val="21"/>
              </w:rPr>
            </w:pPr>
            <w:r>
              <w:rPr>
                <w:color w:val="FF0000"/>
                <w:sz w:val="21"/>
                <w:szCs w:val="21"/>
              </w:rPr>
              <w:t>道路名称</w:t>
            </w:r>
          </w:p>
        </w:tc>
        <w:tc>
          <w:tcPr>
            <w:tcW w:w="684" w:type="dxa"/>
            <w:vMerge w:val="restart"/>
            <w:vAlign w:val="center"/>
          </w:tcPr>
          <w:p>
            <w:pPr>
              <w:adjustRightInd w:val="0"/>
              <w:snapToGrid w:val="0"/>
              <w:spacing w:line="240" w:lineRule="auto"/>
              <w:jc w:val="center"/>
              <w:rPr>
                <w:color w:val="FF0000"/>
                <w:sz w:val="21"/>
                <w:szCs w:val="21"/>
              </w:rPr>
            </w:pPr>
            <w:r>
              <w:rPr>
                <w:color w:val="FF0000"/>
                <w:sz w:val="21"/>
                <w:szCs w:val="21"/>
              </w:rPr>
              <w:t>设计</w:t>
            </w:r>
          </w:p>
          <w:p>
            <w:pPr>
              <w:adjustRightInd w:val="0"/>
              <w:snapToGrid w:val="0"/>
              <w:spacing w:line="240" w:lineRule="auto"/>
              <w:jc w:val="center"/>
              <w:rPr>
                <w:color w:val="FF0000"/>
                <w:sz w:val="21"/>
                <w:szCs w:val="21"/>
              </w:rPr>
            </w:pPr>
            <w:r>
              <w:rPr>
                <w:color w:val="FF0000"/>
                <w:sz w:val="21"/>
                <w:szCs w:val="21"/>
              </w:rPr>
              <w:t>车速</w:t>
            </w:r>
          </w:p>
        </w:tc>
        <w:tc>
          <w:tcPr>
            <w:tcW w:w="3511" w:type="dxa"/>
            <w:gridSpan w:val="5"/>
            <w:vAlign w:val="center"/>
          </w:tcPr>
          <w:p>
            <w:pPr>
              <w:adjustRightInd w:val="0"/>
              <w:snapToGrid w:val="0"/>
              <w:spacing w:line="240" w:lineRule="auto"/>
              <w:jc w:val="center"/>
              <w:rPr>
                <w:color w:val="FF0000"/>
                <w:sz w:val="21"/>
                <w:szCs w:val="21"/>
              </w:rPr>
            </w:pPr>
            <w:r>
              <w:rPr>
                <w:color w:val="FF0000"/>
                <w:sz w:val="21"/>
                <w:szCs w:val="21"/>
              </w:rPr>
              <w:t>车流量（辆/h）</w:t>
            </w:r>
          </w:p>
        </w:tc>
        <w:tc>
          <w:tcPr>
            <w:tcW w:w="815" w:type="dxa"/>
            <w:vMerge w:val="restart"/>
            <w:vAlign w:val="center"/>
          </w:tcPr>
          <w:p>
            <w:pPr>
              <w:adjustRightInd w:val="0"/>
              <w:snapToGrid w:val="0"/>
              <w:spacing w:line="240" w:lineRule="auto"/>
              <w:jc w:val="center"/>
              <w:rPr>
                <w:color w:val="FF0000"/>
                <w:sz w:val="21"/>
                <w:szCs w:val="21"/>
              </w:rPr>
            </w:pPr>
            <w:r>
              <w:rPr>
                <w:color w:val="FF0000"/>
                <w:sz w:val="21"/>
                <w:szCs w:val="21"/>
              </w:rPr>
              <w:t>路面</w:t>
            </w:r>
          </w:p>
          <w:p>
            <w:pPr>
              <w:adjustRightInd w:val="0"/>
              <w:snapToGrid w:val="0"/>
              <w:spacing w:line="240" w:lineRule="auto"/>
              <w:jc w:val="center"/>
              <w:rPr>
                <w:color w:val="FF0000"/>
                <w:sz w:val="21"/>
                <w:szCs w:val="21"/>
              </w:rPr>
            </w:pPr>
            <w:r>
              <w:rPr>
                <w:color w:val="FF0000"/>
                <w:sz w:val="21"/>
                <w:szCs w:val="21"/>
              </w:rPr>
              <w:t>类型</w:t>
            </w:r>
          </w:p>
        </w:tc>
        <w:tc>
          <w:tcPr>
            <w:tcW w:w="694" w:type="dxa"/>
            <w:vMerge w:val="restart"/>
            <w:vAlign w:val="center"/>
          </w:tcPr>
          <w:p>
            <w:pPr>
              <w:adjustRightInd w:val="0"/>
              <w:snapToGrid w:val="0"/>
              <w:spacing w:line="240" w:lineRule="auto"/>
              <w:jc w:val="center"/>
              <w:rPr>
                <w:color w:val="FF0000"/>
                <w:sz w:val="21"/>
                <w:szCs w:val="21"/>
              </w:rPr>
            </w:pPr>
            <w:r>
              <w:rPr>
                <w:color w:val="FF0000"/>
                <w:sz w:val="21"/>
                <w:szCs w:val="21"/>
              </w:rPr>
              <w:t>道路宽度</w:t>
            </w:r>
          </w:p>
        </w:tc>
        <w:tc>
          <w:tcPr>
            <w:tcW w:w="605" w:type="dxa"/>
            <w:vMerge w:val="restart"/>
            <w:vAlign w:val="center"/>
          </w:tcPr>
          <w:p>
            <w:pPr>
              <w:adjustRightInd w:val="0"/>
              <w:snapToGrid w:val="0"/>
              <w:spacing w:line="240" w:lineRule="auto"/>
              <w:jc w:val="center"/>
              <w:rPr>
                <w:color w:val="FF0000"/>
                <w:sz w:val="21"/>
                <w:szCs w:val="21"/>
              </w:rPr>
            </w:pPr>
            <w:r>
              <w:rPr>
                <w:color w:val="FF0000"/>
                <w:sz w:val="21"/>
                <w:szCs w:val="21"/>
              </w:rPr>
              <w:t>车道数</w:t>
            </w:r>
          </w:p>
        </w:tc>
        <w:tc>
          <w:tcPr>
            <w:tcW w:w="1403" w:type="dxa"/>
            <w:vMerge w:val="restart"/>
            <w:vAlign w:val="center"/>
          </w:tcPr>
          <w:p>
            <w:pPr>
              <w:adjustRightInd w:val="0"/>
              <w:snapToGrid w:val="0"/>
              <w:spacing w:line="240" w:lineRule="auto"/>
              <w:jc w:val="center"/>
              <w:rPr>
                <w:color w:val="FF0000"/>
                <w:sz w:val="21"/>
                <w:szCs w:val="21"/>
              </w:rPr>
            </w:pPr>
            <w:r>
              <w:rPr>
                <w:color w:val="FF0000"/>
                <w:sz w:val="21"/>
                <w:szCs w:val="21"/>
              </w:rPr>
              <w:t>车道中心线距离道路中线的距离(m)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3" w:hRule="atLeast"/>
          <w:jc w:val="center"/>
        </w:trPr>
        <w:tc>
          <w:tcPr>
            <w:tcW w:w="663" w:type="dxa"/>
            <w:vMerge w:val="continue"/>
            <w:vAlign w:val="center"/>
          </w:tcPr>
          <w:p>
            <w:pPr>
              <w:widowControl/>
              <w:adjustRightInd w:val="0"/>
              <w:snapToGrid w:val="0"/>
              <w:spacing w:line="240" w:lineRule="auto"/>
              <w:jc w:val="center"/>
              <w:rPr>
                <w:color w:val="FF0000"/>
                <w:sz w:val="21"/>
                <w:szCs w:val="21"/>
              </w:rPr>
            </w:pPr>
          </w:p>
        </w:tc>
        <w:tc>
          <w:tcPr>
            <w:tcW w:w="684" w:type="dxa"/>
            <w:vMerge w:val="continue"/>
            <w:vAlign w:val="center"/>
          </w:tcPr>
          <w:p>
            <w:pPr>
              <w:widowControl/>
              <w:adjustRightInd w:val="0"/>
              <w:snapToGrid w:val="0"/>
              <w:spacing w:line="240" w:lineRule="auto"/>
              <w:jc w:val="center"/>
              <w:rPr>
                <w:color w:val="FF0000"/>
                <w:sz w:val="21"/>
                <w:szCs w:val="21"/>
              </w:rPr>
            </w:pPr>
          </w:p>
        </w:tc>
        <w:tc>
          <w:tcPr>
            <w:tcW w:w="737" w:type="dxa"/>
            <w:vAlign w:val="center"/>
          </w:tcPr>
          <w:p>
            <w:pPr>
              <w:adjustRightInd w:val="0"/>
              <w:snapToGrid w:val="0"/>
              <w:spacing w:line="240" w:lineRule="auto"/>
              <w:jc w:val="center"/>
              <w:rPr>
                <w:color w:val="FF0000"/>
                <w:sz w:val="21"/>
                <w:szCs w:val="21"/>
              </w:rPr>
            </w:pPr>
            <w:r>
              <w:rPr>
                <w:color w:val="FF0000"/>
                <w:sz w:val="21"/>
                <w:szCs w:val="21"/>
              </w:rPr>
              <w:t>特征年</w:t>
            </w:r>
          </w:p>
        </w:tc>
        <w:tc>
          <w:tcPr>
            <w:tcW w:w="687" w:type="dxa"/>
            <w:vAlign w:val="center"/>
          </w:tcPr>
          <w:p>
            <w:pPr>
              <w:adjustRightInd w:val="0"/>
              <w:snapToGrid w:val="0"/>
              <w:spacing w:line="240" w:lineRule="auto"/>
              <w:jc w:val="center"/>
              <w:rPr>
                <w:color w:val="FF0000"/>
                <w:sz w:val="21"/>
                <w:szCs w:val="21"/>
              </w:rPr>
            </w:pPr>
            <w:r>
              <w:rPr>
                <w:color w:val="FF0000"/>
                <w:sz w:val="21"/>
                <w:szCs w:val="21"/>
              </w:rPr>
              <w:t>时段</w:t>
            </w:r>
          </w:p>
        </w:tc>
        <w:tc>
          <w:tcPr>
            <w:tcW w:w="687" w:type="dxa"/>
            <w:vAlign w:val="center"/>
          </w:tcPr>
          <w:p>
            <w:pPr>
              <w:adjustRightInd w:val="0"/>
              <w:snapToGrid w:val="0"/>
              <w:spacing w:line="240" w:lineRule="auto"/>
              <w:jc w:val="center"/>
              <w:rPr>
                <w:color w:val="FF0000"/>
                <w:sz w:val="21"/>
                <w:szCs w:val="21"/>
              </w:rPr>
            </w:pPr>
            <w:r>
              <w:rPr>
                <w:color w:val="FF0000"/>
                <w:sz w:val="21"/>
                <w:szCs w:val="21"/>
              </w:rPr>
              <w:t>小</w:t>
            </w:r>
            <w:r>
              <w:rPr>
                <w:rFonts w:hint="eastAsia"/>
                <w:color w:val="FF0000"/>
                <w:sz w:val="21"/>
                <w:szCs w:val="21"/>
                <w:lang w:val="en-US" w:eastAsia="zh-CN"/>
              </w:rPr>
              <w:t>型</w:t>
            </w:r>
            <w:r>
              <w:rPr>
                <w:color w:val="FF0000"/>
                <w:sz w:val="21"/>
                <w:szCs w:val="21"/>
              </w:rPr>
              <w:t>车</w:t>
            </w:r>
          </w:p>
        </w:tc>
        <w:tc>
          <w:tcPr>
            <w:tcW w:w="721" w:type="dxa"/>
            <w:vAlign w:val="center"/>
          </w:tcPr>
          <w:p>
            <w:pPr>
              <w:adjustRightInd w:val="0"/>
              <w:snapToGrid w:val="0"/>
              <w:spacing w:line="240" w:lineRule="auto"/>
              <w:jc w:val="center"/>
              <w:rPr>
                <w:color w:val="FF0000"/>
                <w:sz w:val="21"/>
                <w:szCs w:val="21"/>
              </w:rPr>
            </w:pPr>
            <w:r>
              <w:rPr>
                <w:color w:val="FF0000"/>
                <w:sz w:val="21"/>
                <w:szCs w:val="21"/>
              </w:rPr>
              <w:t>中</w:t>
            </w:r>
            <w:r>
              <w:rPr>
                <w:rFonts w:hint="eastAsia"/>
                <w:color w:val="FF0000"/>
                <w:sz w:val="21"/>
                <w:szCs w:val="21"/>
                <w:lang w:val="en-US" w:eastAsia="zh-CN"/>
              </w:rPr>
              <w:t>型</w:t>
            </w:r>
            <w:r>
              <w:rPr>
                <w:color w:val="FF0000"/>
                <w:sz w:val="21"/>
                <w:szCs w:val="21"/>
              </w:rPr>
              <w:t>车</w:t>
            </w:r>
          </w:p>
        </w:tc>
        <w:tc>
          <w:tcPr>
            <w:tcW w:w="679" w:type="dxa"/>
            <w:vAlign w:val="center"/>
          </w:tcPr>
          <w:p>
            <w:pPr>
              <w:adjustRightInd w:val="0"/>
              <w:snapToGrid w:val="0"/>
              <w:spacing w:line="240" w:lineRule="auto"/>
              <w:jc w:val="center"/>
              <w:rPr>
                <w:color w:val="FF0000"/>
                <w:sz w:val="21"/>
                <w:szCs w:val="21"/>
              </w:rPr>
            </w:pPr>
            <w:r>
              <w:rPr>
                <w:color w:val="FF0000"/>
                <w:sz w:val="21"/>
                <w:szCs w:val="21"/>
              </w:rPr>
              <w:t>大</w:t>
            </w:r>
            <w:r>
              <w:rPr>
                <w:rFonts w:hint="eastAsia"/>
                <w:color w:val="FF0000"/>
                <w:sz w:val="21"/>
                <w:szCs w:val="21"/>
                <w:lang w:val="en-US" w:eastAsia="zh-CN"/>
              </w:rPr>
              <w:t>型</w:t>
            </w:r>
            <w:r>
              <w:rPr>
                <w:color w:val="FF0000"/>
                <w:sz w:val="21"/>
                <w:szCs w:val="21"/>
              </w:rPr>
              <w:t>车</w:t>
            </w:r>
          </w:p>
        </w:tc>
        <w:tc>
          <w:tcPr>
            <w:tcW w:w="815" w:type="dxa"/>
            <w:vMerge w:val="continue"/>
            <w:vAlign w:val="center"/>
          </w:tcPr>
          <w:p>
            <w:pPr>
              <w:widowControl/>
              <w:adjustRightInd w:val="0"/>
              <w:snapToGrid w:val="0"/>
              <w:spacing w:line="240" w:lineRule="auto"/>
              <w:jc w:val="center"/>
              <w:rPr>
                <w:color w:val="FF0000"/>
                <w:sz w:val="21"/>
                <w:szCs w:val="21"/>
              </w:rPr>
            </w:pPr>
          </w:p>
        </w:tc>
        <w:tc>
          <w:tcPr>
            <w:tcW w:w="694" w:type="dxa"/>
            <w:vMerge w:val="continue"/>
            <w:vAlign w:val="center"/>
          </w:tcPr>
          <w:p>
            <w:pPr>
              <w:widowControl/>
              <w:adjustRightInd w:val="0"/>
              <w:snapToGrid w:val="0"/>
              <w:spacing w:line="240" w:lineRule="auto"/>
              <w:jc w:val="center"/>
              <w:rPr>
                <w:color w:val="FF0000"/>
                <w:sz w:val="21"/>
                <w:szCs w:val="21"/>
              </w:rPr>
            </w:pPr>
          </w:p>
        </w:tc>
        <w:tc>
          <w:tcPr>
            <w:tcW w:w="605" w:type="dxa"/>
            <w:vMerge w:val="continue"/>
            <w:vAlign w:val="center"/>
          </w:tcPr>
          <w:p>
            <w:pPr>
              <w:widowControl/>
              <w:adjustRightInd w:val="0"/>
              <w:snapToGrid w:val="0"/>
              <w:spacing w:line="240" w:lineRule="auto"/>
              <w:jc w:val="center"/>
              <w:rPr>
                <w:color w:val="FF0000"/>
                <w:sz w:val="21"/>
                <w:szCs w:val="21"/>
              </w:rPr>
            </w:pPr>
          </w:p>
        </w:tc>
        <w:tc>
          <w:tcPr>
            <w:tcW w:w="1403" w:type="dxa"/>
            <w:vMerge w:val="continue"/>
            <w:vAlign w:val="center"/>
          </w:tcPr>
          <w:p>
            <w:pPr>
              <w:widowControl/>
              <w:adjustRightInd w:val="0"/>
              <w:snapToGrid w:val="0"/>
              <w:spacing w:line="240" w:lineRule="auto"/>
              <w:jc w:val="center"/>
              <w:rPr>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restart"/>
            <w:vAlign w:val="center"/>
          </w:tcPr>
          <w:p>
            <w:pPr>
              <w:adjustRightInd w:val="0"/>
              <w:snapToGrid w:val="0"/>
              <w:jc w:val="center"/>
              <w:rPr>
                <w:rFonts w:hint="default"/>
                <w:color w:val="FF0000"/>
                <w:szCs w:val="21"/>
                <w:lang w:val="en-US"/>
              </w:rPr>
            </w:pPr>
            <w:r>
              <w:rPr>
                <w:rFonts w:hint="eastAsia"/>
                <w:color w:val="FF0000"/>
                <w:sz w:val="21"/>
                <w:szCs w:val="21"/>
                <w:highlight w:val="none"/>
                <w:lang w:val="en-US" w:eastAsia="zh-CN"/>
              </w:rPr>
              <w:t>S504</w:t>
            </w:r>
          </w:p>
        </w:tc>
        <w:tc>
          <w:tcPr>
            <w:tcW w:w="684" w:type="dxa"/>
            <w:vMerge w:val="restart"/>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40</w:t>
            </w:r>
          </w:p>
        </w:tc>
        <w:tc>
          <w:tcPr>
            <w:tcW w:w="737" w:type="dxa"/>
            <w:vMerge w:val="restart"/>
            <w:vAlign w:val="center"/>
          </w:tcPr>
          <w:p>
            <w:pPr>
              <w:adjustRightInd w:val="0"/>
              <w:snapToGrid w:val="0"/>
              <w:jc w:val="center"/>
              <w:rPr>
                <w:rFonts w:hint="default" w:eastAsia="宋体"/>
                <w:color w:val="FF0000"/>
                <w:szCs w:val="21"/>
                <w:lang w:val="en-US" w:eastAsia="zh-CN"/>
              </w:rPr>
            </w:pPr>
            <w:r>
              <w:rPr>
                <w:color w:val="FF0000"/>
                <w:szCs w:val="21"/>
              </w:rPr>
              <w:t>20</w:t>
            </w:r>
            <w:r>
              <w:rPr>
                <w:rFonts w:hint="eastAsia"/>
                <w:color w:val="FF0000"/>
                <w:szCs w:val="21"/>
                <w:lang w:val="en-US" w:eastAsia="zh-CN"/>
              </w:rPr>
              <w:t>24</w:t>
            </w:r>
          </w:p>
        </w:tc>
        <w:tc>
          <w:tcPr>
            <w:tcW w:w="687" w:type="dxa"/>
            <w:vAlign w:val="center"/>
          </w:tcPr>
          <w:p>
            <w:pPr>
              <w:adjustRightInd w:val="0"/>
              <w:snapToGrid w:val="0"/>
              <w:jc w:val="center"/>
              <w:rPr>
                <w:color w:val="FF0000"/>
                <w:szCs w:val="21"/>
              </w:rPr>
            </w:pPr>
            <w:r>
              <w:rPr>
                <w:color w:val="FF0000"/>
                <w:szCs w:val="21"/>
              </w:rPr>
              <w:t>昼间</w:t>
            </w:r>
          </w:p>
        </w:tc>
        <w:tc>
          <w:tcPr>
            <w:tcW w:w="687" w:type="dxa"/>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268</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293</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192</w:t>
            </w:r>
          </w:p>
        </w:tc>
        <w:tc>
          <w:tcPr>
            <w:tcW w:w="815" w:type="dxa"/>
            <w:vMerge w:val="restart"/>
            <w:vAlign w:val="center"/>
          </w:tcPr>
          <w:p>
            <w:pPr>
              <w:adjustRightInd w:val="0"/>
              <w:snapToGrid w:val="0"/>
              <w:jc w:val="center"/>
              <w:rPr>
                <w:color w:val="FF0000"/>
                <w:szCs w:val="21"/>
              </w:rPr>
            </w:pPr>
            <w:r>
              <w:rPr>
                <w:color w:val="FF0000"/>
                <w:szCs w:val="21"/>
              </w:rPr>
              <w:t>沥青</w:t>
            </w:r>
          </w:p>
          <w:p>
            <w:pPr>
              <w:adjustRightInd w:val="0"/>
              <w:snapToGrid w:val="0"/>
              <w:jc w:val="center"/>
              <w:rPr>
                <w:color w:val="FF0000"/>
                <w:szCs w:val="21"/>
              </w:rPr>
            </w:pPr>
            <w:r>
              <w:rPr>
                <w:color w:val="FF0000"/>
                <w:szCs w:val="21"/>
              </w:rPr>
              <w:t>混凝</w:t>
            </w:r>
          </w:p>
          <w:p>
            <w:pPr>
              <w:adjustRightInd w:val="0"/>
              <w:snapToGrid w:val="0"/>
              <w:jc w:val="center"/>
              <w:rPr>
                <w:color w:val="FF0000"/>
                <w:szCs w:val="21"/>
              </w:rPr>
            </w:pPr>
            <w:r>
              <w:rPr>
                <w:color w:val="FF0000"/>
                <w:szCs w:val="21"/>
              </w:rPr>
              <w:t>土</w:t>
            </w:r>
          </w:p>
        </w:tc>
        <w:tc>
          <w:tcPr>
            <w:tcW w:w="694" w:type="dxa"/>
            <w:vMerge w:val="restart"/>
            <w:vAlign w:val="center"/>
          </w:tcPr>
          <w:p>
            <w:pPr>
              <w:adjustRightInd w:val="0"/>
              <w:snapToGrid w:val="0"/>
              <w:jc w:val="center"/>
              <w:rPr>
                <w:rFonts w:hint="default" w:eastAsia="宋体"/>
                <w:color w:val="FF0000"/>
                <w:szCs w:val="21"/>
                <w:lang w:val="en-US" w:eastAsia="zh-CN"/>
              </w:rPr>
            </w:pPr>
            <w:r>
              <w:rPr>
                <w:rFonts w:hint="eastAsia"/>
                <w:color w:val="FF0000"/>
                <w:szCs w:val="21"/>
                <w:lang w:val="en-US" w:eastAsia="zh-CN"/>
              </w:rPr>
              <w:t>7.5</w:t>
            </w:r>
          </w:p>
        </w:tc>
        <w:tc>
          <w:tcPr>
            <w:tcW w:w="605" w:type="dxa"/>
            <w:vMerge w:val="restart"/>
            <w:vAlign w:val="center"/>
          </w:tcPr>
          <w:p>
            <w:pPr>
              <w:adjustRightInd w:val="0"/>
              <w:snapToGrid w:val="0"/>
              <w:ind w:firstLine="105" w:firstLineChars="50"/>
              <w:jc w:val="center"/>
              <w:rPr>
                <w:rFonts w:hint="eastAsia" w:eastAsia="宋体"/>
                <w:color w:val="FF0000"/>
                <w:szCs w:val="21"/>
                <w:lang w:eastAsia="zh-CN"/>
              </w:rPr>
            </w:pPr>
            <w:r>
              <w:rPr>
                <w:rFonts w:hint="eastAsia"/>
                <w:color w:val="FF0000"/>
                <w:szCs w:val="21"/>
                <w:lang w:val="en-US" w:eastAsia="zh-CN"/>
              </w:rPr>
              <w:t>2</w:t>
            </w:r>
          </w:p>
        </w:tc>
        <w:tc>
          <w:tcPr>
            <w:tcW w:w="1403" w:type="dxa"/>
            <w:vMerge w:val="restart"/>
            <w:vAlign w:val="center"/>
          </w:tcPr>
          <w:p>
            <w:pPr>
              <w:adjustRightInd w:val="0"/>
              <w:snapToGrid w:val="0"/>
              <w:jc w:val="center"/>
              <w:rPr>
                <w:rFonts w:hint="default" w:eastAsia="宋体"/>
                <w:color w:val="FF0000"/>
                <w:szCs w:val="21"/>
                <w:lang w:val="en-US" w:eastAsia="zh-CN"/>
              </w:rPr>
            </w:pPr>
            <w:r>
              <w:rPr>
                <w:color w:val="FF0000"/>
                <w:szCs w:val="21"/>
              </w:rPr>
              <w:t>-</w:t>
            </w:r>
            <w:r>
              <w:rPr>
                <w:rFonts w:hint="eastAsia"/>
                <w:color w:val="FF0000"/>
                <w:szCs w:val="21"/>
                <w:lang w:val="en-US" w:eastAsia="zh-CN"/>
              </w:rPr>
              <w:t>1.75</w:t>
            </w:r>
            <w:r>
              <w:rPr>
                <w:color w:val="FF0000"/>
                <w:szCs w:val="21"/>
              </w:rPr>
              <w:t>，</w:t>
            </w:r>
            <w:r>
              <w:rPr>
                <w:rFonts w:hint="eastAsia"/>
                <w:color w:val="FF0000"/>
                <w:szCs w:val="21"/>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continue"/>
            <w:vAlign w:val="center"/>
          </w:tcPr>
          <w:p>
            <w:pPr>
              <w:widowControl/>
              <w:adjustRightInd w:val="0"/>
              <w:snapToGrid w:val="0"/>
              <w:jc w:val="center"/>
              <w:rPr>
                <w:color w:val="FF0000"/>
                <w:szCs w:val="21"/>
              </w:rPr>
            </w:pPr>
          </w:p>
        </w:tc>
        <w:tc>
          <w:tcPr>
            <w:tcW w:w="684" w:type="dxa"/>
            <w:vMerge w:val="continue"/>
            <w:vAlign w:val="center"/>
          </w:tcPr>
          <w:p>
            <w:pPr>
              <w:widowControl/>
              <w:adjustRightInd w:val="0"/>
              <w:snapToGrid w:val="0"/>
              <w:jc w:val="center"/>
              <w:rPr>
                <w:color w:val="FF0000"/>
                <w:szCs w:val="21"/>
              </w:rPr>
            </w:pPr>
          </w:p>
        </w:tc>
        <w:tc>
          <w:tcPr>
            <w:tcW w:w="737" w:type="dxa"/>
            <w:vMerge w:val="continue"/>
            <w:vAlign w:val="center"/>
          </w:tcPr>
          <w:p>
            <w:pPr>
              <w:widowControl/>
              <w:adjustRightInd w:val="0"/>
              <w:snapToGrid w:val="0"/>
              <w:jc w:val="center"/>
              <w:rPr>
                <w:color w:val="FF0000"/>
                <w:szCs w:val="21"/>
              </w:rPr>
            </w:pPr>
          </w:p>
        </w:tc>
        <w:tc>
          <w:tcPr>
            <w:tcW w:w="687" w:type="dxa"/>
            <w:vAlign w:val="center"/>
          </w:tcPr>
          <w:p>
            <w:pPr>
              <w:adjustRightInd w:val="0"/>
              <w:snapToGrid w:val="0"/>
              <w:jc w:val="center"/>
              <w:rPr>
                <w:color w:val="FF0000"/>
                <w:szCs w:val="21"/>
              </w:rPr>
            </w:pPr>
            <w:r>
              <w:rPr>
                <w:color w:val="FF0000"/>
                <w:szCs w:val="21"/>
              </w:rPr>
              <w:t>夜间</w:t>
            </w:r>
          </w:p>
        </w:tc>
        <w:tc>
          <w:tcPr>
            <w:tcW w:w="687"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67</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73</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48</w:t>
            </w:r>
          </w:p>
        </w:tc>
        <w:tc>
          <w:tcPr>
            <w:tcW w:w="815" w:type="dxa"/>
            <w:vMerge w:val="continue"/>
            <w:vAlign w:val="center"/>
          </w:tcPr>
          <w:p>
            <w:pPr>
              <w:widowControl/>
              <w:adjustRightInd w:val="0"/>
              <w:snapToGrid w:val="0"/>
              <w:jc w:val="center"/>
              <w:rPr>
                <w:color w:val="FF0000"/>
                <w:szCs w:val="21"/>
              </w:rPr>
            </w:pPr>
          </w:p>
        </w:tc>
        <w:tc>
          <w:tcPr>
            <w:tcW w:w="694" w:type="dxa"/>
            <w:vMerge w:val="continue"/>
            <w:vAlign w:val="center"/>
          </w:tcPr>
          <w:p>
            <w:pPr>
              <w:widowControl/>
              <w:adjustRightInd w:val="0"/>
              <w:snapToGrid w:val="0"/>
              <w:jc w:val="center"/>
              <w:rPr>
                <w:color w:val="FF0000"/>
                <w:szCs w:val="21"/>
              </w:rPr>
            </w:pPr>
          </w:p>
        </w:tc>
        <w:tc>
          <w:tcPr>
            <w:tcW w:w="605" w:type="dxa"/>
            <w:vMerge w:val="continue"/>
            <w:vAlign w:val="center"/>
          </w:tcPr>
          <w:p>
            <w:pPr>
              <w:widowControl/>
              <w:adjustRightInd w:val="0"/>
              <w:snapToGrid w:val="0"/>
              <w:jc w:val="center"/>
              <w:rPr>
                <w:color w:val="FF0000"/>
                <w:szCs w:val="21"/>
              </w:rPr>
            </w:pPr>
          </w:p>
        </w:tc>
        <w:tc>
          <w:tcPr>
            <w:tcW w:w="1403" w:type="dxa"/>
            <w:vMerge w:val="continue"/>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continue"/>
            <w:vAlign w:val="center"/>
          </w:tcPr>
          <w:p>
            <w:pPr>
              <w:widowControl/>
              <w:adjustRightInd w:val="0"/>
              <w:snapToGrid w:val="0"/>
              <w:jc w:val="center"/>
              <w:rPr>
                <w:color w:val="FF0000"/>
                <w:szCs w:val="21"/>
              </w:rPr>
            </w:pPr>
          </w:p>
        </w:tc>
        <w:tc>
          <w:tcPr>
            <w:tcW w:w="684" w:type="dxa"/>
            <w:vMerge w:val="continue"/>
            <w:vAlign w:val="center"/>
          </w:tcPr>
          <w:p>
            <w:pPr>
              <w:widowControl/>
              <w:adjustRightInd w:val="0"/>
              <w:snapToGrid w:val="0"/>
              <w:jc w:val="center"/>
              <w:rPr>
                <w:color w:val="FF0000"/>
                <w:szCs w:val="21"/>
              </w:rPr>
            </w:pPr>
          </w:p>
        </w:tc>
        <w:tc>
          <w:tcPr>
            <w:tcW w:w="737" w:type="dxa"/>
            <w:vMerge w:val="restart"/>
            <w:vAlign w:val="center"/>
          </w:tcPr>
          <w:p>
            <w:pPr>
              <w:adjustRightInd w:val="0"/>
              <w:snapToGrid w:val="0"/>
              <w:jc w:val="center"/>
              <w:rPr>
                <w:rFonts w:hint="default" w:eastAsia="宋体"/>
                <w:color w:val="FF0000"/>
                <w:szCs w:val="21"/>
                <w:lang w:val="en-US" w:eastAsia="zh-CN"/>
              </w:rPr>
            </w:pPr>
            <w:r>
              <w:rPr>
                <w:color w:val="FF0000"/>
                <w:szCs w:val="21"/>
              </w:rPr>
              <w:t>20</w:t>
            </w:r>
            <w:r>
              <w:rPr>
                <w:rFonts w:hint="eastAsia"/>
                <w:color w:val="FF0000"/>
                <w:szCs w:val="21"/>
                <w:lang w:val="en-US" w:eastAsia="zh-CN"/>
              </w:rPr>
              <w:t>30</w:t>
            </w:r>
          </w:p>
        </w:tc>
        <w:tc>
          <w:tcPr>
            <w:tcW w:w="687" w:type="dxa"/>
            <w:vAlign w:val="center"/>
          </w:tcPr>
          <w:p>
            <w:pPr>
              <w:adjustRightInd w:val="0"/>
              <w:snapToGrid w:val="0"/>
              <w:jc w:val="center"/>
              <w:rPr>
                <w:color w:val="FF0000"/>
                <w:szCs w:val="21"/>
              </w:rPr>
            </w:pPr>
            <w:r>
              <w:rPr>
                <w:color w:val="FF0000"/>
                <w:szCs w:val="21"/>
              </w:rPr>
              <w:t>昼间</w:t>
            </w:r>
          </w:p>
        </w:tc>
        <w:tc>
          <w:tcPr>
            <w:tcW w:w="687"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326</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351</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241</w:t>
            </w:r>
          </w:p>
        </w:tc>
        <w:tc>
          <w:tcPr>
            <w:tcW w:w="815" w:type="dxa"/>
            <w:vMerge w:val="continue"/>
            <w:vAlign w:val="center"/>
          </w:tcPr>
          <w:p>
            <w:pPr>
              <w:widowControl/>
              <w:adjustRightInd w:val="0"/>
              <w:snapToGrid w:val="0"/>
              <w:jc w:val="center"/>
              <w:rPr>
                <w:color w:val="FF0000"/>
                <w:szCs w:val="21"/>
              </w:rPr>
            </w:pPr>
          </w:p>
        </w:tc>
        <w:tc>
          <w:tcPr>
            <w:tcW w:w="694" w:type="dxa"/>
            <w:vMerge w:val="continue"/>
            <w:vAlign w:val="center"/>
          </w:tcPr>
          <w:p>
            <w:pPr>
              <w:widowControl/>
              <w:adjustRightInd w:val="0"/>
              <w:snapToGrid w:val="0"/>
              <w:jc w:val="center"/>
              <w:rPr>
                <w:color w:val="FF0000"/>
                <w:szCs w:val="21"/>
              </w:rPr>
            </w:pPr>
          </w:p>
        </w:tc>
        <w:tc>
          <w:tcPr>
            <w:tcW w:w="605" w:type="dxa"/>
            <w:vMerge w:val="continue"/>
            <w:vAlign w:val="center"/>
          </w:tcPr>
          <w:p>
            <w:pPr>
              <w:widowControl/>
              <w:adjustRightInd w:val="0"/>
              <w:snapToGrid w:val="0"/>
              <w:jc w:val="center"/>
              <w:rPr>
                <w:color w:val="FF0000"/>
                <w:szCs w:val="21"/>
              </w:rPr>
            </w:pPr>
          </w:p>
        </w:tc>
        <w:tc>
          <w:tcPr>
            <w:tcW w:w="1403" w:type="dxa"/>
            <w:vMerge w:val="continue"/>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continue"/>
            <w:vAlign w:val="center"/>
          </w:tcPr>
          <w:p>
            <w:pPr>
              <w:widowControl/>
              <w:adjustRightInd w:val="0"/>
              <w:snapToGrid w:val="0"/>
              <w:jc w:val="center"/>
              <w:rPr>
                <w:color w:val="FF0000"/>
                <w:szCs w:val="21"/>
              </w:rPr>
            </w:pPr>
          </w:p>
        </w:tc>
        <w:tc>
          <w:tcPr>
            <w:tcW w:w="684" w:type="dxa"/>
            <w:vMerge w:val="continue"/>
            <w:vAlign w:val="center"/>
          </w:tcPr>
          <w:p>
            <w:pPr>
              <w:widowControl/>
              <w:adjustRightInd w:val="0"/>
              <w:snapToGrid w:val="0"/>
              <w:jc w:val="center"/>
              <w:rPr>
                <w:color w:val="FF0000"/>
                <w:szCs w:val="21"/>
              </w:rPr>
            </w:pPr>
          </w:p>
        </w:tc>
        <w:tc>
          <w:tcPr>
            <w:tcW w:w="737" w:type="dxa"/>
            <w:vMerge w:val="continue"/>
            <w:vAlign w:val="center"/>
          </w:tcPr>
          <w:p>
            <w:pPr>
              <w:widowControl/>
              <w:adjustRightInd w:val="0"/>
              <w:snapToGrid w:val="0"/>
              <w:jc w:val="center"/>
              <w:rPr>
                <w:color w:val="FF0000"/>
                <w:szCs w:val="21"/>
              </w:rPr>
            </w:pPr>
          </w:p>
        </w:tc>
        <w:tc>
          <w:tcPr>
            <w:tcW w:w="687" w:type="dxa"/>
            <w:vAlign w:val="center"/>
          </w:tcPr>
          <w:p>
            <w:pPr>
              <w:adjustRightInd w:val="0"/>
              <w:snapToGrid w:val="0"/>
              <w:jc w:val="center"/>
              <w:rPr>
                <w:color w:val="FF0000"/>
                <w:szCs w:val="21"/>
              </w:rPr>
            </w:pPr>
            <w:r>
              <w:rPr>
                <w:color w:val="FF0000"/>
                <w:szCs w:val="21"/>
              </w:rPr>
              <w:t>夜间</w:t>
            </w:r>
          </w:p>
        </w:tc>
        <w:tc>
          <w:tcPr>
            <w:tcW w:w="687"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82</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88</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60</w:t>
            </w:r>
          </w:p>
        </w:tc>
        <w:tc>
          <w:tcPr>
            <w:tcW w:w="815" w:type="dxa"/>
            <w:vMerge w:val="continue"/>
            <w:vAlign w:val="center"/>
          </w:tcPr>
          <w:p>
            <w:pPr>
              <w:widowControl/>
              <w:adjustRightInd w:val="0"/>
              <w:snapToGrid w:val="0"/>
              <w:jc w:val="center"/>
              <w:rPr>
                <w:color w:val="FF0000"/>
                <w:szCs w:val="21"/>
              </w:rPr>
            </w:pPr>
          </w:p>
        </w:tc>
        <w:tc>
          <w:tcPr>
            <w:tcW w:w="694" w:type="dxa"/>
            <w:vMerge w:val="continue"/>
            <w:vAlign w:val="center"/>
          </w:tcPr>
          <w:p>
            <w:pPr>
              <w:widowControl/>
              <w:adjustRightInd w:val="0"/>
              <w:snapToGrid w:val="0"/>
              <w:jc w:val="center"/>
              <w:rPr>
                <w:color w:val="FF0000"/>
                <w:szCs w:val="21"/>
              </w:rPr>
            </w:pPr>
          </w:p>
        </w:tc>
        <w:tc>
          <w:tcPr>
            <w:tcW w:w="605" w:type="dxa"/>
            <w:vMerge w:val="continue"/>
            <w:vAlign w:val="center"/>
          </w:tcPr>
          <w:p>
            <w:pPr>
              <w:widowControl/>
              <w:adjustRightInd w:val="0"/>
              <w:snapToGrid w:val="0"/>
              <w:jc w:val="center"/>
              <w:rPr>
                <w:color w:val="FF0000"/>
                <w:szCs w:val="21"/>
              </w:rPr>
            </w:pPr>
          </w:p>
        </w:tc>
        <w:tc>
          <w:tcPr>
            <w:tcW w:w="1403" w:type="dxa"/>
            <w:vMerge w:val="continue"/>
            <w:vAlign w:val="center"/>
          </w:tcPr>
          <w:p>
            <w:pPr>
              <w:widowControl/>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continue"/>
            <w:vAlign w:val="center"/>
          </w:tcPr>
          <w:p>
            <w:pPr>
              <w:widowControl/>
              <w:adjustRightInd w:val="0"/>
              <w:snapToGrid w:val="0"/>
              <w:jc w:val="center"/>
              <w:rPr>
                <w:color w:val="FF0000"/>
                <w:szCs w:val="21"/>
              </w:rPr>
            </w:pPr>
          </w:p>
        </w:tc>
        <w:tc>
          <w:tcPr>
            <w:tcW w:w="684" w:type="dxa"/>
            <w:vMerge w:val="continue"/>
            <w:vAlign w:val="center"/>
          </w:tcPr>
          <w:p>
            <w:pPr>
              <w:widowControl/>
              <w:adjustRightInd w:val="0"/>
              <w:snapToGrid w:val="0"/>
              <w:jc w:val="center"/>
              <w:rPr>
                <w:color w:val="FF0000"/>
                <w:szCs w:val="21"/>
              </w:rPr>
            </w:pPr>
          </w:p>
        </w:tc>
        <w:tc>
          <w:tcPr>
            <w:tcW w:w="737" w:type="dxa"/>
            <w:vMerge w:val="restart"/>
            <w:vAlign w:val="center"/>
          </w:tcPr>
          <w:p>
            <w:pPr>
              <w:adjustRightInd w:val="0"/>
              <w:snapToGrid w:val="0"/>
              <w:jc w:val="center"/>
              <w:rPr>
                <w:rFonts w:hint="eastAsia" w:eastAsia="宋体"/>
                <w:color w:val="FF0000"/>
                <w:szCs w:val="21"/>
                <w:lang w:eastAsia="zh-CN"/>
              </w:rPr>
            </w:pPr>
            <w:r>
              <w:rPr>
                <w:color w:val="FF0000"/>
                <w:szCs w:val="21"/>
              </w:rPr>
              <w:t>203</w:t>
            </w:r>
            <w:r>
              <w:rPr>
                <w:rFonts w:hint="eastAsia"/>
                <w:color w:val="FF0000"/>
                <w:szCs w:val="21"/>
                <w:lang w:val="en-US" w:eastAsia="zh-CN"/>
              </w:rPr>
              <w:t>8</w:t>
            </w:r>
          </w:p>
        </w:tc>
        <w:tc>
          <w:tcPr>
            <w:tcW w:w="687" w:type="dxa"/>
            <w:vAlign w:val="center"/>
          </w:tcPr>
          <w:p>
            <w:pPr>
              <w:adjustRightInd w:val="0"/>
              <w:snapToGrid w:val="0"/>
              <w:jc w:val="center"/>
              <w:rPr>
                <w:color w:val="FF0000"/>
                <w:szCs w:val="21"/>
              </w:rPr>
            </w:pPr>
            <w:r>
              <w:rPr>
                <w:color w:val="FF0000"/>
                <w:szCs w:val="21"/>
              </w:rPr>
              <w:t>昼间</w:t>
            </w:r>
          </w:p>
        </w:tc>
        <w:tc>
          <w:tcPr>
            <w:tcW w:w="687"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382</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414</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293</w:t>
            </w:r>
          </w:p>
        </w:tc>
        <w:tc>
          <w:tcPr>
            <w:tcW w:w="815" w:type="dxa"/>
            <w:vMerge w:val="continue"/>
            <w:vAlign w:val="center"/>
          </w:tcPr>
          <w:p>
            <w:pPr>
              <w:widowControl/>
              <w:adjustRightInd w:val="0"/>
              <w:snapToGrid w:val="0"/>
              <w:jc w:val="center"/>
              <w:rPr>
                <w:color w:val="FF0000"/>
                <w:szCs w:val="21"/>
              </w:rPr>
            </w:pPr>
          </w:p>
        </w:tc>
        <w:tc>
          <w:tcPr>
            <w:tcW w:w="694" w:type="dxa"/>
            <w:vMerge w:val="continue"/>
            <w:vAlign w:val="center"/>
          </w:tcPr>
          <w:p>
            <w:pPr>
              <w:widowControl/>
              <w:adjustRightInd w:val="0"/>
              <w:snapToGrid w:val="0"/>
              <w:jc w:val="center"/>
              <w:rPr>
                <w:color w:val="FF0000"/>
                <w:szCs w:val="21"/>
              </w:rPr>
            </w:pPr>
          </w:p>
        </w:tc>
        <w:tc>
          <w:tcPr>
            <w:tcW w:w="605" w:type="dxa"/>
            <w:vMerge w:val="continue"/>
            <w:vAlign w:val="center"/>
          </w:tcPr>
          <w:p>
            <w:pPr>
              <w:widowControl/>
              <w:adjustRightInd w:val="0"/>
              <w:snapToGrid w:val="0"/>
              <w:jc w:val="center"/>
              <w:rPr>
                <w:color w:val="FF0000"/>
                <w:szCs w:val="21"/>
              </w:rPr>
            </w:pPr>
          </w:p>
        </w:tc>
        <w:tc>
          <w:tcPr>
            <w:tcW w:w="1403" w:type="dxa"/>
            <w:vMerge w:val="continue"/>
            <w:vAlign w:val="center"/>
          </w:tcPr>
          <w:p>
            <w:pPr>
              <w:adjustRightInd w:val="0"/>
              <w:snapToGri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1" w:hRule="atLeast"/>
          <w:jc w:val="center"/>
        </w:trPr>
        <w:tc>
          <w:tcPr>
            <w:tcW w:w="663" w:type="dxa"/>
            <w:vMerge w:val="continue"/>
            <w:vAlign w:val="center"/>
          </w:tcPr>
          <w:p>
            <w:pPr>
              <w:widowControl/>
              <w:adjustRightInd w:val="0"/>
              <w:snapToGrid w:val="0"/>
              <w:jc w:val="center"/>
              <w:rPr>
                <w:color w:val="FF0000"/>
                <w:szCs w:val="21"/>
              </w:rPr>
            </w:pPr>
          </w:p>
        </w:tc>
        <w:tc>
          <w:tcPr>
            <w:tcW w:w="684" w:type="dxa"/>
            <w:vMerge w:val="continue"/>
            <w:vAlign w:val="center"/>
          </w:tcPr>
          <w:p>
            <w:pPr>
              <w:widowControl/>
              <w:adjustRightInd w:val="0"/>
              <w:snapToGrid w:val="0"/>
              <w:jc w:val="center"/>
              <w:rPr>
                <w:color w:val="FF0000"/>
                <w:szCs w:val="21"/>
              </w:rPr>
            </w:pPr>
          </w:p>
        </w:tc>
        <w:tc>
          <w:tcPr>
            <w:tcW w:w="737" w:type="dxa"/>
            <w:vMerge w:val="continue"/>
            <w:vAlign w:val="center"/>
          </w:tcPr>
          <w:p>
            <w:pPr>
              <w:widowControl/>
              <w:adjustRightInd w:val="0"/>
              <w:snapToGrid w:val="0"/>
              <w:jc w:val="center"/>
              <w:rPr>
                <w:color w:val="FF0000"/>
                <w:szCs w:val="21"/>
              </w:rPr>
            </w:pPr>
          </w:p>
        </w:tc>
        <w:tc>
          <w:tcPr>
            <w:tcW w:w="687" w:type="dxa"/>
            <w:vAlign w:val="center"/>
          </w:tcPr>
          <w:p>
            <w:pPr>
              <w:adjustRightInd w:val="0"/>
              <w:snapToGrid w:val="0"/>
              <w:jc w:val="center"/>
              <w:rPr>
                <w:color w:val="FF0000"/>
                <w:szCs w:val="21"/>
              </w:rPr>
            </w:pPr>
            <w:r>
              <w:rPr>
                <w:color w:val="FF0000"/>
                <w:szCs w:val="21"/>
              </w:rPr>
              <w:t>夜间</w:t>
            </w:r>
          </w:p>
        </w:tc>
        <w:tc>
          <w:tcPr>
            <w:tcW w:w="687"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96</w:t>
            </w:r>
          </w:p>
        </w:tc>
        <w:tc>
          <w:tcPr>
            <w:tcW w:w="721"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103</w:t>
            </w:r>
          </w:p>
        </w:tc>
        <w:tc>
          <w:tcPr>
            <w:tcW w:w="679" w:type="dxa"/>
            <w:vAlign w:val="center"/>
          </w:tcPr>
          <w:p>
            <w:pPr>
              <w:adjustRightInd w:val="0"/>
              <w:snapToGrid w:val="0"/>
              <w:jc w:val="center"/>
              <w:rPr>
                <w:rFonts w:hint="default" w:eastAsia="宋体"/>
                <w:color w:val="FF0000"/>
                <w:szCs w:val="21"/>
                <w:lang w:val="en-US" w:eastAsia="zh-CN"/>
              </w:rPr>
            </w:pPr>
            <w:r>
              <w:rPr>
                <w:rFonts w:hint="eastAsia" w:eastAsia="宋体"/>
                <w:color w:val="FF0000"/>
                <w:szCs w:val="21"/>
                <w:lang w:val="en-US" w:eastAsia="zh-CN"/>
              </w:rPr>
              <w:t>73</w:t>
            </w:r>
          </w:p>
        </w:tc>
        <w:tc>
          <w:tcPr>
            <w:tcW w:w="815" w:type="dxa"/>
            <w:vMerge w:val="continue"/>
            <w:vAlign w:val="center"/>
          </w:tcPr>
          <w:p>
            <w:pPr>
              <w:widowControl/>
              <w:adjustRightInd w:val="0"/>
              <w:snapToGrid w:val="0"/>
              <w:jc w:val="center"/>
              <w:rPr>
                <w:color w:val="FF0000"/>
                <w:szCs w:val="21"/>
              </w:rPr>
            </w:pPr>
          </w:p>
        </w:tc>
        <w:tc>
          <w:tcPr>
            <w:tcW w:w="694" w:type="dxa"/>
            <w:vMerge w:val="continue"/>
            <w:vAlign w:val="center"/>
          </w:tcPr>
          <w:p>
            <w:pPr>
              <w:widowControl/>
              <w:adjustRightInd w:val="0"/>
              <w:snapToGrid w:val="0"/>
              <w:jc w:val="center"/>
              <w:rPr>
                <w:color w:val="FF0000"/>
                <w:szCs w:val="21"/>
              </w:rPr>
            </w:pPr>
          </w:p>
        </w:tc>
        <w:tc>
          <w:tcPr>
            <w:tcW w:w="605" w:type="dxa"/>
            <w:vMerge w:val="continue"/>
            <w:vAlign w:val="center"/>
          </w:tcPr>
          <w:p>
            <w:pPr>
              <w:widowControl/>
              <w:adjustRightInd w:val="0"/>
              <w:snapToGrid w:val="0"/>
              <w:jc w:val="center"/>
              <w:rPr>
                <w:color w:val="FF0000"/>
                <w:szCs w:val="21"/>
              </w:rPr>
            </w:pPr>
          </w:p>
        </w:tc>
        <w:tc>
          <w:tcPr>
            <w:tcW w:w="1403" w:type="dxa"/>
            <w:vMerge w:val="continue"/>
            <w:vAlign w:val="center"/>
          </w:tcPr>
          <w:p>
            <w:pPr>
              <w:adjustRightInd w:val="0"/>
              <w:snapToGrid w:val="0"/>
              <w:jc w:val="center"/>
              <w:rPr>
                <w:color w:val="FF0000"/>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FF0000"/>
          <w:sz w:val="24"/>
        </w:rPr>
      </w:pPr>
      <w:r>
        <w:rPr>
          <w:rFonts w:hint="eastAsia"/>
          <w:color w:val="FF0000"/>
          <w:sz w:val="24"/>
        </w:rPr>
        <w:t>5</w:t>
      </w:r>
      <w:r>
        <w:rPr>
          <w:color w:val="FF0000"/>
          <w:sz w:val="24"/>
        </w:rPr>
        <w:t>.3.2预测点、预测断面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在不考虑高差、道路两侧建筑物分布的情况下，共设置两条水平预测断面。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断面1：设置于本道路边界北侧0~200m处，线段步长为</w:t>
      </w:r>
      <w:r>
        <w:rPr>
          <w:rFonts w:hint="eastAsia"/>
          <w:color w:val="FF0000"/>
          <w:sz w:val="24"/>
          <w:lang w:val="en-US" w:eastAsia="zh-CN"/>
        </w:rPr>
        <w:t>2</w:t>
      </w:r>
      <w:r>
        <w:rPr>
          <w:color w:val="FF0000"/>
          <w:sz w:val="24"/>
        </w:rPr>
        <w:t>m，预测高度1.2m；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断面2：设置于本道路边界南侧0~200m处，线段步长为</w:t>
      </w:r>
      <w:r>
        <w:rPr>
          <w:rFonts w:hint="eastAsia"/>
          <w:color w:val="FF0000"/>
          <w:sz w:val="24"/>
          <w:lang w:val="en-US" w:eastAsia="zh-CN"/>
        </w:rPr>
        <w:t>2</w:t>
      </w:r>
      <w:r>
        <w:rPr>
          <w:color w:val="FF0000"/>
          <w:sz w:val="24"/>
        </w:rPr>
        <w:t>m，预测高度1.2m；</w:t>
      </w:r>
    </w:p>
    <w:p>
      <w:pPr>
        <w:keepNext w:val="0"/>
        <w:keepLines w:val="0"/>
        <w:pageBreakBefore w:val="0"/>
        <w:widowControl w:val="0"/>
        <w:kinsoku/>
        <w:wordWrap/>
        <w:overflowPunct/>
        <w:topLinePunct w:val="0"/>
        <w:autoSpaceDE/>
        <w:autoSpaceDN/>
        <w:bidi w:val="0"/>
        <w:adjustRightInd w:val="0"/>
        <w:snapToGrid w:val="0"/>
        <w:spacing w:line="360" w:lineRule="auto"/>
        <w:ind w:firstLine="436" w:firstLineChars="182"/>
        <w:textAlignment w:val="auto"/>
        <w:rPr>
          <w:color w:val="FF0000"/>
          <w:sz w:val="24"/>
        </w:rPr>
      </w:pPr>
      <w:r>
        <w:rPr>
          <w:rFonts w:hint="eastAsia"/>
          <w:color w:val="FF0000"/>
          <w:sz w:val="24"/>
        </w:rPr>
        <w:t>5</w:t>
      </w:r>
      <w:r>
        <w:rPr>
          <w:color w:val="FF0000"/>
          <w:sz w:val="24"/>
        </w:rPr>
        <w:t>.3.3预测内容</w:t>
      </w:r>
    </w:p>
    <w:p>
      <w:pPr>
        <w:adjustRightInd w:val="0"/>
        <w:snapToGrid w:val="0"/>
        <w:spacing w:line="360" w:lineRule="auto"/>
        <w:ind w:firstLine="480" w:firstLineChars="200"/>
        <w:rPr>
          <w:color w:val="FF0000"/>
          <w:sz w:val="24"/>
        </w:rPr>
      </w:pPr>
      <w:r>
        <w:rPr>
          <w:color w:val="FF0000"/>
          <w:sz w:val="24"/>
        </w:rPr>
        <w:t>⑴根据本项目预测交通量，由模式预测本道路建成后，在理想路段（即不考虑建筑插入噪声损失），仅考虑交通噪声贡献情况下，对道路两侧200m范围内的水平声场进行预测，绘出等声线图，并给出交通噪声防护距离；</w:t>
      </w:r>
    </w:p>
    <w:p>
      <w:pPr>
        <w:adjustRightInd w:val="0"/>
        <w:snapToGrid w:val="0"/>
        <w:spacing w:line="360" w:lineRule="auto"/>
        <w:ind w:firstLine="480" w:firstLineChars="200"/>
        <w:rPr>
          <w:color w:val="FF0000"/>
          <w:sz w:val="24"/>
        </w:rPr>
      </w:pPr>
      <w:r>
        <w:rPr>
          <w:color w:val="FF0000"/>
          <w:sz w:val="24"/>
        </w:rPr>
        <w:t>⑵本项目建成达到设计流量后，由交通噪声预测值叠加相应的声环境背景值，预测各环境保护目标的声环境质量。</w:t>
      </w:r>
    </w:p>
    <w:p>
      <w:pPr>
        <w:adjustRightInd w:val="0"/>
        <w:snapToGrid w:val="0"/>
        <w:spacing w:line="360" w:lineRule="auto"/>
        <w:ind w:firstLine="436" w:firstLineChars="182"/>
        <w:rPr>
          <w:color w:val="FF0000"/>
          <w:sz w:val="24"/>
        </w:rPr>
      </w:pPr>
      <w:r>
        <w:rPr>
          <w:rFonts w:hint="eastAsia"/>
          <w:color w:val="FF0000"/>
          <w:sz w:val="24"/>
        </w:rPr>
        <w:t>5</w:t>
      </w:r>
      <w:r>
        <w:rPr>
          <w:color w:val="FF0000"/>
          <w:sz w:val="24"/>
        </w:rPr>
        <w:t>.3.4声环境影响预测及分析</w:t>
      </w:r>
    </w:p>
    <w:p>
      <w:pPr>
        <w:adjustRightInd w:val="0"/>
        <w:snapToGrid w:val="0"/>
        <w:spacing w:line="360" w:lineRule="auto"/>
        <w:ind w:firstLine="480" w:firstLineChars="200"/>
        <w:rPr>
          <w:color w:val="FF0000"/>
          <w:sz w:val="24"/>
        </w:rPr>
      </w:pPr>
      <w:bookmarkStart w:id="36" w:name="_Ref216693722"/>
      <w:r>
        <w:rPr>
          <w:color w:val="FF0000"/>
          <w:sz w:val="24"/>
        </w:rPr>
        <w:t>⑴水平声场分布预测结果分析</w:t>
      </w:r>
    </w:p>
    <w:p>
      <w:pPr>
        <w:adjustRightInd w:val="0"/>
        <w:snapToGrid w:val="0"/>
        <w:spacing w:line="360" w:lineRule="auto"/>
        <w:ind w:firstLine="480" w:firstLineChars="200"/>
        <w:rPr>
          <w:color w:val="FF0000"/>
          <w:sz w:val="24"/>
        </w:rPr>
      </w:pPr>
      <w:r>
        <w:rPr>
          <w:color w:val="FF0000"/>
          <w:sz w:val="24"/>
        </w:rPr>
        <w:t>为了解本项目水平声场分布情况，本次评价分别在道路两侧选择了两个典型的水平声场预测断面，该预测断面噪声分布不考虑高差、道路两侧建筑物的分布，仅考虑道路水平声场衰减情况，其各断面水平声场预测结果见表</w:t>
      </w:r>
      <w:r>
        <w:rPr>
          <w:rFonts w:hint="eastAsia"/>
          <w:color w:val="FF0000"/>
          <w:sz w:val="24"/>
          <w:lang w:val="en-US" w:eastAsia="zh-CN"/>
        </w:rPr>
        <w:t>10</w:t>
      </w:r>
      <w:r>
        <w:rPr>
          <w:color w:val="FF0000"/>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98"/>
        <w:jc w:val="center"/>
        <w:textAlignment w:val="auto"/>
        <w:rPr>
          <w:b/>
          <w:snapToGrid w:val="0"/>
          <w:color w:val="FF0000"/>
          <w:kern w:val="0"/>
          <w:sz w:val="21"/>
          <w:szCs w:val="21"/>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ind w:firstLine="198"/>
        <w:jc w:val="center"/>
        <w:textAlignment w:val="auto"/>
        <w:rPr>
          <w:b/>
          <w:snapToGrid w:val="0"/>
          <w:color w:val="FF0000"/>
          <w:kern w:val="0"/>
          <w:sz w:val="21"/>
          <w:szCs w:val="21"/>
        </w:rPr>
      </w:pPr>
      <w:r>
        <w:rPr>
          <w:b/>
          <w:snapToGrid w:val="0"/>
          <w:color w:val="FF0000"/>
          <w:kern w:val="0"/>
          <w:sz w:val="21"/>
          <w:szCs w:val="21"/>
        </w:rPr>
        <w:t>表</w:t>
      </w:r>
      <w:r>
        <w:rPr>
          <w:rFonts w:hint="eastAsia"/>
          <w:b/>
          <w:snapToGrid w:val="0"/>
          <w:color w:val="FF0000"/>
          <w:kern w:val="0"/>
          <w:sz w:val="21"/>
          <w:szCs w:val="21"/>
          <w:lang w:val="en-US" w:eastAsia="zh-CN"/>
        </w:rPr>
        <w:t>8</w:t>
      </w:r>
      <w:r>
        <w:rPr>
          <w:rFonts w:hint="eastAsia"/>
          <w:b/>
          <w:snapToGrid w:val="0"/>
          <w:color w:val="FF0000"/>
          <w:kern w:val="0"/>
          <w:sz w:val="21"/>
          <w:szCs w:val="21"/>
        </w:rPr>
        <w:t xml:space="preserve">  </w:t>
      </w:r>
      <w:r>
        <w:rPr>
          <w:b/>
          <w:snapToGrid w:val="0"/>
          <w:color w:val="FF0000"/>
          <w:kern w:val="0"/>
          <w:sz w:val="21"/>
          <w:szCs w:val="21"/>
        </w:rPr>
        <w:t xml:space="preserve"> 本道路各特征年交通噪声贡献值预测结果</w:t>
      </w:r>
      <w:bookmarkEnd w:id="36"/>
      <w:r>
        <w:rPr>
          <w:b/>
          <w:snapToGrid w:val="0"/>
          <w:color w:val="FF0000"/>
          <w:kern w:val="0"/>
          <w:sz w:val="21"/>
          <w:szCs w:val="21"/>
        </w:rPr>
        <w:t xml:space="preserve">    单位：dB（A）</w:t>
      </w:r>
    </w:p>
    <w:tbl>
      <w:tblPr>
        <w:tblStyle w:val="31"/>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437"/>
        <w:gridCol w:w="1084"/>
        <w:gridCol w:w="1084"/>
        <w:gridCol w:w="1084"/>
        <w:gridCol w:w="1084"/>
        <w:gridCol w:w="1151"/>
        <w:gridCol w:w="1151"/>
        <w:gridCol w:w="1151"/>
        <w:gridCol w:w="1151"/>
        <w:gridCol w:w="1152"/>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493"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路段</w:t>
            </w:r>
          </w:p>
        </w:tc>
        <w:tc>
          <w:tcPr>
            <w:tcW w:w="1437" w:type="dxa"/>
          </w:tcPr>
          <w:p>
            <w:pPr>
              <w:adjustRightInd w:val="0"/>
              <w:snapToGrid w:val="0"/>
              <w:jc w:val="center"/>
              <w:rPr>
                <w:rFonts w:hint="default" w:ascii="Times New Roman" w:hAnsi="Times New Roman" w:cs="Times New Roman" w:eastAsiaTheme="minorEastAsia"/>
                <w:b/>
                <w:bCs/>
                <w:color w:val="FF0000"/>
                <w:sz w:val="24"/>
                <w:szCs w:val="24"/>
                <w:lang w:val="en-US" w:eastAsia="zh-CN"/>
              </w:rPr>
            </w:pPr>
            <w:r>
              <w:rPr>
                <w:rFonts w:hint="eastAsia" w:ascii="Times New Roman" w:hAnsi="Times New Roman" w:cs="Times New Roman" w:eastAsiaTheme="minorEastAsia"/>
                <w:b/>
                <w:bCs/>
                <w:color w:val="FF0000"/>
                <w:sz w:val="24"/>
                <w:szCs w:val="24"/>
                <w:lang w:val="en-US" w:eastAsia="zh-CN"/>
              </w:rPr>
              <w:t>时段</w:t>
            </w:r>
          </w:p>
        </w:tc>
        <w:tc>
          <w:tcPr>
            <w:tcW w:w="1084"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20m</w:t>
            </w:r>
          </w:p>
        </w:tc>
        <w:tc>
          <w:tcPr>
            <w:tcW w:w="1084"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40m</w:t>
            </w:r>
          </w:p>
        </w:tc>
        <w:tc>
          <w:tcPr>
            <w:tcW w:w="1084"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60m</w:t>
            </w:r>
          </w:p>
        </w:tc>
        <w:tc>
          <w:tcPr>
            <w:tcW w:w="1084"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80m</w:t>
            </w:r>
          </w:p>
        </w:tc>
        <w:tc>
          <w:tcPr>
            <w:tcW w:w="1151"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100m</w:t>
            </w:r>
          </w:p>
        </w:tc>
        <w:tc>
          <w:tcPr>
            <w:tcW w:w="1151"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120m</w:t>
            </w:r>
          </w:p>
        </w:tc>
        <w:tc>
          <w:tcPr>
            <w:tcW w:w="1151"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140m</w:t>
            </w:r>
          </w:p>
        </w:tc>
        <w:tc>
          <w:tcPr>
            <w:tcW w:w="1151"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160m</w:t>
            </w:r>
          </w:p>
        </w:tc>
        <w:tc>
          <w:tcPr>
            <w:tcW w:w="1152"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180m</w:t>
            </w:r>
          </w:p>
        </w:tc>
        <w:tc>
          <w:tcPr>
            <w:tcW w:w="1152" w:type="dxa"/>
          </w:tcPr>
          <w:p>
            <w:pPr>
              <w:adjustRightInd w:val="0"/>
              <w:snapToGrid w:val="0"/>
              <w:jc w:val="center"/>
              <w:rPr>
                <w:rFonts w:ascii="Times New Roman" w:hAnsi="Times New Roman" w:cs="Times New Roman" w:eastAsiaTheme="minorEastAsia"/>
                <w:b/>
                <w:bCs/>
                <w:color w:val="FF0000"/>
                <w:sz w:val="24"/>
                <w:szCs w:val="24"/>
                <w:lang w:eastAsia="zh-CN"/>
              </w:rPr>
            </w:pPr>
            <w:r>
              <w:rPr>
                <w:rFonts w:ascii="Times New Roman" w:hAnsi="Times New Roman" w:cs="Times New Roman" w:eastAsiaTheme="minorEastAsia"/>
                <w:b/>
                <w:bCs/>
                <w:color w:val="FF0000"/>
                <w:sz w:val="24"/>
                <w:szCs w:val="24"/>
                <w:lang w:eastAsia="zh-CN"/>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atLeast"/>
        </w:trPr>
        <w:tc>
          <w:tcPr>
            <w:tcW w:w="1493" w:type="dxa"/>
            <w:vMerge w:val="restart"/>
            <w:shd w:val="clear" w:color="auto" w:fill="FFFFFF"/>
            <w:vAlign w:val="center"/>
          </w:tcPr>
          <w:p>
            <w:pPr>
              <w:jc w:val="center"/>
              <w:rPr>
                <w:rFonts w:hint="default"/>
                <w:color w:val="FF0000"/>
                <w:sz w:val="24"/>
                <w:szCs w:val="24"/>
                <w:lang w:val="en-US"/>
              </w:rPr>
            </w:pPr>
            <w:r>
              <w:rPr>
                <w:rFonts w:hint="eastAsia" w:ascii="Times New Roman" w:hAnsi="Times New Roman" w:cs="Times New Roman" w:eastAsiaTheme="minorEastAsia"/>
                <w:color w:val="FF0000"/>
                <w:sz w:val="24"/>
                <w:szCs w:val="24"/>
                <w:lang w:val="en-US" w:eastAsia="zh-CN"/>
              </w:rPr>
              <w:t>S504公路源</w:t>
            </w:r>
          </w:p>
        </w:tc>
        <w:tc>
          <w:tcPr>
            <w:tcW w:w="1437" w:type="dxa"/>
            <w:shd w:val="clear" w:color="auto" w:fill="FFFFFF"/>
            <w:vAlign w:val="center"/>
          </w:tcPr>
          <w:p>
            <w:pPr>
              <w:jc w:val="center"/>
              <w:rPr>
                <w:rFonts w:hint="default"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近期昼间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20/57.2</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40/50.4</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60/47.1</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80/44.9</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100/43.2</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120/41.8</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140/40.7</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160/39.7</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180/38.8</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atLeast"/>
        </w:trPr>
        <w:tc>
          <w:tcPr>
            <w:tcW w:w="1493" w:type="dxa"/>
            <w:vMerge w:val="continue"/>
            <w:shd w:val="clear" w:color="auto" w:fill="FFFFFF"/>
            <w:vAlign w:val="center"/>
          </w:tcPr>
          <w:p>
            <w:pPr>
              <w:adjustRightInd w:val="0"/>
              <w:snapToGrid w:val="0"/>
              <w:jc w:val="center"/>
              <w:rPr>
                <w:rFonts w:ascii="Times New Roman" w:hAnsi="Times New Roman" w:cs="Times New Roman" w:eastAsiaTheme="minorEastAsia"/>
                <w:color w:val="FF0000"/>
                <w:sz w:val="24"/>
                <w:szCs w:val="24"/>
                <w:lang w:eastAsia="zh-CN"/>
              </w:rPr>
            </w:pPr>
          </w:p>
          <w:p>
            <w:pPr>
              <w:jc w:val="center"/>
              <w:rPr>
                <w:color w:val="FF0000"/>
                <w:sz w:val="24"/>
                <w:szCs w:val="24"/>
              </w:rPr>
            </w:pPr>
            <w:r>
              <w:rPr>
                <w:rFonts w:ascii="Arial" w:hAnsi="Arial" w:eastAsia="Arial" w:cs="Arial"/>
                <w:color w:val="FF0000"/>
                <w:sz w:val="24"/>
                <w:szCs w:val="24"/>
              </w:rPr>
              <w:t>公路源1-1</w:t>
            </w:r>
          </w:p>
        </w:tc>
        <w:tc>
          <w:tcPr>
            <w:tcW w:w="1437" w:type="dxa"/>
            <w:shd w:val="clear" w:color="auto" w:fill="FFFFFF"/>
            <w:vAlign w:val="center"/>
          </w:tcPr>
          <w:p>
            <w:pPr>
              <w:jc w:val="center"/>
              <w:rPr>
                <w:rFonts w:hint="eastAsia"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近期夜间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20/51.0</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40/44.2</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60/41.0</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80/38.8</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100/37.1</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120/35.7</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140/34.5</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160/33.5</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180/32.6</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atLeast"/>
        </w:trPr>
        <w:tc>
          <w:tcPr>
            <w:tcW w:w="1493" w:type="dxa"/>
            <w:vMerge w:val="continue"/>
            <w:shd w:val="clear" w:color="auto" w:fill="FFFFFF"/>
            <w:vAlign w:val="center"/>
          </w:tcPr>
          <w:p>
            <w:pPr>
              <w:adjustRightInd w:val="0"/>
              <w:snapToGrid w:val="0"/>
              <w:jc w:val="center"/>
              <w:rPr>
                <w:rFonts w:ascii="Times New Roman" w:hAnsi="Times New Roman" w:cs="Times New Roman" w:eastAsiaTheme="minorEastAsia"/>
                <w:color w:val="FF0000"/>
                <w:sz w:val="24"/>
                <w:szCs w:val="24"/>
                <w:lang w:eastAsia="zh-CN"/>
              </w:rPr>
            </w:pPr>
          </w:p>
          <w:p>
            <w:pPr>
              <w:jc w:val="center"/>
              <w:rPr>
                <w:color w:val="FF0000"/>
                <w:sz w:val="24"/>
                <w:szCs w:val="24"/>
              </w:rPr>
            </w:pPr>
            <w:r>
              <w:rPr>
                <w:rFonts w:ascii="Arial" w:hAnsi="Arial" w:eastAsia="Arial" w:cs="Arial"/>
                <w:color w:val="FF0000"/>
                <w:sz w:val="24"/>
                <w:szCs w:val="24"/>
              </w:rPr>
              <w:t>公路源1-1</w:t>
            </w:r>
          </w:p>
        </w:tc>
        <w:tc>
          <w:tcPr>
            <w:tcW w:w="1437" w:type="dxa"/>
            <w:shd w:val="clear" w:color="auto" w:fill="FFFFFF"/>
            <w:vAlign w:val="center"/>
          </w:tcPr>
          <w:p>
            <w:pPr>
              <w:jc w:val="center"/>
              <w:rPr>
                <w:rFonts w:hint="default"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中期昼间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20/60.1</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40/54.8</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60/52.4</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80/50.8</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100/49.6</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120/48.6</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140/47.8</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160/47.0</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180/46.4</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atLeast"/>
        </w:trPr>
        <w:tc>
          <w:tcPr>
            <w:tcW w:w="1493" w:type="dxa"/>
            <w:vMerge w:val="continue"/>
            <w:shd w:val="clear" w:color="auto" w:fill="FFFFFF"/>
            <w:vAlign w:val="center"/>
          </w:tcPr>
          <w:p>
            <w:pPr>
              <w:adjustRightInd w:val="0"/>
              <w:snapToGrid w:val="0"/>
              <w:jc w:val="center"/>
              <w:rPr>
                <w:rFonts w:ascii="Times New Roman" w:hAnsi="Times New Roman" w:cs="Times New Roman" w:eastAsiaTheme="minorEastAsia"/>
                <w:color w:val="FF0000"/>
                <w:sz w:val="24"/>
                <w:szCs w:val="24"/>
                <w:lang w:eastAsia="zh-CN"/>
              </w:rPr>
            </w:pPr>
          </w:p>
          <w:p>
            <w:pPr>
              <w:jc w:val="center"/>
              <w:rPr>
                <w:color w:val="FF0000"/>
                <w:sz w:val="24"/>
                <w:szCs w:val="24"/>
              </w:rPr>
            </w:pPr>
            <w:r>
              <w:rPr>
                <w:rFonts w:ascii="Arial" w:hAnsi="Arial" w:eastAsia="Arial" w:cs="Arial"/>
                <w:color w:val="FF0000"/>
                <w:sz w:val="24"/>
                <w:szCs w:val="24"/>
              </w:rPr>
              <w:t>公路源1-1</w:t>
            </w:r>
          </w:p>
        </w:tc>
        <w:tc>
          <w:tcPr>
            <w:tcW w:w="1437" w:type="dxa"/>
            <w:shd w:val="clear" w:color="auto" w:fill="FFFFFF"/>
            <w:vAlign w:val="center"/>
          </w:tcPr>
          <w:p>
            <w:pPr>
              <w:jc w:val="center"/>
              <w:rPr>
                <w:rFonts w:hint="eastAsia"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中期夜间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20/51.9</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40/45.1</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60/41.8</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80/39.6</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100/37.9</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120/36.6</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140/35.4</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160/34.4</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180/33.5</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atLeast"/>
        </w:trPr>
        <w:tc>
          <w:tcPr>
            <w:tcW w:w="1493" w:type="dxa"/>
            <w:vMerge w:val="continue"/>
            <w:shd w:val="clear" w:color="auto" w:fill="FFFFFF"/>
            <w:vAlign w:val="center"/>
          </w:tcPr>
          <w:p>
            <w:pPr>
              <w:adjustRightInd w:val="0"/>
              <w:snapToGrid w:val="0"/>
              <w:jc w:val="center"/>
              <w:rPr>
                <w:rFonts w:ascii="Times New Roman" w:hAnsi="Times New Roman" w:cs="Times New Roman" w:eastAsiaTheme="minorEastAsia"/>
                <w:color w:val="FF0000"/>
                <w:sz w:val="24"/>
                <w:szCs w:val="24"/>
                <w:lang w:eastAsia="zh-CN"/>
              </w:rPr>
            </w:pPr>
          </w:p>
          <w:p>
            <w:pPr>
              <w:jc w:val="center"/>
              <w:rPr>
                <w:color w:val="FF0000"/>
                <w:sz w:val="24"/>
                <w:szCs w:val="24"/>
              </w:rPr>
            </w:pPr>
            <w:r>
              <w:rPr>
                <w:rFonts w:ascii="Arial" w:hAnsi="Arial" w:eastAsia="Arial" w:cs="Arial"/>
                <w:color w:val="FF0000"/>
                <w:sz w:val="24"/>
                <w:szCs w:val="24"/>
              </w:rPr>
              <w:t>公路源1-1</w:t>
            </w:r>
          </w:p>
        </w:tc>
        <w:tc>
          <w:tcPr>
            <w:tcW w:w="1437" w:type="dxa"/>
            <w:shd w:val="clear" w:color="auto" w:fill="FFFFFF"/>
            <w:vAlign w:val="center"/>
          </w:tcPr>
          <w:p>
            <w:pPr>
              <w:jc w:val="center"/>
              <w:rPr>
                <w:rFonts w:hint="default"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远期昼间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20/60.9</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40/55.6</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60/53.1</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80/51.6</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100/50.3</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120/49.4</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140/48.5</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160/47.8</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180/47.2</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8" w:hRule="atLeast"/>
        </w:trPr>
        <w:tc>
          <w:tcPr>
            <w:tcW w:w="1493" w:type="dxa"/>
            <w:vMerge w:val="continue"/>
            <w:shd w:val="clear" w:color="auto" w:fill="FFFFFF"/>
            <w:vAlign w:val="center"/>
          </w:tcPr>
          <w:p>
            <w:pPr>
              <w:jc w:val="center"/>
              <w:rPr>
                <w:color w:val="FF0000"/>
                <w:sz w:val="24"/>
                <w:szCs w:val="24"/>
              </w:rPr>
            </w:pPr>
            <w:r>
              <w:rPr>
                <w:rFonts w:ascii="Arial" w:hAnsi="Arial" w:eastAsia="Arial" w:cs="Arial"/>
                <w:color w:val="FF0000"/>
                <w:sz w:val="24"/>
                <w:szCs w:val="24"/>
              </w:rPr>
              <w:t>公路源1-1</w:t>
            </w:r>
          </w:p>
        </w:tc>
        <w:tc>
          <w:tcPr>
            <w:tcW w:w="1437" w:type="dxa"/>
            <w:shd w:val="clear" w:color="auto" w:fill="FFFFFF"/>
            <w:vAlign w:val="center"/>
          </w:tcPr>
          <w:p>
            <w:pPr>
              <w:jc w:val="center"/>
              <w:rPr>
                <w:rFonts w:hint="default" w:ascii="Arial" w:hAnsi="Arial" w:eastAsia="宋体" w:cs="Arial"/>
                <w:color w:val="FF0000"/>
                <w:sz w:val="24"/>
                <w:szCs w:val="24"/>
                <w:lang w:val="en-US" w:eastAsia="zh-CN"/>
              </w:rPr>
            </w:pPr>
            <w:r>
              <w:rPr>
                <w:rFonts w:hint="eastAsia" w:ascii="Arial" w:hAnsi="Arial" w:eastAsia="宋体" w:cs="Arial"/>
                <w:color w:val="FF0000"/>
                <w:sz w:val="24"/>
                <w:szCs w:val="24"/>
                <w:lang w:val="en-US" w:eastAsia="zh-CN"/>
              </w:rPr>
              <w:t>远期夜间</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20/52.6</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40/45.8</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60/42.6</w:t>
            </w:r>
          </w:p>
        </w:tc>
        <w:tc>
          <w:tcPr>
            <w:tcW w:w="1084" w:type="dxa"/>
            <w:shd w:val="clear" w:color="auto" w:fill="FFFFFF"/>
            <w:vAlign w:val="center"/>
          </w:tcPr>
          <w:p>
            <w:pPr>
              <w:jc w:val="center"/>
              <w:rPr>
                <w:color w:val="FF0000"/>
                <w:sz w:val="24"/>
                <w:szCs w:val="24"/>
              </w:rPr>
            </w:pPr>
            <w:r>
              <w:rPr>
                <w:rFonts w:ascii="Arial" w:hAnsi="Arial" w:eastAsia="Arial" w:cs="Arial"/>
                <w:color w:val="FF0000"/>
                <w:sz w:val="24"/>
                <w:szCs w:val="24"/>
              </w:rPr>
              <w:t>80/40.3</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100/38.7</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120/37.3</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140/36.1</w:t>
            </w:r>
          </w:p>
        </w:tc>
        <w:tc>
          <w:tcPr>
            <w:tcW w:w="1151" w:type="dxa"/>
            <w:shd w:val="clear" w:color="auto" w:fill="FFFFFF"/>
            <w:vAlign w:val="center"/>
          </w:tcPr>
          <w:p>
            <w:pPr>
              <w:jc w:val="center"/>
              <w:rPr>
                <w:color w:val="FF0000"/>
                <w:sz w:val="24"/>
                <w:szCs w:val="24"/>
              </w:rPr>
            </w:pPr>
            <w:r>
              <w:rPr>
                <w:rFonts w:ascii="Arial" w:hAnsi="Arial" w:eastAsia="Arial" w:cs="Arial"/>
                <w:color w:val="FF0000"/>
                <w:sz w:val="24"/>
                <w:szCs w:val="24"/>
              </w:rPr>
              <w:t>160/35.1</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180/34.2</w:t>
            </w:r>
          </w:p>
        </w:tc>
        <w:tc>
          <w:tcPr>
            <w:tcW w:w="1152" w:type="dxa"/>
            <w:shd w:val="clear" w:color="auto" w:fill="FFFFFF"/>
            <w:vAlign w:val="center"/>
          </w:tcPr>
          <w:p>
            <w:pPr>
              <w:jc w:val="center"/>
              <w:rPr>
                <w:color w:val="FF0000"/>
                <w:sz w:val="24"/>
                <w:szCs w:val="24"/>
              </w:rPr>
            </w:pPr>
            <w:r>
              <w:rPr>
                <w:rFonts w:ascii="Arial" w:hAnsi="Arial" w:eastAsia="Arial" w:cs="Arial"/>
                <w:color w:val="FF0000"/>
                <w:sz w:val="24"/>
                <w:szCs w:val="24"/>
              </w:rPr>
              <w:t>200/33.4</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color w:val="FF0000"/>
          <w:sz w:val="24"/>
        </w:rPr>
        <w:sectPr>
          <w:pgSz w:w="16838" w:h="11906" w:orient="landscape"/>
          <w:pgMar w:top="1803" w:right="1440" w:bottom="1803" w:left="1440" w:header="851" w:footer="1077" w:gutter="0"/>
          <w:pgBorders>
            <w:top w:val="none" w:sz="0" w:space="0"/>
            <w:left w:val="none" w:sz="0" w:space="0"/>
            <w:bottom w:val="none" w:sz="0" w:space="0"/>
            <w:right w:val="none" w:sz="0" w:space="0"/>
          </w:pgBorders>
          <w:cols w:space="0" w:num="1"/>
          <w:rtlGutter w:val="0"/>
          <w:docGrid w:linePitch="312" w:charSpace="0"/>
        </w:sectPr>
      </w:pPr>
    </w:p>
    <w:p>
      <w:pPr>
        <w:tabs>
          <w:tab w:val="left" w:pos="1702"/>
        </w:tabs>
        <w:snapToGrid w:val="0"/>
        <w:spacing w:line="360" w:lineRule="auto"/>
        <w:ind w:firstLine="422" w:firstLineChars="200"/>
        <w:rPr>
          <w:rFonts w:ascii="Times New Roman" w:hAnsi="Times New Roman" w:cs="Times New Roman"/>
          <w:b/>
          <w:bCs/>
          <w:color w:val="FF0000"/>
          <w:lang w:eastAsia="zh-CN"/>
        </w:rPr>
      </w:pPr>
      <w:r>
        <w:rPr>
          <w:rFonts w:ascii="Times New Roman" w:hAnsi="Times New Roman" w:cs="Times New Roman"/>
          <w:b/>
          <w:bCs/>
          <w:color w:val="FF0000"/>
          <w:lang w:eastAsia="zh-CN"/>
        </w:rPr>
        <w:t>（</w:t>
      </w:r>
      <w:r>
        <w:rPr>
          <w:rFonts w:hint="eastAsia" w:ascii="Times New Roman" w:hAnsi="Times New Roman" w:cs="Times New Roman"/>
          <w:b/>
          <w:bCs/>
          <w:color w:val="FF0000"/>
          <w:lang w:val="en-US" w:eastAsia="zh-CN"/>
        </w:rPr>
        <w:t>2</w:t>
      </w:r>
      <w:r>
        <w:rPr>
          <w:rFonts w:ascii="Times New Roman" w:hAnsi="Times New Roman" w:cs="Times New Roman"/>
          <w:b/>
          <w:bCs/>
          <w:color w:val="FF0000"/>
          <w:lang w:eastAsia="zh-CN"/>
        </w:rPr>
        <w:t>）达标预测结果</w:t>
      </w:r>
    </w:p>
    <w:p>
      <w:pPr>
        <w:tabs>
          <w:tab w:val="left" w:pos="1702"/>
        </w:tabs>
        <w:snapToGrid w:val="0"/>
        <w:spacing w:line="360" w:lineRule="auto"/>
        <w:ind w:firstLine="420" w:firstLineChars="200"/>
        <w:rPr>
          <w:rFonts w:ascii="Times New Roman" w:hAnsi="Times New Roman" w:cs="Times New Roman"/>
          <w:color w:val="FF0000"/>
          <w:lang w:eastAsia="zh-CN"/>
        </w:rPr>
      </w:pPr>
      <w:r>
        <w:rPr>
          <w:rFonts w:ascii="Times New Roman" w:hAnsi="Times New Roman" w:cs="Times New Roman"/>
          <w:color w:val="FF0000"/>
          <w:lang w:eastAsia="zh-CN"/>
        </w:rPr>
        <w:t>为给沿线的土地利用规划提供环境保护控制依据，给出了采取声屏障措施前后公路噪声达标防护距离表，具体见表</w:t>
      </w:r>
      <w:r>
        <w:rPr>
          <w:rFonts w:hint="eastAsia" w:ascii="Times New Roman" w:hAnsi="Times New Roman" w:cs="Times New Roman"/>
          <w:color w:val="FF0000"/>
          <w:lang w:val="en-US" w:eastAsia="zh-CN"/>
        </w:rPr>
        <w:t>9</w:t>
      </w:r>
      <w:r>
        <w:rPr>
          <w:rFonts w:ascii="Times New Roman" w:hAnsi="Times New Roman" w:cs="Times New Roman"/>
          <w:color w:val="FF0000"/>
          <w:lang w:eastAsia="zh-CN"/>
        </w:rPr>
        <w:t>。</w:t>
      </w:r>
    </w:p>
    <w:p>
      <w:pPr>
        <w:adjustRightInd w:val="0"/>
        <w:snapToGrid w:val="0"/>
        <w:jc w:val="center"/>
        <w:rPr>
          <w:rFonts w:ascii="Times New Roman" w:hAnsi="Times New Roman" w:cs="Times New Roman" w:eastAsiaTheme="minorEastAsia"/>
          <w:b/>
          <w:color w:val="FF0000"/>
          <w:sz w:val="21"/>
          <w:szCs w:val="21"/>
          <w:lang w:eastAsia="zh-CN"/>
        </w:rPr>
      </w:pPr>
      <w:r>
        <w:rPr>
          <w:rFonts w:ascii="Times New Roman" w:hAnsi="Times New Roman" w:cs="Times New Roman" w:eastAsiaTheme="minorEastAsia"/>
          <w:b/>
          <w:color w:val="FF0000"/>
          <w:sz w:val="21"/>
          <w:szCs w:val="21"/>
          <w:lang w:eastAsia="zh-CN"/>
        </w:rPr>
        <w:t>表</w:t>
      </w:r>
      <w:r>
        <w:rPr>
          <w:rFonts w:hint="eastAsia" w:ascii="Times New Roman" w:hAnsi="Times New Roman" w:cs="Times New Roman" w:eastAsiaTheme="minorEastAsia"/>
          <w:b/>
          <w:color w:val="FF0000"/>
          <w:sz w:val="21"/>
          <w:szCs w:val="21"/>
          <w:lang w:val="en-US" w:eastAsia="zh-CN"/>
        </w:rPr>
        <w:t>9</w:t>
      </w:r>
      <w:r>
        <w:rPr>
          <w:rFonts w:ascii="Times New Roman" w:hAnsi="Times New Roman" w:cs="Times New Roman" w:eastAsiaTheme="minorEastAsia"/>
          <w:b/>
          <w:color w:val="FF0000"/>
          <w:sz w:val="21"/>
          <w:szCs w:val="21"/>
          <w:lang w:eastAsia="zh-CN"/>
        </w:rPr>
        <w:t xml:space="preserve">  项目采取声屏障措施前后公路噪声达标防护距离表</w:t>
      </w:r>
    </w:p>
    <w:tbl>
      <w:tblPr>
        <w:tblStyle w:val="31"/>
        <w:tblW w:w="8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283"/>
        <w:gridCol w:w="1071"/>
        <w:gridCol w:w="665"/>
        <w:gridCol w:w="748"/>
        <w:gridCol w:w="738"/>
        <w:gridCol w:w="766"/>
        <w:gridCol w:w="776"/>
        <w:gridCol w:w="710"/>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08" w:type="dxa"/>
            <w:vMerge w:val="restart"/>
            <w:tcBorders>
              <w:top w:val="single" w:color="auto" w:sz="12" w:space="0"/>
              <w:left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路段</w:t>
            </w:r>
          </w:p>
        </w:tc>
        <w:tc>
          <w:tcPr>
            <w:tcW w:w="1283"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声环境功能类别</w:t>
            </w:r>
          </w:p>
        </w:tc>
        <w:tc>
          <w:tcPr>
            <w:tcW w:w="1736" w:type="dxa"/>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标准值/dB(A)</w:t>
            </w:r>
          </w:p>
        </w:tc>
        <w:tc>
          <w:tcPr>
            <w:tcW w:w="4450" w:type="dxa"/>
            <w:gridSpan w:val="6"/>
            <w:tcBorders>
              <w:top w:val="single" w:color="auto" w:sz="12" w:space="0"/>
              <w:right w:val="nil"/>
            </w:tcBorders>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达标防护距离/m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808" w:type="dxa"/>
            <w:vMerge w:val="continue"/>
            <w:tcBorders>
              <w:left w:val="nil"/>
            </w:tcBorders>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1283" w:type="dxa"/>
            <w:vMerge w:val="continue"/>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1071" w:type="dxa"/>
            <w:vMerge w:val="restart"/>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昼间</w:t>
            </w:r>
          </w:p>
        </w:tc>
        <w:tc>
          <w:tcPr>
            <w:tcW w:w="665" w:type="dxa"/>
            <w:vMerge w:val="restart"/>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夜间</w:t>
            </w:r>
          </w:p>
        </w:tc>
        <w:tc>
          <w:tcPr>
            <w:tcW w:w="1486" w:type="dxa"/>
            <w:gridSpan w:val="2"/>
          </w:tcPr>
          <w:p>
            <w:pPr>
              <w:keepNext w:val="0"/>
              <w:keepLines w:val="0"/>
              <w:pageBreakBefore w:val="0"/>
              <w:widowControl w:val="0"/>
              <w:kinsoku/>
              <w:wordWrap/>
              <w:overflowPunct/>
              <w:topLinePunct w:val="0"/>
              <w:autoSpaceDE/>
              <w:autoSpaceDN/>
              <w:bidi w:val="0"/>
              <w:adjustRightInd/>
              <w:snapToGrid/>
              <w:ind w:firstLine="632" w:firstLineChars="300"/>
              <w:jc w:val="center"/>
              <w:textAlignment w:val="auto"/>
              <w:rPr>
                <w:rFonts w:ascii="Times New Roman" w:hAnsi="Times New Roman" w:cs="Times New Roman" w:eastAsiaTheme="minorEastAsia"/>
                <w:b/>
                <w:color w:val="FF0000"/>
                <w:sz w:val="21"/>
                <w:szCs w:val="21"/>
                <w:vertAlign w:val="baseline"/>
                <w:lang w:eastAsia="zh-CN"/>
              </w:rPr>
            </w:pPr>
            <w:r>
              <w:rPr>
                <w:rFonts w:hint="eastAsia" w:ascii="Times New Roman" w:hAnsi="Times New Roman" w:cs="Times New Roman" w:eastAsiaTheme="minorEastAsia"/>
                <w:b/>
                <w:bCs/>
                <w:color w:val="FF0000"/>
                <w:sz w:val="21"/>
                <w:szCs w:val="21"/>
                <w:lang w:val="en-US" w:eastAsia="zh-CN"/>
              </w:rPr>
              <w:t>近期</w:t>
            </w:r>
          </w:p>
        </w:tc>
        <w:tc>
          <w:tcPr>
            <w:tcW w:w="1542" w:type="dxa"/>
            <w:gridSpan w:val="2"/>
          </w:tcPr>
          <w:p>
            <w:pPr>
              <w:keepNext w:val="0"/>
              <w:keepLines w:val="0"/>
              <w:pageBreakBefore w:val="0"/>
              <w:widowControl w:val="0"/>
              <w:kinsoku/>
              <w:wordWrap/>
              <w:overflowPunct/>
              <w:topLinePunct w:val="0"/>
              <w:autoSpaceDE/>
              <w:autoSpaceDN/>
              <w:bidi w:val="0"/>
              <w:adjustRightInd/>
              <w:snapToGrid/>
              <w:ind w:firstLine="632" w:firstLineChars="300"/>
              <w:jc w:val="center"/>
              <w:textAlignment w:val="auto"/>
              <w:rPr>
                <w:rFonts w:ascii="Times New Roman" w:hAnsi="Times New Roman" w:cs="Times New Roman" w:eastAsiaTheme="minorEastAsia"/>
                <w:b/>
                <w:color w:val="FF0000"/>
                <w:sz w:val="21"/>
                <w:szCs w:val="21"/>
                <w:vertAlign w:val="baseline"/>
                <w:lang w:eastAsia="zh-CN"/>
              </w:rPr>
            </w:pPr>
            <w:r>
              <w:rPr>
                <w:rFonts w:hint="eastAsia" w:ascii="Times New Roman" w:hAnsi="Times New Roman" w:cs="Times New Roman" w:eastAsiaTheme="minorEastAsia"/>
                <w:b/>
                <w:bCs/>
                <w:color w:val="FF0000"/>
                <w:sz w:val="21"/>
                <w:szCs w:val="21"/>
                <w:lang w:val="en-US" w:eastAsia="zh-CN"/>
              </w:rPr>
              <w:t>中期</w:t>
            </w:r>
          </w:p>
        </w:tc>
        <w:tc>
          <w:tcPr>
            <w:tcW w:w="1422" w:type="dxa"/>
            <w:gridSpan w:val="2"/>
            <w:tcBorders>
              <w:right w:val="nil"/>
            </w:tcBorders>
          </w:tcPr>
          <w:p>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ascii="Times New Roman" w:hAnsi="Times New Roman" w:cs="Times New Roman" w:eastAsiaTheme="minorEastAsia"/>
                <w:b/>
                <w:color w:val="FF0000"/>
                <w:sz w:val="21"/>
                <w:szCs w:val="21"/>
                <w:vertAlign w:val="baseline"/>
                <w:lang w:eastAsia="zh-CN"/>
              </w:rPr>
            </w:pPr>
            <w:r>
              <w:rPr>
                <w:rFonts w:hint="eastAsia" w:ascii="Times New Roman" w:hAnsi="Times New Roman" w:cs="Times New Roman" w:eastAsiaTheme="minorEastAsia"/>
                <w:b/>
                <w:bCs/>
                <w:color w:val="FF0000"/>
                <w:sz w:val="21"/>
                <w:szCs w:val="21"/>
                <w:lang w:val="en-US"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8" w:type="dxa"/>
            <w:vMerge w:val="continue"/>
            <w:tcBorders>
              <w:left w:val="nil"/>
            </w:tcBorders>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1283" w:type="dxa"/>
            <w:vMerge w:val="continue"/>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1071" w:type="dxa"/>
            <w:vMerge w:val="continue"/>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665" w:type="dxa"/>
            <w:vMerge w:val="continue"/>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p>
        </w:tc>
        <w:tc>
          <w:tcPr>
            <w:tcW w:w="748" w:type="dxa"/>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昼间</w:t>
            </w:r>
          </w:p>
        </w:tc>
        <w:tc>
          <w:tcPr>
            <w:tcW w:w="738" w:type="dxa"/>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夜间</w:t>
            </w:r>
          </w:p>
        </w:tc>
        <w:tc>
          <w:tcPr>
            <w:tcW w:w="766" w:type="dxa"/>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昼间</w:t>
            </w:r>
          </w:p>
        </w:tc>
        <w:tc>
          <w:tcPr>
            <w:tcW w:w="776" w:type="dxa"/>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夜间</w:t>
            </w:r>
          </w:p>
        </w:tc>
        <w:tc>
          <w:tcPr>
            <w:tcW w:w="710" w:type="dxa"/>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昼间</w:t>
            </w:r>
          </w:p>
        </w:tc>
        <w:tc>
          <w:tcPr>
            <w:tcW w:w="712" w:type="dxa"/>
            <w:tcBorders>
              <w:right w:val="nil"/>
            </w:tcBorders>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eastAsiaTheme="minorEastAsia"/>
                <w:b/>
                <w:color w:val="FF0000"/>
                <w:sz w:val="21"/>
                <w:szCs w:val="21"/>
                <w:vertAlign w:val="baseline"/>
                <w:lang w:eastAsia="zh-CN"/>
              </w:rPr>
            </w:pPr>
            <w:r>
              <w:rPr>
                <w:rFonts w:ascii="Times New Roman" w:hAnsi="Times New Roman" w:cs="Times New Roman" w:eastAsiaTheme="minorEastAsia"/>
                <w:b/>
                <w:bCs/>
                <w:color w:val="FF0000"/>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346" w:hRule="atLeast"/>
        </w:trPr>
        <w:tc>
          <w:tcPr>
            <w:tcW w:w="808" w:type="dxa"/>
            <w:tcBorders>
              <w:left w:val="nil"/>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公路源1-1</w:t>
            </w:r>
          </w:p>
        </w:tc>
        <w:tc>
          <w:tcPr>
            <w:tcW w:w="1283"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w:t>
            </w:r>
          </w:p>
        </w:tc>
        <w:tc>
          <w:tcPr>
            <w:tcW w:w="1071"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60</w:t>
            </w:r>
          </w:p>
        </w:tc>
        <w:tc>
          <w:tcPr>
            <w:tcW w:w="665"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50</w:t>
            </w:r>
          </w:p>
        </w:tc>
        <w:tc>
          <w:tcPr>
            <w:tcW w:w="748"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16.0</w:t>
            </w:r>
          </w:p>
        </w:tc>
        <w:tc>
          <w:tcPr>
            <w:tcW w:w="738"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22.0</w:t>
            </w:r>
          </w:p>
        </w:tc>
        <w:tc>
          <w:tcPr>
            <w:tcW w:w="766"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20.0</w:t>
            </w:r>
          </w:p>
        </w:tc>
        <w:tc>
          <w:tcPr>
            <w:tcW w:w="776"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24.0</w:t>
            </w:r>
          </w:p>
        </w:tc>
        <w:tc>
          <w:tcPr>
            <w:tcW w:w="710" w:type="dxa"/>
            <w:tcBorders>
              <w:bottom w:val="single" w:color="auto" w:sz="12"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22.0</w:t>
            </w:r>
          </w:p>
        </w:tc>
        <w:tc>
          <w:tcPr>
            <w:tcW w:w="712" w:type="dxa"/>
            <w:tcBorders>
              <w:bottom w:val="single" w:color="auto" w:sz="12" w:space="0"/>
              <w:right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FF0000"/>
                <w:sz w:val="21"/>
                <w:szCs w:val="21"/>
              </w:rPr>
            </w:pPr>
            <w:r>
              <w:rPr>
                <w:rFonts w:ascii="Arial" w:hAnsi="Arial" w:eastAsia="Arial" w:cs="Arial"/>
                <w:color w:val="FF0000"/>
                <w:sz w:val="21"/>
                <w:szCs w:val="21"/>
              </w:rPr>
              <w:t>26.0</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color w:val="FF0000"/>
          <w:sz w:val="24"/>
        </w:rPr>
      </w:pPr>
      <w:r>
        <w:rPr>
          <w:color w:val="FF0000"/>
          <w:sz w:val="24"/>
        </w:rPr>
        <w:t>由</w:t>
      </w:r>
      <w:r>
        <w:rPr>
          <w:rFonts w:hint="eastAsia"/>
          <w:color w:val="FF0000"/>
          <w:sz w:val="24"/>
        </w:rPr>
        <w:t>上表</w:t>
      </w:r>
      <w:r>
        <w:rPr>
          <w:color w:val="FF0000"/>
          <w:sz w:val="24"/>
        </w:rPr>
        <w:t>可知，道路建成后由于交通量的增多，导致交通噪声增加，其影响范围也不断扩大，相应的受影响范围逐年增加。根据2类标准（昼间60dB，夜间50dB）的要求，结合交通噪声预测结果，给出近、中、远期路线两侧达标位置的控制距离。在不考虑高差、道路两侧建筑物分布的情况下，</w:t>
      </w:r>
      <w:r>
        <w:rPr>
          <w:rFonts w:hint="eastAsia"/>
          <w:color w:val="FF0000"/>
          <w:sz w:val="24"/>
        </w:rPr>
        <w:t>项目道路</w:t>
      </w:r>
      <w:r>
        <w:rPr>
          <w:color w:val="FF0000"/>
          <w:sz w:val="24"/>
        </w:rPr>
        <w:t>运营期</w:t>
      </w:r>
      <w:r>
        <w:rPr>
          <w:rFonts w:hint="eastAsia"/>
          <w:color w:val="FF0000"/>
          <w:sz w:val="24"/>
          <w:lang w:eastAsia="zh-CN"/>
        </w:rPr>
        <w:t>近期（</w:t>
      </w:r>
      <w:r>
        <w:rPr>
          <w:color w:val="FF0000"/>
          <w:sz w:val="24"/>
        </w:rPr>
        <w:t>2</w:t>
      </w:r>
      <w:r>
        <w:rPr>
          <w:rFonts w:hint="eastAsia"/>
          <w:color w:val="FF0000"/>
          <w:sz w:val="24"/>
        </w:rPr>
        <w:t>02</w:t>
      </w:r>
      <w:r>
        <w:rPr>
          <w:rFonts w:hint="eastAsia"/>
          <w:color w:val="FF0000"/>
          <w:sz w:val="24"/>
          <w:lang w:val="en-US" w:eastAsia="zh-CN"/>
        </w:rPr>
        <w:t>4</w:t>
      </w:r>
      <w:r>
        <w:rPr>
          <w:color w:val="FF0000"/>
          <w:sz w:val="24"/>
        </w:rPr>
        <w:t>年</w:t>
      </w:r>
      <w:r>
        <w:rPr>
          <w:rFonts w:hint="eastAsia"/>
          <w:color w:val="FF0000"/>
          <w:sz w:val="24"/>
          <w:lang w:eastAsia="zh-CN"/>
        </w:rPr>
        <w:t>）</w:t>
      </w:r>
      <w:r>
        <w:rPr>
          <w:color w:val="FF0000"/>
          <w:sz w:val="24"/>
        </w:rPr>
        <w:t>、</w:t>
      </w:r>
      <w:r>
        <w:rPr>
          <w:rFonts w:hint="eastAsia"/>
          <w:color w:val="FF0000"/>
          <w:sz w:val="24"/>
          <w:lang w:eastAsia="zh-CN"/>
        </w:rPr>
        <w:t>中期（</w:t>
      </w:r>
      <w:r>
        <w:rPr>
          <w:color w:val="FF0000"/>
          <w:sz w:val="24"/>
        </w:rPr>
        <w:t>20</w:t>
      </w:r>
      <w:r>
        <w:rPr>
          <w:rFonts w:hint="eastAsia"/>
          <w:color w:val="FF0000"/>
          <w:sz w:val="24"/>
        </w:rPr>
        <w:t>30</w:t>
      </w:r>
      <w:r>
        <w:rPr>
          <w:color w:val="FF0000"/>
          <w:sz w:val="24"/>
        </w:rPr>
        <w:t>年</w:t>
      </w:r>
      <w:r>
        <w:rPr>
          <w:rFonts w:hint="eastAsia"/>
          <w:color w:val="FF0000"/>
          <w:sz w:val="24"/>
          <w:lang w:eastAsia="zh-CN"/>
        </w:rPr>
        <w:t>）</w:t>
      </w:r>
      <w:r>
        <w:rPr>
          <w:color w:val="FF0000"/>
          <w:sz w:val="24"/>
        </w:rPr>
        <w:t>和</w:t>
      </w:r>
      <w:r>
        <w:rPr>
          <w:rFonts w:hint="eastAsia"/>
          <w:color w:val="FF0000"/>
          <w:sz w:val="24"/>
          <w:lang w:eastAsia="zh-CN"/>
        </w:rPr>
        <w:t>远期（</w:t>
      </w:r>
      <w:r>
        <w:rPr>
          <w:color w:val="FF0000"/>
          <w:sz w:val="24"/>
        </w:rPr>
        <w:t>203</w:t>
      </w:r>
      <w:r>
        <w:rPr>
          <w:rFonts w:hint="eastAsia"/>
          <w:color w:val="FF0000"/>
          <w:sz w:val="24"/>
          <w:lang w:val="en-US" w:eastAsia="zh-CN"/>
        </w:rPr>
        <w:t>8</w:t>
      </w:r>
      <w:r>
        <w:rPr>
          <w:color w:val="FF0000"/>
          <w:sz w:val="24"/>
        </w:rPr>
        <w:t>年</w:t>
      </w:r>
      <w:r>
        <w:rPr>
          <w:rFonts w:hint="eastAsia"/>
          <w:color w:val="FF0000"/>
          <w:sz w:val="24"/>
          <w:lang w:eastAsia="zh-CN"/>
        </w:rPr>
        <w:t>）</w:t>
      </w:r>
      <w:r>
        <w:rPr>
          <w:color w:val="FF0000"/>
          <w:sz w:val="24"/>
        </w:rPr>
        <w:t>各时段道路交通噪声2类，各预测时段昼间2类标准达标距中心线距离为</w:t>
      </w:r>
      <w:r>
        <w:rPr>
          <w:rFonts w:hint="eastAsia"/>
          <w:color w:val="FF0000"/>
          <w:sz w:val="24"/>
          <w:lang w:val="en-US" w:eastAsia="zh-CN"/>
        </w:rPr>
        <w:t>22</w:t>
      </w:r>
      <w:r>
        <w:rPr>
          <w:color w:val="FF0000"/>
          <w:sz w:val="24"/>
        </w:rPr>
        <w:t>m，夜间2类标准达标距中心线距离</w:t>
      </w:r>
      <w:r>
        <w:rPr>
          <w:rFonts w:hint="eastAsia"/>
          <w:color w:val="FF0000"/>
          <w:sz w:val="24"/>
          <w:lang w:val="en-US" w:eastAsia="zh-CN"/>
        </w:rPr>
        <w:t>26</w:t>
      </w:r>
      <w:r>
        <w:rPr>
          <w:color w:val="FF0000"/>
          <w:sz w:val="24"/>
        </w:rPr>
        <w:t>m。</w:t>
      </w:r>
    </w:p>
    <w:p>
      <w:pPr>
        <w:keepNext w:val="0"/>
        <w:keepLines w:val="0"/>
        <w:pageBreakBefore w:val="0"/>
        <w:widowControl w:val="0"/>
        <w:kinsoku/>
        <w:wordWrap/>
        <w:overflowPunct/>
        <w:topLinePunct w:val="0"/>
        <w:autoSpaceDE/>
        <w:autoSpaceDN/>
        <w:bidi w:val="0"/>
        <w:adjustRightInd w:val="0"/>
        <w:snapToGrid w:val="0"/>
        <w:spacing w:line="360" w:lineRule="auto"/>
        <w:ind w:firstLine="556" w:firstLineChars="232"/>
        <w:textAlignment w:val="auto"/>
        <w:rPr>
          <w:color w:val="FF0000"/>
          <w:sz w:val="24"/>
        </w:rPr>
      </w:pPr>
      <w:r>
        <w:rPr>
          <w:color w:val="FF0000"/>
          <w:sz w:val="24"/>
        </w:rPr>
        <w:t>⑵敏感点声环境影响预测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本项目对敏感点的影响预测值=本项目噪声贡献值+背景值。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对敏感点交通噪声进行预测，根据项目现状及周围环境质量现状，其现状监测值包括了现状交通噪声的贡献值，不能代表其敏感点处的噪声背景值。通过分析项目周围环境现状及各敏感点分布情况，本次评价敏感点的噪声背景值选用噪声现状监测值中的最大值代表本项目各敏感点处的噪声背景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①近期噪声预测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rFonts w:hint="eastAsia"/>
          <w:color w:val="FF0000"/>
          <w:sz w:val="24"/>
          <w:lang w:eastAsia="zh-CN"/>
        </w:rPr>
        <w:t>本</w:t>
      </w:r>
      <w:r>
        <w:rPr>
          <w:rFonts w:hint="eastAsia"/>
          <w:color w:val="FF0000"/>
          <w:sz w:val="24"/>
        </w:rPr>
        <w:t>项目</w:t>
      </w:r>
      <w:r>
        <w:rPr>
          <w:color w:val="FF0000"/>
          <w:sz w:val="24"/>
        </w:rPr>
        <w:t>近期（202</w:t>
      </w:r>
      <w:r>
        <w:rPr>
          <w:rFonts w:hint="eastAsia"/>
          <w:color w:val="FF0000"/>
          <w:sz w:val="24"/>
          <w:lang w:val="en-US" w:eastAsia="zh-CN"/>
        </w:rPr>
        <w:t>4</w:t>
      </w:r>
      <w:r>
        <w:rPr>
          <w:color w:val="FF0000"/>
          <w:sz w:val="24"/>
        </w:rPr>
        <w:t>年）噪声预测值见表</w:t>
      </w:r>
      <w:r>
        <w:rPr>
          <w:rFonts w:hint="eastAsia"/>
          <w:color w:val="FF0000"/>
          <w:sz w:val="24"/>
        </w:rPr>
        <w:t>1</w:t>
      </w:r>
      <w:r>
        <w:rPr>
          <w:rFonts w:hint="eastAsia"/>
          <w:color w:val="FF0000"/>
          <w:sz w:val="24"/>
          <w:lang w:val="en-US" w:eastAsia="zh-CN"/>
        </w:rPr>
        <w:t>0，</w:t>
      </w:r>
      <w:r>
        <w:rPr>
          <w:rFonts w:hint="eastAsia" w:hAnsi="宋体"/>
          <w:color w:val="FF0000"/>
          <w:sz w:val="24"/>
        </w:rPr>
        <w:t>昼、夜间噪声</w:t>
      </w:r>
      <w:r>
        <w:rPr>
          <w:rFonts w:hint="eastAsia" w:hAnsi="宋体"/>
          <w:color w:val="FF0000"/>
          <w:sz w:val="24"/>
          <w:lang w:eastAsia="zh-CN"/>
        </w:rPr>
        <w:t>贡献值等声级线分布见图</w:t>
      </w:r>
      <w:r>
        <w:rPr>
          <w:rFonts w:hint="eastAsia" w:hAnsi="宋体"/>
          <w:color w:val="FF0000"/>
          <w:sz w:val="24"/>
          <w:lang w:val="en-US" w:eastAsia="zh-CN"/>
        </w:rPr>
        <w:t>6</w:t>
      </w:r>
      <w:r>
        <w:rPr>
          <w:rFonts w:hint="eastAsia" w:hAnsi="宋体"/>
          <w:color w:val="FF0000"/>
          <w:sz w:val="24"/>
        </w:rPr>
        <w:t>、</w:t>
      </w:r>
      <w:r>
        <w:rPr>
          <w:rFonts w:hint="eastAsia" w:hAnsi="宋体"/>
          <w:color w:val="FF0000"/>
          <w:sz w:val="24"/>
          <w:lang w:val="en-US" w:eastAsia="zh-CN"/>
        </w:rPr>
        <w:t>7</w:t>
      </w:r>
      <w:r>
        <w:rPr>
          <w:rFonts w:hint="eastAsia" w:hAnsi="宋体"/>
          <w:color w:val="FF0000"/>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98"/>
        <w:jc w:val="center"/>
        <w:textAlignment w:val="auto"/>
        <w:rPr>
          <w:rFonts w:hint="eastAsia"/>
          <w:b/>
          <w:snapToGrid w:val="0"/>
          <w:color w:val="FF0000"/>
          <w:kern w:val="0"/>
          <w:sz w:val="21"/>
          <w:szCs w:val="21"/>
          <w:lang w:val="en-US" w:eastAsia="zh-CN"/>
        </w:rPr>
      </w:pPr>
      <w:bookmarkStart w:id="37" w:name="_Ref216693536"/>
      <w:r>
        <w:rPr>
          <w:rFonts w:hint="eastAsia"/>
          <w:b/>
          <w:snapToGrid w:val="0"/>
          <w:color w:val="FF0000"/>
          <w:kern w:val="0"/>
          <w:sz w:val="21"/>
          <w:szCs w:val="21"/>
          <w:lang w:val="en-US" w:eastAsia="zh-CN"/>
        </w:rPr>
        <w:t>表10      近期（2024年）预测点声环境影响预测结果</w:t>
      </w:r>
      <w:bookmarkEnd w:id="37"/>
    </w:p>
    <w:tbl>
      <w:tblPr>
        <w:tblStyle w:val="30"/>
        <w:tblW w:w="851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4"/>
        <w:gridCol w:w="1063"/>
        <w:gridCol w:w="941"/>
        <w:gridCol w:w="898"/>
        <w:gridCol w:w="879"/>
        <w:gridCol w:w="1063"/>
        <w:gridCol w:w="930"/>
        <w:gridCol w:w="9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764"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声环境敏感点</w:t>
            </w:r>
          </w:p>
        </w:tc>
        <w:tc>
          <w:tcPr>
            <w:tcW w:w="290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昼间</w:t>
            </w:r>
          </w:p>
        </w:tc>
        <w:tc>
          <w:tcPr>
            <w:tcW w:w="287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夜间</w:t>
            </w:r>
          </w:p>
        </w:tc>
        <w:tc>
          <w:tcPr>
            <w:tcW w:w="981"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标准</w:t>
            </w:r>
          </w:p>
          <w:p>
            <w:pPr>
              <w:adjustRightInd w:val="0"/>
              <w:snapToGrid w:val="0"/>
              <w:jc w:val="center"/>
              <w:rPr>
                <w:bCs/>
                <w:color w:val="FF0000"/>
                <w:sz w:val="21"/>
                <w:szCs w:val="21"/>
              </w:rPr>
            </w:pPr>
            <w:r>
              <w:rPr>
                <w:bCs/>
                <w:color w:val="FF0000"/>
                <w:sz w:val="21"/>
                <w:szCs w:val="21"/>
              </w:rPr>
              <w:t>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764" w:type="dxa"/>
            <w:vMerge w:val="continue"/>
            <w:tcBorders>
              <w:tl2br w:val="nil"/>
              <w:tr2bl w:val="nil"/>
            </w:tcBorders>
            <w:vAlign w:val="center"/>
          </w:tcPr>
          <w:p>
            <w:pPr>
              <w:adjustRightInd w:val="0"/>
              <w:snapToGrid w:val="0"/>
              <w:jc w:val="center"/>
              <w:rPr>
                <w:bCs/>
                <w:color w:val="FF0000"/>
                <w:sz w:val="21"/>
                <w:szCs w:val="21"/>
              </w:rPr>
            </w:pPr>
          </w:p>
        </w:tc>
        <w:tc>
          <w:tcPr>
            <w:tcW w:w="1063"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941"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898"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879"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1063"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930"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981" w:type="dxa"/>
            <w:vMerge w:val="continue"/>
            <w:tcBorders>
              <w:tl2br w:val="nil"/>
              <w:tr2bl w:val="nil"/>
            </w:tcBorders>
            <w:vAlign w:val="center"/>
          </w:tcPr>
          <w:p>
            <w:pPr>
              <w:adjustRightInd w:val="0"/>
              <w:snapToGrid w:val="0"/>
              <w:jc w:val="center"/>
              <w:rPr>
                <w:bCs/>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764" w:type="dxa"/>
            <w:tcBorders>
              <w:tl2br w:val="nil"/>
              <w:tr2bl w:val="nil"/>
            </w:tcBorders>
            <w:vAlign w:val="center"/>
          </w:tcPr>
          <w:p>
            <w:pPr>
              <w:adjustRightInd w:val="0"/>
              <w:snapToGrid w:val="0"/>
              <w:jc w:val="center"/>
              <w:rPr>
                <w:rFonts w:hint="eastAsia"/>
                <w:bCs/>
                <w:color w:val="FF0000"/>
                <w:sz w:val="21"/>
                <w:szCs w:val="21"/>
              </w:rPr>
            </w:pPr>
            <w:r>
              <w:rPr>
                <w:rFonts w:hint="eastAsia" w:ascii="Times New Roman" w:hAnsi="Times New Roman" w:eastAsia="宋体" w:cs="Times New Roman"/>
                <w:bCs/>
                <w:color w:val="FF0000"/>
                <w:sz w:val="21"/>
                <w:szCs w:val="21"/>
                <w:lang w:val="en-US" w:eastAsia="zh-CN"/>
              </w:rPr>
              <w:t>金曹</w:t>
            </w:r>
            <w:r>
              <w:rPr>
                <w:rFonts w:hint="eastAsia"/>
                <w:bCs/>
                <w:color w:val="FF0000"/>
                <w:sz w:val="21"/>
                <w:szCs w:val="21"/>
                <w:lang w:val="en-US" w:eastAsia="zh-CN"/>
              </w:rPr>
              <w:t>村</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53.3</w:t>
            </w:r>
          </w:p>
        </w:tc>
        <w:tc>
          <w:tcPr>
            <w:tcW w:w="941"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50.2</w:t>
            </w:r>
          </w:p>
        </w:tc>
        <w:tc>
          <w:tcPr>
            <w:tcW w:w="898"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rFonts w:hint="eastAsia"/>
                <w:bCs/>
                <w:color w:val="FF0000"/>
                <w:sz w:val="21"/>
                <w:szCs w:val="21"/>
                <w:lang w:val="en-US" w:eastAsia="zh-CN"/>
              </w:rPr>
              <w:t>55.0</w:t>
            </w:r>
          </w:p>
        </w:tc>
        <w:tc>
          <w:tcPr>
            <w:tcW w:w="879"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47.2</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38.4</w:t>
            </w:r>
          </w:p>
        </w:tc>
        <w:tc>
          <w:tcPr>
            <w:tcW w:w="930"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57.7</w:t>
            </w:r>
          </w:p>
        </w:tc>
        <w:tc>
          <w:tcPr>
            <w:tcW w:w="981"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bCs/>
                <w:color w:val="FF0000"/>
                <w:sz w:val="21"/>
                <w:szCs w:val="21"/>
              </w:rPr>
              <w:t>60/</w:t>
            </w:r>
            <w:r>
              <w:rPr>
                <w:rFonts w:hint="eastAsia"/>
                <w:bCs/>
                <w:color w:val="FF0000"/>
                <w:sz w:val="21"/>
                <w:szCs w:val="21"/>
                <w:lang w:val="en-US" w:eastAsia="zh-CN"/>
              </w:rPr>
              <w:t>50</w:t>
            </w:r>
          </w:p>
        </w:tc>
      </w:tr>
    </w:tbl>
    <w:p>
      <w:pPr>
        <w:pStyle w:val="103"/>
        <w:adjustRightInd w:val="0"/>
        <w:snapToGrid w:val="0"/>
        <w:spacing w:before="120" w:beforeLines="50" w:line="360" w:lineRule="auto"/>
        <w:ind w:firstLine="0" w:firstLineChars="0"/>
        <w:jc w:val="center"/>
        <w:rPr>
          <w:color w:val="FF0000"/>
        </w:rPr>
      </w:pPr>
      <w:r>
        <w:rPr>
          <w:color w:val="FF0000"/>
        </w:rPr>
        <w:drawing>
          <wp:inline distT="0" distB="0" distL="114300" distR="114300">
            <wp:extent cx="3594100" cy="3194050"/>
            <wp:effectExtent l="0" t="0" r="0" b="635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5"/>
                    <a:stretch>
                      <a:fillRect/>
                    </a:stretch>
                  </pic:blipFill>
                  <pic:spPr>
                    <a:xfrm>
                      <a:off x="0" y="0"/>
                      <a:ext cx="3594100" cy="3194050"/>
                    </a:xfrm>
                    <a:prstGeom prst="rect">
                      <a:avLst/>
                    </a:prstGeom>
                    <a:noFill/>
                    <a:ln>
                      <a:noFill/>
                    </a:ln>
                  </pic:spPr>
                </pic:pic>
              </a:graphicData>
            </a:graphic>
          </wp:inline>
        </w:drawing>
      </w:r>
    </w:p>
    <w:p>
      <w:pPr>
        <w:pStyle w:val="103"/>
        <w:adjustRightInd w:val="0"/>
        <w:snapToGrid w:val="0"/>
        <w:spacing w:before="120" w:beforeLines="50" w:line="360" w:lineRule="auto"/>
        <w:ind w:firstLine="0" w:firstLineChars="0"/>
        <w:jc w:val="center"/>
        <w:rPr>
          <w:b/>
          <w:color w:val="FF0000"/>
          <w:sz w:val="24"/>
          <w:szCs w:val="24"/>
        </w:rPr>
      </w:pPr>
      <w:r>
        <w:rPr>
          <w:rFonts w:hAnsi="宋体" w:eastAsia="宋体"/>
          <w:b/>
          <w:color w:val="FF0000"/>
          <w:sz w:val="21"/>
          <w:szCs w:val="21"/>
        </w:rPr>
        <w:t>图</w:t>
      </w:r>
      <w:r>
        <w:rPr>
          <w:rFonts w:hint="eastAsia" w:eastAsia="宋体"/>
          <w:b/>
          <w:color w:val="FF0000"/>
          <w:sz w:val="21"/>
          <w:szCs w:val="21"/>
          <w:lang w:val="en-US" w:eastAsia="zh-CN"/>
        </w:rPr>
        <w:t>6</w:t>
      </w:r>
      <w:r>
        <w:rPr>
          <w:rFonts w:hint="eastAsia" w:eastAsia="宋体"/>
          <w:b/>
          <w:color w:val="FF0000"/>
          <w:sz w:val="21"/>
          <w:szCs w:val="21"/>
        </w:rPr>
        <w:t xml:space="preserve"> </w:t>
      </w:r>
      <w:r>
        <w:rPr>
          <w:b/>
          <w:color w:val="FF0000"/>
          <w:sz w:val="21"/>
          <w:szCs w:val="21"/>
        </w:rPr>
        <w:t xml:space="preserve">  </w:t>
      </w:r>
      <w:r>
        <w:rPr>
          <w:b/>
          <w:bCs/>
          <w:color w:val="FF0000"/>
          <w:sz w:val="21"/>
          <w:szCs w:val="21"/>
        </w:rPr>
        <w:t>近期（202</w:t>
      </w:r>
      <w:r>
        <w:rPr>
          <w:rFonts w:hint="eastAsia"/>
          <w:b/>
          <w:bCs/>
          <w:color w:val="FF0000"/>
          <w:sz w:val="21"/>
          <w:szCs w:val="21"/>
          <w:lang w:val="en-US" w:eastAsia="zh-CN"/>
        </w:rPr>
        <w:t>4</w:t>
      </w:r>
      <w:r>
        <w:rPr>
          <w:b/>
          <w:bCs/>
          <w:color w:val="FF0000"/>
          <w:sz w:val="21"/>
          <w:szCs w:val="21"/>
        </w:rPr>
        <w:t>年）</w:t>
      </w:r>
      <w:r>
        <w:rPr>
          <w:rFonts w:hAnsi="宋体" w:eastAsia="宋体"/>
          <w:b/>
          <w:bCs/>
          <w:color w:val="FF0000"/>
          <w:sz w:val="21"/>
          <w:szCs w:val="21"/>
        </w:rPr>
        <w:t>声</w:t>
      </w:r>
      <w:r>
        <w:rPr>
          <w:rFonts w:hAnsi="宋体" w:eastAsia="宋体"/>
          <w:b/>
          <w:color w:val="FF0000"/>
          <w:sz w:val="21"/>
          <w:szCs w:val="21"/>
        </w:rPr>
        <w:t>环境预测点昼间等声级线分布图（贡献值）</w:t>
      </w:r>
    </w:p>
    <w:p>
      <w:pPr>
        <w:pStyle w:val="103"/>
        <w:keepNext w:val="0"/>
        <w:keepLines w:val="0"/>
        <w:pageBreakBefore w:val="0"/>
        <w:widowControl/>
        <w:kinsoku/>
        <w:wordWrap/>
        <w:overflowPunct/>
        <w:topLinePunct w:val="0"/>
        <w:autoSpaceDE/>
        <w:autoSpaceDN/>
        <w:bidi w:val="0"/>
        <w:adjustRightInd w:val="0"/>
        <w:snapToGrid w:val="0"/>
        <w:spacing w:before="120" w:beforeLines="50" w:after="0" w:line="360" w:lineRule="auto"/>
        <w:ind w:right="113" w:firstLine="0" w:firstLineChars="0"/>
        <w:jc w:val="center"/>
        <w:textAlignment w:val="auto"/>
        <w:rPr>
          <w:color w:val="FF0000"/>
        </w:rPr>
      </w:pPr>
      <w:r>
        <w:rPr>
          <w:color w:val="FF0000"/>
        </w:rPr>
        <w:drawing>
          <wp:inline distT="0" distB="0" distL="114300" distR="114300">
            <wp:extent cx="3714115" cy="3133725"/>
            <wp:effectExtent l="0" t="0" r="6985" b="31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6"/>
                    <a:stretch>
                      <a:fillRect/>
                    </a:stretch>
                  </pic:blipFill>
                  <pic:spPr>
                    <a:xfrm>
                      <a:off x="0" y="0"/>
                      <a:ext cx="3714115" cy="3133725"/>
                    </a:xfrm>
                    <a:prstGeom prst="rect">
                      <a:avLst/>
                    </a:prstGeom>
                    <a:noFill/>
                    <a:ln>
                      <a:noFill/>
                    </a:ln>
                  </pic:spPr>
                </pic:pic>
              </a:graphicData>
            </a:graphic>
          </wp:inline>
        </w:drawing>
      </w:r>
    </w:p>
    <w:p>
      <w:pPr>
        <w:pStyle w:val="103"/>
        <w:keepNext w:val="0"/>
        <w:keepLines w:val="0"/>
        <w:pageBreakBefore w:val="0"/>
        <w:widowControl/>
        <w:kinsoku/>
        <w:wordWrap/>
        <w:overflowPunct/>
        <w:topLinePunct w:val="0"/>
        <w:autoSpaceDE/>
        <w:autoSpaceDN/>
        <w:bidi w:val="0"/>
        <w:adjustRightInd w:val="0"/>
        <w:snapToGrid w:val="0"/>
        <w:spacing w:before="120" w:beforeLines="50" w:after="0" w:line="360" w:lineRule="auto"/>
        <w:ind w:right="113" w:firstLine="0" w:firstLineChars="0"/>
        <w:jc w:val="center"/>
        <w:textAlignment w:val="auto"/>
        <w:rPr>
          <w:b/>
          <w:color w:val="FF0000"/>
          <w:sz w:val="24"/>
          <w:szCs w:val="24"/>
        </w:rPr>
      </w:pPr>
      <w:r>
        <w:rPr>
          <w:b/>
          <w:bCs/>
          <w:color w:val="FF0000"/>
          <w:sz w:val="21"/>
          <w:szCs w:val="21"/>
        </w:rPr>
        <w:t>图</w:t>
      </w:r>
      <w:r>
        <w:rPr>
          <w:rFonts w:hint="eastAsia" w:eastAsia="宋体"/>
          <w:b/>
          <w:bCs/>
          <w:color w:val="FF0000"/>
          <w:sz w:val="21"/>
          <w:szCs w:val="21"/>
          <w:lang w:val="en-US" w:eastAsia="zh-CN"/>
        </w:rPr>
        <w:t>8</w:t>
      </w:r>
      <w:r>
        <w:rPr>
          <w:rFonts w:hint="eastAsia"/>
          <w:b/>
          <w:bCs/>
          <w:color w:val="FF0000"/>
          <w:sz w:val="21"/>
          <w:szCs w:val="21"/>
        </w:rPr>
        <w:t xml:space="preserve">-7 </w:t>
      </w:r>
      <w:r>
        <w:rPr>
          <w:b/>
          <w:bCs/>
          <w:color w:val="FF0000"/>
          <w:sz w:val="21"/>
          <w:szCs w:val="21"/>
        </w:rPr>
        <w:t xml:space="preserve">  近期（202</w:t>
      </w:r>
      <w:r>
        <w:rPr>
          <w:rFonts w:hint="eastAsia"/>
          <w:b/>
          <w:bCs/>
          <w:color w:val="FF0000"/>
          <w:sz w:val="21"/>
          <w:szCs w:val="21"/>
          <w:lang w:val="en-US" w:eastAsia="zh-CN"/>
        </w:rPr>
        <w:t>4</w:t>
      </w:r>
      <w:r>
        <w:rPr>
          <w:b/>
          <w:bCs/>
          <w:color w:val="FF0000"/>
          <w:sz w:val="21"/>
          <w:szCs w:val="21"/>
        </w:rPr>
        <w:t>年）声环境预测点昼间等声级线分布图（贡献值）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color w:val="FF0000"/>
          <w:sz w:val="24"/>
          <w:szCs w:val="24"/>
        </w:rPr>
      </w:pPr>
      <w:r>
        <w:rPr>
          <w:rFonts w:hAnsi="宋体" w:eastAsia="宋体"/>
          <w:color w:val="FF0000"/>
          <w:sz w:val="24"/>
          <w:szCs w:val="24"/>
        </w:rPr>
        <w:t>综上，本项目</w:t>
      </w:r>
      <w:r>
        <w:rPr>
          <w:rFonts w:hint="eastAsia" w:hAnsi="宋体" w:eastAsia="宋体"/>
          <w:color w:val="FF0000"/>
          <w:sz w:val="24"/>
          <w:szCs w:val="24"/>
        </w:rPr>
        <w:t>运营后</w:t>
      </w:r>
      <w:r>
        <w:rPr>
          <w:rFonts w:hAnsi="宋体" w:eastAsia="宋体"/>
          <w:color w:val="FF0000"/>
          <w:sz w:val="24"/>
          <w:szCs w:val="24"/>
        </w:rPr>
        <w:t>交通噪声对周围声环境质量造成了一定的影响，根据表</w:t>
      </w:r>
      <w:r>
        <w:rPr>
          <w:rFonts w:hint="eastAsia"/>
          <w:color w:val="FF0000"/>
          <w:sz w:val="24"/>
          <w:szCs w:val="24"/>
          <w:lang w:val="en-US" w:eastAsia="zh-CN"/>
        </w:rPr>
        <w:t>10</w:t>
      </w:r>
      <w:r>
        <w:rPr>
          <w:rFonts w:hAnsi="宋体" w:eastAsia="宋体"/>
          <w:color w:val="FF0000"/>
          <w:sz w:val="24"/>
          <w:szCs w:val="24"/>
        </w:rPr>
        <w:t>中的预测结果可以看出，在叠加背景值后本</w:t>
      </w:r>
      <w:r>
        <w:rPr>
          <w:rFonts w:hint="eastAsia" w:hAnsi="宋体" w:eastAsia="宋体"/>
          <w:color w:val="FF0000"/>
          <w:sz w:val="24"/>
          <w:szCs w:val="24"/>
          <w:lang w:eastAsia="zh-CN"/>
        </w:rPr>
        <w:t>项目</w:t>
      </w:r>
      <w:r>
        <w:rPr>
          <w:rFonts w:hAnsi="宋体" w:eastAsia="宋体"/>
          <w:color w:val="FF0000"/>
          <w:sz w:val="24"/>
          <w:szCs w:val="24"/>
        </w:rPr>
        <w:t>运营近期（</w:t>
      </w:r>
      <w:r>
        <w:rPr>
          <w:color w:val="FF0000"/>
          <w:sz w:val="24"/>
          <w:szCs w:val="24"/>
        </w:rPr>
        <w:t>20</w:t>
      </w:r>
      <w:r>
        <w:rPr>
          <w:rFonts w:eastAsia="宋体"/>
          <w:color w:val="FF0000"/>
          <w:sz w:val="24"/>
          <w:szCs w:val="24"/>
        </w:rPr>
        <w:t>2</w:t>
      </w:r>
      <w:r>
        <w:rPr>
          <w:rFonts w:hint="eastAsia" w:eastAsia="宋体"/>
          <w:color w:val="FF0000"/>
          <w:sz w:val="24"/>
          <w:szCs w:val="24"/>
          <w:lang w:val="en-US" w:eastAsia="zh-CN"/>
        </w:rPr>
        <w:t>4</w:t>
      </w:r>
      <w:r>
        <w:rPr>
          <w:rFonts w:hAnsi="宋体" w:eastAsia="宋体"/>
          <w:color w:val="FF0000"/>
          <w:sz w:val="24"/>
          <w:szCs w:val="24"/>
        </w:rPr>
        <w:t>年）</w:t>
      </w:r>
      <w:r>
        <w:rPr>
          <w:rFonts w:hint="eastAsia" w:hAnsi="宋体" w:eastAsia="宋体"/>
          <w:color w:val="FF0000"/>
          <w:sz w:val="24"/>
          <w:szCs w:val="24"/>
          <w:lang w:eastAsia="zh-CN"/>
        </w:rPr>
        <w:t>声环境敏感</w:t>
      </w:r>
      <w:r>
        <w:rPr>
          <w:rFonts w:hAnsi="宋体" w:eastAsia="宋体"/>
          <w:color w:val="FF0000"/>
          <w:sz w:val="24"/>
          <w:szCs w:val="24"/>
        </w:rPr>
        <w:t>点</w:t>
      </w:r>
      <w:r>
        <w:rPr>
          <w:rFonts w:hint="eastAsia" w:hAnsi="宋体" w:eastAsia="宋体"/>
          <w:color w:val="FF0000"/>
          <w:sz w:val="24"/>
          <w:szCs w:val="24"/>
          <w:lang w:eastAsia="zh-CN"/>
        </w:rPr>
        <w:t>处</w:t>
      </w:r>
      <w:r>
        <w:rPr>
          <w:rFonts w:hAnsi="宋体" w:eastAsia="宋体"/>
          <w:color w:val="FF0000"/>
          <w:sz w:val="24"/>
          <w:szCs w:val="24"/>
        </w:rPr>
        <w:t>未出现超标现象，满足《声环境质量标准》（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 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②中期噪声预测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rFonts w:hint="eastAsia"/>
          <w:color w:val="FF0000"/>
          <w:sz w:val="24"/>
          <w:lang w:eastAsia="zh-CN"/>
        </w:rPr>
        <w:t>本</w:t>
      </w:r>
      <w:r>
        <w:rPr>
          <w:color w:val="FF0000"/>
          <w:sz w:val="24"/>
        </w:rPr>
        <w:t>项目中期（20</w:t>
      </w:r>
      <w:r>
        <w:rPr>
          <w:rFonts w:hint="eastAsia"/>
          <w:color w:val="FF0000"/>
          <w:sz w:val="24"/>
          <w:lang w:val="en-US" w:eastAsia="zh-CN"/>
        </w:rPr>
        <w:t>30</w:t>
      </w:r>
      <w:r>
        <w:rPr>
          <w:color w:val="FF0000"/>
          <w:sz w:val="24"/>
        </w:rPr>
        <w:t>年）噪声预测值见表</w:t>
      </w:r>
      <w:r>
        <w:rPr>
          <w:rFonts w:hint="eastAsia"/>
          <w:color w:val="FF0000"/>
          <w:sz w:val="24"/>
        </w:rPr>
        <w:t>1</w:t>
      </w:r>
      <w:r>
        <w:rPr>
          <w:rFonts w:hint="eastAsia"/>
          <w:color w:val="FF0000"/>
          <w:sz w:val="24"/>
          <w:lang w:val="en-US" w:eastAsia="zh-CN"/>
        </w:rPr>
        <w:t>1</w:t>
      </w:r>
      <w:r>
        <w:rPr>
          <w:rFonts w:hint="eastAsia"/>
          <w:color w:val="FF0000"/>
          <w:sz w:val="24"/>
          <w:lang w:eastAsia="zh-CN"/>
        </w:rPr>
        <w:t>，</w:t>
      </w:r>
      <w:r>
        <w:rPr>
          <w:rFonts w:hint="eastAsia" w:hAnsi="宋体"/>
          <w:color w:val="FF0000"/>
          <w:sz w:val="24"/>
        </w:rPr>
        <w:t>昼、夜间噪声</w:t>
      </w:r>
      <w:r>
        <w:rPr>
          <w:rFonts w:hint="eastAsia" w:hAnsi="宋体"/>
          <w:color w:val="FF0000"/>
          <w:sz w:val="24"/>
          <w:lang w:eastAsia="zh-CN"/>
        </w:rPr>
        <w:t>贡献值等声级线分布见图</w:t>
      </w:r>
      <w:r>
        <w:rPr>
          <w:rFonts w:hint="eastAsia" w:hAnsi="宋体"/>
          <w:color w:val="FF0000"/>
          <w:sz w:val="24"/>
          <w:lang w:val="en-US" w:eastAsia="zh-CN"/>
        </w:rPr>
        <w:t>8</w:t>
      </w:r>
      <w:r>
        <w:rPr>
          <w:rFonts w:hint="eastAsia" w:hAnsi="宋体"/>
          <w:color w:val="FF0000"/>
          <w:sz w:val="24"/>
        </w:rPr>
        <w:t>、</w:t>
      </w:r>
      <w:r>
        <w:rPr>
          <w:rFonts w:hint="eastAsia" w:hAnsi="宋体"/>
          <w:color w:val="FF0000"/>
          <w:sz w:val="24"/>
          <w:lang w:val="en-US" w:eastAsia="zh-CN"/>
        </w:rPr>
        <w:t>9</w:t>
      </w:r>
      <w:r>
        <w:rPr>
          <w:rFonts w:hint="eastAsia" w:hAnsi="宋体"/>
          <w:color w:val="FF0000"/>
          <w:sz w:val="24"/>
        </w:rPr>
        <w:t>。</w:t>
      </w:r>
    </w:p>
    <w:p>
      <w:pPr>
        <w:adjustRightInd w:val="0"/>
        <w:snapToGrid w:val="0"/>
        <w:ind w:firstLine="310" w:firstLineChars="147"/>
        <w:jc w:val="center"/>
        <w:rPr>
          <w:b/>
          <w:color w:val="FF0000"/>
          <w:sz w:val="21"/>
          <w:szCs w:val="21"/>
        </w:rPr>
      </w:pPr>
      <w:r>
        <w:rPr>
          <w:b/>
          <w:color w:val="FF0000"/>
          <w:sz w:val="21"/>
          <w:szCs w:val="21"/>
        </w:rPr>
        <w:t>表</w:t>
      </w:r>
      <w:r>
        <w:rPr>
          <w:rFonts w:hint="eastAsia"/>
          <w:b/>
          <w:color w:val="FF0000"/>
          <w:sz w:val="21"/>
          <w:szCs w:val="21"/>
        </w:rPr>
        <w:t>1</w:t>
      </w:r>
      <w:r>
        <w:rPr>
          <w:rFonts w:hint="eastAsia"/>
          <w:b/>
          <w:color w:val="FF0000"/>
          <w:sz w:val="21"/>
          <w:szCs w:val="21"/>
          <w:lang w:val="en-US" w:eastAsia="zh-CN"/>
        </w:rPr>
        <w:t>1</w:t>
      </w:r>
      <w:r>
        <w:rPr>
          <w:b/>
          <w:color w:val="FF0000"/>
          <w:sz w:val="21"/>
          <w:szCs w:val="21"/>
        </w:rPr>
        <w:t xml:space="preserve">     </w:t>
      </w:r>
      <w:r>
        <w:rPr>
          <w:rFonts w:hint="eastAsia"/>
          <w:b/>
          <w:color w:val="FF0000"/>
          <w:sz w:val="21"/>
          <w:szCs w:val="21"/>
          <w:lang w:eastAsia="zh-CN"/>
        </w:rPr>
        <w:t>本项目</w:t>
      </w:r>
      <w:r>
        <w:rPr>
          <w:b/>
          <w:color w:val="FF0000"/>
          <w:sz w:val="21"/>
          <w:szCs w:val="21"/>
        </w:rPr>
        <w:t>中期（20</w:t>
      </w:r>
      <w:r>
        <w:rPr>
          <w:rFonts w:hint="eastAsia"/>
          <w:b/>
          <w:color w:val="FF0000"/>
          <w:sz w:val="21"/>
          <w:szCs w:val="21"/>
          <w:lang w:val="en-US" w:eastAsia="zh-CN"/>
        </w:rPr>
        <w:t>30</w:t>
      </w:r>
      <w:r>
        <w:rPr>
          <w:b/>
          <w:color w:val="FF0000"/>
          <w:sz w:val="21"/>
          <w:szCs w:val="21"/>
        </w:rPr>
        <w:t>年</w:t>
      </w:r>
      <w:r>
        <w:rPr>
          <w:color w:val="FF0000"/>
          <w:sz w:val="21"/>
          <w:szCs w:val="21"/>
        </w:rPr>
        <w:t>）</w:t>
      </w:r>
      <w:r>
        <w:rPr>
          <w:b/>
          <w:color w:val="FF0000"/>
          <w:sz w:val="21"/>
          <w:szCs w:val="21"/>
        </w:rPr>
        <w:t>预测点声环境影响预测结果</w:t>
      </w:r>
    </w:p>
    <w:tbl>
      <w:tblPr>
        <w:tblStyle w:val="30"/>
        <w:tblW w:w="851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4"/>
        <w:gridCol w:w="1063"/>
        <w:gridCol w:w="941"/>
        <w:gridCol w:w="898"/>
        <w:gridCol w:w="879"/>
        <w:gridCol w:w="1063"/>
        <w:gridCol w:w="930"/>
        <w:gridCol w:w="9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764"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声环境敏感点</w:t>
            </w:r>
          </w:p>
        </w:tc>
        <w:tc>
          <w:tcPr>
            <w:tcW w:w="290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昼间</w:t>
            </w:r>
          </w:p>
        </w:tc>
        <w:tc>
          <w:tcPr>
            <w:tcW w:w="287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夜间</w:t>
            </w:r>
          </w:p>
        </w:tc>
        <w:tc>
          <w:tcPr>
            <w:tcW w:w="981"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标准</w:t>
            </w:r>
          </w:p>
          <w:p>
            <w:pPr>
              <w:adjustRightInd w:val="0"/>
              <w:snapToGrid w:val="0"/>
              <w:jc w:val="center"/>
              <w:rPr>
                <w:bCs/>
                <w:color w:val="FF0000"/>
                <w:sz w:val="21"/>
                <w:szCs w:val="21"/>
              </w:rPr>
            </w:pPr>
            <w:r>
              <w:rPr>
                <w:bCs/>
                <w:color w:val="FF0000"/>
                <w:sz w:val="21"/>
                <w:szCs w:val="21"/>
              </w:rPr>
              <w:t>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764" w:type="dxa"/>
            <w:vMerge w:val="continue"/>
            <w:tcBorders>
              <w:tl2br w:val="nil"/>
              <w:tr2bl w:val="nil"/>
            </w:tcBorders>
            <w:vAlign w:val="center"/>
          </w:tcPr>
          <w:p>
            <w:pPr>
              <w:adjustRightInd w:val="0"/>
              <w:snapToGrid w:val="0"/>
              <w:jc w:val="center"/>
              <w:rPr>
                <w:bCs/>
                <w:color w:val="FF0000"/>
                <w:sz w:val="21"/>
                <w:szCs w:val="21"/>
              </w:rPr>
            </w:pPr>
          </w:p>
        </w:tc>
        <w:tc>
          <w:tcPr>
            <w:tcW w:w="1063"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941"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898"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879"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1063"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930"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981" w:type="dxa"/>
            <w:vMerge w:val="continue"/>
            <w:tcBorders>
              <w:tl2br w:val="nil"/>
              <w:tr2bl w:val="nil"/>
            </w:tcBorders>
            <w:vAlign w:val="center"/>
          </w:tcPr>
          <w:p>
            <w:pPr>
              <w:adjustRightInd w:val="0"/>
              <w:snapToGrid w:val="0"/>
              <w:jc w:val="center"/>
              <w:rPr>
                <w:bCs/>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764" w:type="dxa"/>
            <w:tcBorders>
              <w:tl2br w:val="nil"/>
              <w:tr2bl w:val="nil"/>
            </w:tcBorders>
            <w:vAlign w:val="center"/>
          </w:tcPr>
          <w:p>
            <w:pPr>
              <w:adjustRightInd w:val="0"/>
              <w:snapToGrid w:val="0"/>
              <w:jc w:val="center"/>
              <w:rPr>
                <w:rFonts w:hint="eastAsia"/>
                <w:bCs/>
                <w:color w:val="FF0000"/>
                <w:sz w:val="21"/>
                <w:szCs w:val="21"/>
              </w:rPr>
            </w:pPr>
            <w:r>
              <w:rPr>
                <w:rFonts w:hint="eastAsia" w:ascii="Times New Roman" w:hAnsi="Times New Roman" w:eastAsia="宋体" w:cs="Times New Roman"/>
                <w:bCs/>
                <w:color w:val="FF0000"/>
                <w:sz w:val="21"/>
                <w:szCs w:val="21"/>
                <w:lang w:val="en-US" w:eastAsia="zh-CN"/>
              </w:rPr>
              <w:t>金曹</w:t>
            </w:r>
            <w:r>
              <w:rPr>
                <w:rFonts w:hint="eastAsia"/>
                <w:bCs/>
                <w:color w:val="FF0000"/>
                <w:sz w:val="21"/>
                <w:szCs w:val="21"/>
                <w:lang w:val="en-US" w:eastAsia="zh-CN"/>
              </w:rPr>
              <w:t>村</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56.6</w:t>
            </w:r>
          </w:p>
        </w:tc>
        <w:tc>
          <w:tcPr>
            <w:tcW w:w="941"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50.2</w:t>
            </w:r>
          </w:p>
        </w:tc>
        <w:tc>
          <w:tcPr>
            <w:tcW w:w="898"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rFonts w:hint="eastAsia"/>
                <w:bCs/>
                <w:color w:val="FF0000"/>
                <w:sz w:val="21"/>
                <w:szCs w:val="21"/>
                <w:lang w:val="en-US" w:eastAsia="zh-CN"/>
              </w:rPr>
              <w:t>57.5</w:t>
            </w:r>
          </w:p>
        </w:tc>
        <w:tc>
          <w:tcPr>
            <w:tcW w:w="879"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47.2</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38.4</w:t>
            </w:r>
          </w:p>
        </w:tc>
        <w:tc>
          <w:tcPr>
            <w:tcW w:w="930"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57.7</w:t>
            </w:r>
          </w:p>
        </w:tc>
        <w:tc>
          <w:tcPr>
            <w:tcW w:w="981"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bCs/>
                <w:color w:val="FF0000"/>
                <w:sz w:val="21"/>
                <w:szCs w:val="21"/>
              </w:rPr>
              <w:t>60/</w:t>
            </w:r>
            <w:r>
              <w:rPr>
                <w:rFonts w:hint="eastAsia"/>
                <w:bCs/>
                <w:color w:val="FF0000"/>
                <w:sz w:val="21"/>
                <w:szCs w:val="21"/>
                <w:lang w:val="en-US" w:eastAsia="zh-CN"/>
              </w:rPr>
              <w:t>50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color w:val="FF0000"/>
        </w:rPr>
      </w:pPr>
      <w:r>
        <w:rPr>
          <w:color w:val="FF0000"/>
        </w:rPr>
        <w:drawing>
          <wp:inline distT="0" distB="0" distL="114300" distR="114300">
            <wp:extent cx="3354705" cy="2942590"/>
            <wp:effectExtent l="0" t="0" r="10795" b="381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7"/>
                    <a:stretch>
                      <a:fillRect/>
                    </a:stretch>
                  </pic:blipFill>
                  <pic:spPr>
                    <a:xfrm>
                      <a:off x="0" y="0"/>
                      <a:ext cx="3354705" cy="2942590"/>
                    </a:xfrm>
                    <a:prstGeom prst="rect">
                      <a:avLst/>
                    </a:prstGeom>
                    <a:noFill/>
                    <a:ln>
                      <a:noFill/>
                    </a:ln>
                  </pic:spPr>
                </pic:pic>
              </a:graphicData>
            </a:graphic>
          </wp:inline>
        </w:drawing>
      </w:r>
    </w:p>
    <w:p>
      <w:pPr>
        <w:pStyle w:val="103"/>
        <w:keepNext w:val="0"/>
        <w:keepLines w:val="0"/>
        <w:pageBreakBefore w:val="0"/>
        <w:widowControl/>
        <w:kinsoku/>
        <w:wordWrap/>
        <w:overflowPunct/>
        <w:topLinePunct w:val="0"/>
        <w:autoSpaceDE/>
        <w:autoSpaceDN/>
        <w:bidi w:val="0"/>
        <w:adjustRightInd w:val="0"/>
        <w:snapToGrid w:val="0"/>
        <w:spacing w:before="0" w:after="0" w:line="360" w:lineRule="auto"/>
        <w:ind w:right="113" w:firstLine="0" w:firstLineChars="0"/>
        <w:jc w:val="center"/>
        <w:textAlignment w:val="auto"/>
        <w:rPr>
          <w:b/>
          <w:bCs/>
          <w:color w:val="FF0000"/>
          <w:sz w:val="21"/>
          <w:szCs w:val="21"/>
        </w:rPr>
      </w:pPr>
      <w:r>
        <w:rPr>
          <w:rFonts w:hint="eastAsia" w:eastAsia="宋体"/>
          <w:b/>
          <w:bCs/>
          <w:color w:val="FF0000"/>
          <w:sz w:val="21"/>
          <w:szCs w:val="21"/>
          <w:lang w:eastAsia="zh-CN"/>
        </w:rPr>
        <w:t>图</w:t>
      </w:r>
      <w:r>
        <w:rPr>
          <w:rFonts w:hint="eastAsia" w:eastAsia="宋体"/>
          <w:b/>
          <w:bCs/>
          <w:color w:val="FF0000"/>
          <w:sz w:val="21"/>
          <w:szCs w:val="21"/>
          <w:lang w:val="en-US" w:eastAsia="zh-CN"/>
        </w:rPr>
        <w:t>8</w:t>
      </w:r>
      <w:r>
        <w:rPr>
          <w:b/>
          <w:bCs/>
          <w:color w:val="FF0000"/>
          <w:sz w:val="21"/>
          <w:szCs w:val="21"/>
        </w:rPr>
        <w:t xml:space="preserve">  </w:t>
      </w:r>
      <w:r>
        <w:rPr>
          <w:rFonts w:hint="eastAsia"/>
          <w:b/>
          <w:bCs/>
          <w:color w:val="FF0000"/>
          <w:sz w:val="21"/>
          <w:szCs w:val="21"/>
          <w:lang w:eastAsia="zh-CN"/>
        </w:rPr>
        <w:t>中</w:t>
      </w:r>
      <w:r>
        <w:rPr>
          <w:b/>
          <w:bCs/>
          <w:color w:val="FF0000"/>
          <w:sz w:val="21"/>
          <w:szCs w:val="21"/>
        </w:rPr>
        <w:t>期（20</w:t>
      </w:r>
      <w:r>
        <w:rPr>
          <w:rFonts w:hint="eastAsia"/>
          <w:b/>
          <w:bCs/>
          <w:color w:val="FF0000"/>
          <w:sz w:val="21"/>
          <w:szCs w:val="21"/>
          <w:lang w:val="en-US" w:eastAsia="zh-CN"/>
        </w:rPr>
        <w:t>30</w:t>
      </w:r>
      <w:r>
        <w:rPr>
          <w:b/>
          <w:bCs/>
          <w:color w:val="FF0000"/>
          <w:sz w:val="21"/>
          <w:szCs w:val="21"/>
        </w:rPr>
        <w:t>年）声环境预测点昼间等声级线分布图（贡献值）</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color w:val="FF0000"/>
        </w:rPr>
      </w:pPr>
      <w:r>
        <w:rPr>
          <w:color w:val="FF0000"/>
        </w:rPr>
        <w:drawing>
          <wp:inline distT="0" distB="0" distL="114300" distR="114300">
            <wp:extent cx="3423285" cy="3024505"/>
            <wp:effectExtent l="0" t="0" r="5715" b="1079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8"/>
                    <a:stretch>
                      <a:fillRect/>
                    </a:stretch>
                  </pic:blipFill>
                  <pic:spPr>
                    <a:xfrm>
                      <a:off x="0" y="0"/>
                      <a:ext cx="3423285" cy="3024505"/>
                    </a:xfrm>
                    <a:prstGeom prst="rect">
                      <a:avLst/>
                    </a:prstGeom>
                    <a:noFill/>
                    <a:ln>
                      <a:noFill/>
                    </a:ln>
                  </pic:spPr>
                </pic:pic>
              </a:graphicData>
            </a:graphic>
          </wp:inline>
        </w:drawing>
      </w:r>
    </w:p>
    <w:p>
      <w:pPr>
        <w:pStyle w:val="103"/>
        <w:keepNext w:val="0"/>
        <w:keepLines w:val="0"/>
        <w:pageBreakBefore w:val="0"/>
        <w:widowControl/>
        <w:kinsoku/>
        <w:wordWrap/>
        <w:overflowPunct/>
        <w:topLinePunct w:val="0"/>
        <w:autoSpaceDE/>
        <w:autoSpaceDN/>
        <w:bidi w:val="0"/>
        <w:adjustRightInd w:val="0"/>
        <w:snapToGrid w:val="0"/>
        <w:spacing w:before="0" w:after="0" w:line="360" w:lineRule="auto"/>
        <w:ind w:right="113" w:firstLine="0" w:firstLineChars="0"/>
        <w:jc w:val="center"/>
        <w:textAlignment w:val="auto"/>
        <w:rPr>
          <w:b/>
          <w:bCs/>
          <w:color w:val="FF0000"/>
          <w:sz w:val="21"/>
          <w:szCs w:val="21"/>
        </w:rPr>
      </w:pPr>
      <w:r>
        <w:rPr>
          <w:rFonts w:hint="eastAsia" w:eastAsia="宋体"/>
          <w:b/>
          <w:bCs/>
          <w:color w:val="FF0000"/>
          <w:sz w:val="21"/>
          <w:szCs w:val="21"/>
          <w:lang w:eastAsia="zh-CN"/>
        </w:rPr>
        <w:t>图</w:t>
      </w:r>
      <w:r>
        <w:rPr>
          <w:rFonts w:hint="eastAsia" w:eastAsia="宋体"/>
          <w:b/>
          <w:bCs/>
          <w:color w:val="FF0000"/>
          <w:sz w:val="21"/>
          <w:szCs w:val="21"/>
          <w:lang w:val="en-US" w:eastAsia="zh-CN"/>
        </w:rPr>
        <w:t>9</w:t>
      </w:r>
      <w:r>
        <w:rPr>
          <w:b/>
          <w:bCs/>
          <w:color w:val="FF0000"/>
          <w:sz w:val="21"/>
          <w:szCs w:val="21"/>
        </w:rPr>
        <w:t xml:space="preserve">  </w:t>
      </w:r>
      <w:r>
        <w:rPr>
          <w:rFonts w:hint="eastAsia"/>
          <w:b/>
          <w:bCs/>
          <w:color w:val="FF0000"/>
          <w:sz w:val="21"/>
          <w:szCs w:val="21"/>
          <w:lang w:eastAsia="zh-CN"/>
        </w:rPr>
        <w:t>中</w:t>
      </w:r>
      <w:r>
        <w:rPr>
          <w:b/>
          <w:bCs/>
          <w:color w:val="FF0000"/>
          <w:sz w:val="21"/>
          <w:szCs w:val="21"/>
        </w:rPr>
        <w:t>期（20</w:t>
      </w:r>
      <w:r>
        <w:rPr>
          <w:rFonts w:hint="eastAsia"/>
          <w:b/>
          <w:bCs/>
          <w:color w:val="FF0000"/>
          <w:sz w:val="21"/>
          <w:szCs w:val="21"/>
          <w:lang w:val="en-US" w:eastAsia="zh-CN"/>
        </w:rPr>
        <w:t>30</w:t>
      </w:r>
      <w:r>
        <w:rPr>
          <w:b/>
          <w:bCs/>
          <w:color w:val="FF0000"/>
          <w:sz w:val="21"/>
          <w:szCs w:val="21"/>
        </w:rPr>
        <w:t>年）声环境预测点</w:t>
      </w:r>
      <w:r>
        <w:rPr>
          <w:rFonts w:hint="eastAsia" w:eastAsia="宋体"/>
          <w:b/>
          <w:bCs/>
          <w:color w:val="FF0000"/>
          <w:sz w:val="21"/>
          <w:szCs w:val="21"/>
          <w:lang w:eastAsia="zh-CN"/>
        </w:rPr>
        <w:t>夜</w:t>
      </w:r>
      <w:r>
        <w:rPr>
          <w:b/>
          <w:bCs/>
          <w:color w:val="FF0000"/>
          <w:sz w:val="21"/>
          <w:szCs w:val="21"/>
        </w:rPr>
        <w:t>间等声级线分布图（贡献值）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color w:val="FF0000"/>
          <w:sz w:val="24"/>
          <w:szCs w:val="24"/>
        </w:rPr>
      </w:pPr>
      <w:r>
        <w:rPr>
          <w:rFonts w:hAnsi="宋体" w:eastAsia="宋体"/>
          <w:color w:val="FF0000"/>
          <w:sz w:val="24"/>
          <w:szCs w:val="24"/>
        </w:rPr>
        <w:t>综上，本项目</w:t>
      </w:r>
      <w:r>
        <w:rPr>
          <w:rFonts w:hint="eastAsia" w:hAnsi="宋体" w:eastAsia="宋体"/>
          <w:color w:val="FF0000"/>
          <w:sz w:val="24"/>
          <w:szCs w:val="24"/>
        </w:rPr>
        <w:t>运营后</w:t>
      </w:r>
      <w:r>
        <w:rPr>
          <w:rFonts w:hAnsi="宋体" w:eastAsia="宋体"/>
          <w:color w:val="FF0000"/>
          <w:sz w:val="24"/>
          <w:szCs w:val="24"/>
        </w:rPr>
        <w:t>交通噪声对周围声环境质量造成了一定的影响，根据表</w:t>
      </w:r>
      <w:r>
        <w:rPr>
          <w:rFonts w:hint="eastAsia" w:eastAsia="宋体"/>
          <w:color w:val="FF0000"/>
          <w:sz w:val="24"/>
          <w:szCs w:val="24"/>
          <w:lang w:val="en-US" w:eastAsia="zh-CN"/>
        </w:rPr>
        <w:t>1</w:t>
      </w:r>
      <w:r>
        <w:rPr>
          <w:rFonts w:hint="eastAsia"/>
          <w:color w:val="FF0000"/>
          <w:sz w:val="24"/>
          <w:szCs w:val="24"/>
          <w:lang w:val="en-US" w:eastAsia="zh-CN"/>
        </w:rPr>
        <w:t>1</w:t>
      </w:r>
      <w:r>
        <w:rPr>
          <w:rFonts w:hAnsi="宋体" w:eastAsia="宋体"/>
          <w:color w:val="FF0000"/>
          <w:sz w:val="24"/>
          <w:szCs w:val="24"/>
        </w:rPr>
        <w:t>中的预测结果可以看出，在叠加背景值后本</w:t>
      </w:r>
      <w:r>
        <w:rPr>
          <w:rFonts w:hint="eastAsia" w:hAnsi="宋体" w:eastAsia="宋体"/>
          <w:color w:val="FF0000"/>
          <w:sz w:val="24"/>
          <w:szCs w:val="24"/>
          <w:lang w:eastAsia="zh-CN"/>
        </w:rPr>
        <w:t>项目</w:t>
      </w:r>
      <w:r>
        <w:rPr>
          <w:rFonts w:hAnsi="宋体" w:eastAsia="宋体"/>
          <w:color w:val="FF0000"/>
          <w:sz w:val="24"/>
          <w:szCs w:val="24"/>
        </w:rPr>
        <w:t>运营</w:t>
      </w:r>
      <w:r>
        <w:rPr>
          <w:rFonts w:hint="eastAsia" w:hAnsi="宋体"/>
          <w:color w:val="FF0000"/>
          <w:sz w:val="24"/>
          <w:szCs w:val="24"/>
          <w:lang w:eastAsia="zh-CN"/>
        </w:rPr>
        <w:t>中</w:t>
      </w:r>
      <w:r>
        <w:rPr>
          <w:rFonts w:hAnsi="宋体" w:eastAsia="宋体"/>
          <w:color w:val="FF0000"/>
          <w:sz w:val="24"/>
          <w:szCs w:val="24"/>
        </w:rPr>
        <w:t>期（</w:t>
      </w:r>
      <w:r>
        <w:rPr>
          <w:color w:val="FF0000"/>
          <w:sz w:val="24"/>
          <w:szCs w:val="24"/>
        </w:rPr>
        <w:t>20</w:t>
      </w:r>
      <w:r>
        <w:rPr>
          <w:rFonts w:hint="eastAsia"/>
          <w:color w:val="FF0000"/>
          <w:sz w:val="24"/>
          <w:szCs w:val="24"/>
          <w:lang w:val="en-US" w:eastAsia="zh-CN"/>
        </w:rPr>
        <w:t>30</w:t>
      </w:r>
      <w:r>
        <w:rPr>
          <w:rFonts w:hAnsi="宋体" w:eastAsia="宋体"/>
          <w:color w:val="FF0000"/>
          <w:sz w:val="24"/>
          <w:szCs w:val="24"/>
        </w:rPr>
        <w:t>年）</w:t>
      </w:r>
      <w:r>
        <w:rPr>
          <w:rFonts w:hint="eastAsia" w:hAnsi="宋体" w:eastAsia="宋体"/>
          <w:color w:val="FF0000"/>
          <w:sz w:val="24"/>
          <w:szCs w:val="24"/>
          <w:lang w:eastAsia="zh-CN"/>
        </w:rPr>
        <w:t>声环境敏感</w:t>
      </w:r>
      <w:r>
        <w:rPr>
          <w:rFonts w:hAnsi="宋体" w:eastAsia="宋体"/>
          <w:color w:val="FF0000"/>
          <w:sz w:val="24"/>
          <w:szCs w:val="24"/>
        </w:rPr>
        <w:t>点未出现超标现象，满足《声环境质量标准》（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color w:val="FF0000"/>
          <w:sz w:val="24"/>
        </w:rPr>
        <w:t>③远期噪声预测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FF0000"/>
          <w:sz w:val="24"/>
        </w:rPr>
      </w:pPr>
      <w:r>
        <w:rPr>
          <w:rFonts w:hint="eastAsia"/>
          <w:color w:val="FF0000"/>
          <w:sz w:val="24"/>
          <w:lang w:eastAsia="zh-CN"/>
        </w:rPr>
        <w:t>本</w:t>
      </w:r>
      <w:r>
        <w:rPr>
          <w:color w:val="FF0000"/>
          <w:sz w:val="24"/>
        </w:rPr>
        <w:t>项目远期（203</w:t>
      </w:r>
      <w:r>
        <w:rPr>
          <w:rFonts w:hint="eastAsia"/>
          <w:color w:val="FF0000"/>
          <w:sz w:val="24"/>
          <w:lang w:val="en-US" w:eastAsia="zh-CN"/>
        </w:rPr>
        <w:t>8</w:t>
      </w:r>
      <w:r>
        <w:rPr>
          <w:color w:val="FF0000"/>
          <w:sz w:val="24"/>
        </w:rPr>
        <w:t>年）噪声预测值见表</w:t>
      </w:r>
      <w:r>
        <w:rPr>
          <w:rFonts w:hint="eastAsia"/>
          <w:color w:val="FF0000"/>
          <w:sz w:val="24"/>
          <w:lang w:val="en-US" w:eastAsia="zh-CN"/>
        </w:rPr>
        <w:t>12</w:t>
      </w:r>
      <w:r>
        <w:rPr>
          <w:rFonts w:hint="eastAsia"/>
          <w:color w:val="FF0000"/>
          <w:sz w:val="24"/>
          <w:lang w:eastAsia="zh-CN"/>
        </w:rPr>
        <w:t>，</w:t>
      </w:r>
      <w:r>
        <w:rPr>
          <w:rFonts w:hint="eastAsia" w:hAnsi="宋体"/>
          <w:color w:val="FF0000"/>
          <w:sz w:val="24"/>
        </w:rPr>
        <w:t>昼、夜间噪声</w:t>
      </w:r>
      <w:r>
        <w:rPr>
          <w:rFonts w:hint="eastAsia" w:hAnsi="宋体"/>
          <w:color w:val="FF0000"/>
          <w:sz w:val="24"/>
          <w:lang w:eastAsia="zh-CN"/>
        </w:rPr>
        <w:t>贡献值等声级线分布见图</w:t>
      </w:r>
      <w:r>
        <w:rPr>
          <w:rFonts w:hint="eastAsia" w:hAnsi="宋体"/>
          <w:color w:val="FF0000"/>
          <w:sz w:val="24"/>
          <w:lang w:val="en-US" w:eastAsia="zh-CN"/>
        </w:rPr>
        <w:t>10</w:t>
      </w:r>
      <w:r>
        <w:rPr>
          <w:rFonts w:hint="eastAsia" w:hAnsi="宋体"/>
          <w:color w:val="FF0000"/>
          <w:sz w:val="24"/>
        </w:rPr>
        <w:t>、</w:t>
      </w:r>
      <w:r>
        <w:rPr>
          <w:rFonts w:hint="eastAsia" w:hAnsi="宋体"/>
          <w:color w:val="FF0000"/>
          <w:sz w:val="24"/>
          <w:lang w:val="en-US" w:eastAsia="zh-CN"/>
        </w:rPr>
        <w:t>11</w:t>
      </w:r>
      <w:r>
        <w:rPr>
          <w:rFonts w:hint="eastAsia" w:hAnsi="宋体"/>
          <w:color w:val="FF0000"/>
          <w:sz w:val="24"/>
        </w:rPr>
        <w:t>。</w:t>
      </w:r>
    </w:p>
    <w:p>
      <w:pPr>
        <w:adjustRightInd w:val="0"/>
        <w:snapToGrid w:val="0"/>
        <w:ind w:firstLine="310" w:firstLineChars="147"/>
        <w:jc w:val="center"/>
        <w:rPr>
          <w:b/>
          <w:color w:val="FF0000"/>
          <w:sz w:val="21"/>
          <w:szCs w:val="21"/>
        </w:rPr>
      </w:pPr>
      <w:r>
        <w:rPr>
          <w:b/>
          <w:color w:val="FF0000"/>
          <w:sz w:val="21"/>
          <w:szCs w:val="21"/>
        </w:rPr>
        <w:t>表</w:t>
      </w:r>
      <w:r>
        <w:rPr>
          <w:rFonts w:hint="eastAsia"/>
          <w:b/>
          <w:color w:val="FF0000"/>
          <w:sz w:val="21"/>
          <w:szCs w:val="21"/>
          <w:lang w:val="en-US" w:eastAsia="zh-CN"/>
        </w:rPr>
        <w:t>12</w:t>
      </w:r>
      <w:r>
        <w:rPr>
          <w:b/>
          <w:color w:val="FF0000"/>
          <w:sz w:val="21"/>
          <w:szCs w:val="21"/>
        </w:rPr>
        <w:t xml:space="preserve">     </w:t>
      </w:r>
      <w:r>
        <w:rPr>
          <w:rFonts w:hint="eastAsia"/>
          <w:b/>
          <w:color w:val="FF0000"/>
          <w:sz w:val="21"/>
          <w:szCs w:val="21"/>
          <w:lang w:eastAsia="zh-CN"/>
        </w:rPr>
        <w:t>本项目</w:t>
      </w:r>
      <w:r>
        <w:rPr>
          <w:rFonts w:hint="eastAsia"/>
          <w:b/>
          <w:color w:val="FF0000"/>
          <w:sz w:val="21"/>
          <w:szCs w:val="21"/>
        </w:rPr>
        <w:t>远</w:t>
      </w:r>
      <w:r>
        <w:rPr>
          <w:b/>
          <w:color w:val="FF0000"/>
          <w:sz w:val="21"/>
          <w:szCs w:val="21"/>
        </w:rPr>
        <w:t>期（203</w:t>
      </w:r>
      <w:r>
        <w:rPr>
          <w:rFonts w:hint="eastAsia"/>
          <w:b/>
          <w:color w:val="FF0000"/>
          <w:sz w:val="21"/>
          <w:szCs w:val="21"/>
          <w:lang w:val="en-US" w:eastAsia="zh-CN"/>
        </w:rPr>
        <w:t>8</w:t>
      </w:r>
      <w:r>
        <w:rPr>
          <w:b/>
          <w:color w:val="FF0000"/>
          <w:sz w:val="21"/>
          <w:szCs w:val="21"/>
        </w:rPr>
        <w:t>年）</w:t>
      </w:r>
      <w:r>
        <w:rPr>
          <w:rFonts w:hint="eastAsia"/>
          <w:b/>
          <w:color w:val="FF0000"/>
          <w:sz w:val="21"/>
          <w:szCs w:val="21"/>
          <w:lang w:eastAsia="zh-CN"/>
        </w:rPr>
        <w:t>预测点</w:t>
      </w:r>
      <w:r>
        <w:rPr>
          <w:b/>
          <w:color w:val="FF0000"/>
          <w:sz w:val="21"/>
          <w:szCs w:val="21"/>
        </w:rPr>
        <w:t>声环境影响预测结果</w:t>
      </w:r>
    </w:p>
    <w:tbl>
      <w:tblPr>
        <w:tblStyle w:val="30"/>
        <w:tblW w:w="851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4"/>
        <w:gridCol w:w="1063"/>
        <w:gridCol w:w="941"/>
        <w:gridCol w:w="898"/>
        <w:gridCol w:w="879"/>
        <w:gridCol w:w="1063"/>
        <w:gridCol w:w="930"/>
        <w:gridCol w:w="9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trPr>
        <w:tc>
          <w:tcPr>
            <w:tcW w:w="1764"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声环境敏感点</w:t>
            </w:r>
          </w:p>
        </w:tc>
        <w:tc>
          <w:tcPr>
            <w:tcW w:w="290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昼间</w:t>
            </w:r>
          </w:p>
        </w:tc>
        <w:tc>
          <w:tcPr>
            <w:tcW w:w="2872" w:type="dxa"/>
            <w:gridSpan w:val="3"/>
            <w:tcBorders>
              <w:tl2br w:val="nil"/>
              <w:tr2bl w:val="nil"/>
            </w:tcBorders>
            <w:vAlign w:val="center"/>
          </w:tcPr>
          <w:p>
            <w:pPr>
              <w:adjustRightInd w:val="0"/>
              <w:snapToGrid w:val="0"/>
              <w:jc w:val="center"/>
              <w:rPr>
                <w:bCs/>
                <w:color w:val="FF0000"/>
                <w:sz w:val="21"/>
                <w:szCs w:val="21"/>
              </w:rPr>
            </w:pPr>
            <w:r>
              <w:rPr>
                <w:bCs/>
                <w:color w:val="FF0000"/>
                <w:sz w:val="21"/>
                <w:szCs w:val="21"/>
              </w:rPr>
              <w:t>夜间</w:t>
            </w:r>
          </w:p>
        </w:tc>
        <w:tc>
          <w:tcPr>
            <w:tcW w:w="981" w:type="dxa"/>
            <w:vMerge w:val="restart"/>
            <w:tcBorders>
              <w:tl2br w:val="nil"/>
              <w:tr2bl w:val="nil"/>
            </w:tcBorders>
            <w:vAlign w:val="center"/>
          </w:tcPr>
          <w:p>
            <w:pPr>
              <w:adjustRightInd w:val="0"/>
              <w:snapToGrid w:val="0"/>
              <w:jc w:val="center"/>
              <w:rPr>
                <w:bCs/>
                <w:color w:val="FF0000"/>
                <w:sz w:val="21"/>
                <w:szCs w:val="21"/>
              </w:rPr>
            </w:pPr>
            <w:r>
              <w:rPr>
                <w:bCs/>
                <w:color w:val="FF0000"/>
                <w:sz w:val="21"/>
                <w:szCs w:val="21"/>
              </w:rPr>
              <w:t>标准</w:t>
            </w:r>
          </w:p>
          <w:p>
            <w:pPr>
              <w:adjustRightInd w:val="0"/>
              <w:snapToGrid w:val="0"/>
              <w:jc w:val="center"/>
              <w:rPr>
                <w:bCs/>
                <w:color w:val="FF0000"/>
                <w:sz w:val="21"/>
                <w:szCs w:val="21"/>
              </w:rPr>
            </w:pPr>
            <w:r>
              <w:rPr>
                <w:bCs/>
                <w:color w:val="FF0000"/>
                <w:sz w:val="21"/>
                <w:szCs w:val="21"/>
              </w:rPr>
              <w:t>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764" w:type="dxa"/>
            <w:vMerge w:val="continue"/>
            <w:tcBorders>
              <w:tl2br w:val="nil"/>
              <w:tr2bl w:val="nil"/>
            </w:tcBorders>
            <w:vAlign w:val="center"/>
          </w:tcPr>
          <w:p>
            <w:pPr>
              <w:adjustRightInd w:val="0"/>
              <w:snapToGrid w:val="0"/>
              <w:jc w:val="center"/>
              <w:rPr>
                <w:bCs/>
                <w:color w:val="FF0000"/>
                <w:sz w:val="21"/>
                <w:szCs w:val="21"/>
              </w:rPr>
            </w:pPr>
          </w:p>
        </w:tc>
        <w:tc>
          <w:tcPr>
            <w:tcW w:w="1063"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941"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898"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879" w:type="dxa"/>
            <w:tcBorders>
              <w:tl2br w:val="nil"/>
              <w:tr2bl w:val="nil"/>
            </w:tcBorders>
            <w:vAlign w:val="center"/>
          </w:tcPr>
          <w:p>
            <w:pPr>
              <w:adjustRightInd w:val="0"/>
              <w:snapToGrid w:val="0"/>
              <w:jc w:val="center"/>
              <w:rPr>
                <w:bCs/>
                <w:color w:val="FF0000"/>
                <w:sz w:val="21"/>
                <w:szCs w:val="21"/>
              </w:rPr>
            </w:pPr>
            <w:r>
              <w:rPr>
                <w:bCs/>
                <w:color w:val="FF0000"/>
                <w:sz w:val="21"/>
                <w:szCs w:val="21"/>
              </w:rPr>
              <w:t>贡献值</w:t>
            </w:r>
          </w:p>
          <w:p>
            <w:pPr>
              <w:adjustRightInd w:val="0"/>
              <w:snapToGrid w:val="0"/>
              <w:jc w:val="center"/>
              <w:rPr>
                <w:bCs/>
                <w:color w:val="FF0000"/>
                <w:sz w:val="21"/>
                <w:szCs w:val="21"/>
              </w:rPr>
            </w:pPr>
            <w:r>
              <w:rPr>
                <w:bCs/>
                <w:color w:val="FF0000"/>
                <w:sz w:val="21"/>
                <w:szCs w:val="21"/>
              </w:rPr>
              <w:t>dB（A）</w:t>
            </w:r>
          </w:p>
        </w:tc>
        <w:tc>
          <w:tcPr>
            <w:tcW w:w="1063"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背景值</w:t>
            </w:r>
          </w:p>
          <w:p>
            <w:pPr>
              <w:adjustRightInd w:val="0"/>
              <w:snapToGrid w:val="0"/>
              <w:jc w:val="center"/>
              <w:rPr>
                <w:bCs/>
                <w:color w:val="FF0000"/>
                <w:sz w:val="21"/>
                <w:szCs w:val="21"/>
              </w:rPr>
            </w:pPr>
            <w:r>
              <w:rPr>
                <w:bCs/>
                <w:color w:val="FF0000"/>
                <w:sz w:val="21"/>
                <w:szCs w:val="21"/>
              </w:rPr>
              <w:t>dB（A）</w:t>
            </w:r>
          </w:p>
        </w:tc>
        <w:tc>
          <w:tcPr>
            <w:tcW w:w="930" w:type="dxa"/>
            <w:tcBorders>
              <w:tl2br w:val="nil"/>
              <w:tr2bl w:val="nil"/>
            </w:tcBorders>
            <w:vAlign w:val="center"/>
          </w:tcPr>
          <w:p>
            <w:pPr>
              <w:widowControl/>
              <w:adjustRightInd w:val="0"/>
              <w:snapToGrid w:val="0"/>
              <w:jc w:val="center"/>
              <w:rPr>
                <w:bCs/>
                <w:color w:val="FF0000"/>
                <w:sz w:val="21"/>
                <w:szCs w:val="21"/>
              </w:rPr>
            </w:pPr>
            <w:r>
              <w:rPr>
                <w:bCs/>
                <w:color w:val="FF0000"/>
                <w:sz w:val="21"/>
                <w:szCs w:val="21"/>
              </w:rPr>
              <w:t>预测值</w:t>
            </w:r>
          </w:p>
          <w:p>
            <w:pPr>
              <w:adjustRightInd w:val="0"/>
              <w:snapToGrid w:val="0"/>
              <w:jc w:val="center"/>
              <w:rPr>
                <w:bCs/>
                <w:color w:val="FF0000"/>
                <w:sz w:val="21"/>
                <w:szCs w:val="21"/>
              </w:rPr>
            </w:pPr>
            <w:r>
              <w:rPr>
                <w:bCs/>
                <w:color w:val="FF0000"/>
                <w:sz w:val="21"/>
                <w:szCs w:val="21"/>
              </w:rPr>
              <w:t>dB（A）</w:t>
            </w:r>
          </w:p>
        </w:tc>
        <w:tc>
          <w:tcPr>
            <w:tcW w:w="981" w:type="dxa"/>
            <w:vMerge w:val="continue"/>
            <w:tcBorders>
              <w:tl2br w:val="nil"/>
              <w:tr2bl w:val="nil"/>
            </w:tcBorders>
            <w:vAlign w:val="center"/>
          </w:tcPr>
          <w:p>
            <w:pPr>
              <w:adjustRightInd w:val="0"/>
              <w:snapToGrid w:val="0"/>
              <w:jc w:val="center"/>
              <w:rPr>
                <w:bCs/>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764" w:type="dxa"/>
            <w:tcBorders>
              <w:tl2br w:val="nil"/>
              <w:tr2bl w:val="nil"/>
            </w:tcBorders>
            <w:vAlign w:val="center"/>
          </w:tcPr>
          <w:p>
            <w:pPr>
              <w:adjustRightInd w:val="0"/>
              <w:snapToGrid w:val="0"/>
              <w:jc w:val="center"/>
              <w:rPr>
                <w:rFonts w:hint="eastAsia"/>
                <w:bCs/>
                <w:color w:val="FF0000"/>
                <w:sz w:val="21"/>
                <w:szCs w:val="21"/>
              </w:rPr>
            </w:pPr>
            <w:r>
              <w:rPr>
                <w:rFonts w:hint="eastAsia" w:ascii="Times New Roman" w:hAnsi="Times New Roman" w:eastAsia="宋体" w:cs="Times New Roman"/>
                <w:bCs/>
                <w:color w:val="FF0000"/>
                <w:sz w:val="21"/>
                <w:szCs w:val="21"/>
                <w:lang w:val="en-US" w:eastAsia="zh-CN"/>
              </w:rPr>
              <w:t>金曹</w:t>
            </w:r>
            <w:r>
              <w:rPr>
                <w:rFonts w:hint="eastAsia"/>
                <w:bCs/>
                <w:color w:val="FF0000"/>
                <w:sz w:val="21"/>
                <w:szCs w:val="21"/>
                <w:lang w:val="en-US" w:eastAsia="zh-CN"/>
              </w:rPr>
              <w:t>村</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47.4</w:t>
            </w:r>
          </w:p>
        </w:tc>
        <w:tc>
          <w:tcPr>
            <w:tcW w:w="941"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50.2</w:t>
            </w:r>
          </w:p>
        </w:tc>
        <w:tc>
          <w:tcPr>
            <w:tcW w:w="898"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rFonts w:hint="eastAsia"/>
                <w:bCs/>
                <w:color w:val="FF0000"/>
                <w:sz w:val="21"/>
                <w:szCs w:val="21"/>
                <w:lang w:val="en-US" w:eastAsia="zh-CN"/>
              </w:rPr>
              <w:t>52.0</w:t>
            </w:r>
          </w:p>
        </w:tc>
        <w:tc>
          <w:tcPr>
            <w:tcW w:w="879"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38.8</w:t>
            </w:r>
          </w:p>
        </w:tc>
        <w:tc>
          <w:tcPr>
            <w:tcW w:w="1063"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38.4</w:t>
            </w:r>
          </w:p>
        </w:tc>
        <w:tc>
          <w:tcPr>
            <w:tcW w:w="930" w:type="dxa"/>
            <w:tcBorders>
              <w:tl2br w:val="nil"/>
              <w:tr2bl w:val="nil"/>
            </w:tcBorders>
            <w:vAlign w:val="center"/>
          </w:tcPr>
          <w:p>
            <w:pPr>
              <w:adjustRightInd w:val="0"/>
              <w:snapToGrid w:val="0"/>
              <w:jc w:val="center"/>
              <w:rPr>
                <w:rFonts w:hint="default"/>
                <w:bCs/>
                <w:color w:val="FF0000"/>
                <w:sz w:val="21"/>
                <w:szCs w:val="21"/>
                <w:lang w:val="en-US" w:eastAsia="zh-CN"/>
              </w:rPr>
            </w:pPr>
            <w:r>
              <w:rPr>
                <w:rFonts w:hint="eastAsia"/>
                <w:bCs/>
                <w:color w:val="FF0000"/>
                <w:sz w:val="21"/>
                <w:szCs w:val="21"/>
                <w:lang w:val="en-US" w:eastAsia="zh-CN"/>
              </w:rPr>
              <w:t>41.6</w:t>
            </w:r>
          </w:p>
        </w:tc>
        <w:tc>
          <w:tcPr>
            <w:tcW w:w="981" w:type="dxa"/>
            <w:tcBorders>
              <w:tl2br w:val="nil"/>
              <w:tr2bl w:val="nil"/>
            </w:tcBorders>
            <w:vAlign w:val="center"/>
          </w:tcPr>
          <w:p>
            <w:pPr>
              <w:adjustRightInd w:val="0"/>
              <w:snapToGrid w:val="0"/>
              <w:jc w:val="center"/>
              <w:rPr>
                <w:rFonts w:hint="default" w:eastAsia="宋体"/>
                <w:bCs/>
                <w:color w:val="FF0000"/>
                <w:sz w:val="21"/>
                <w:szCs w:val="21"/>
                <w:lang w:val="en-US" w:eastAsia="zh-CN"/>
              </w:rPr>
            </w:pPr>
            <w:r>
              <w:rPr>
                <w:bCs/>
                <w:color w:val="FF0000"/>
                <w:sz w:val="21"/>
                <w:szCs w:val="21"/>
              </w:rPr>
              <w:t>60/</w:t>
            </w:r>
            <w:r>
              <w:rPr>
                <w:rFonts w:hint="eastAsia"/>
                <w:bCs/>
                <w:color w:val="FF0000"/>
                <w:sz w:val="21"/>
                <w:szCs w:val="21"/>
                <w:lang w:val="en-US" w:eastAsia="zh-CN"/>
              </w:rPr>
              <w:t>50</w:t>
            </w:r>
          </w:p>
        </w:tc>
      </w:tr>
    </w:tbl>
    <w:p>
      <w:pPr>
        <w:pStyle w:val="85"/>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color w:val="FF0000"/>
        </w:rPr>
      </w:pPr>
      <w:r>
        <w:rPr>
          <w:color w:val="FF0000"/>
        </w:rPr>
        <w:drawing>
          <wp:inline distT="0" distB="0" distL="114300" distR="114300">
            <wp:extent cx="3080385" cy="2901950"/>
            <wp:effectExtent l="0" t="0" r="5715" b="635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9"/>
                    <a:stretch>
                      <a:fillRect/>
                    </a:stretch>
                  </pic:blipFill>
                  <pic:spPr>
                    <a:xfrm>
                      <a:off x="0" y="0"/>
                      <a:ext cx="3080385" cy="2901950"/>
                    </a:xfrm>
                    <a:prstGeom prst="rect">
                      <a:avLst/>
                    </a:prstGeom>
                    <a:noFill/>
                    <a:ln>
                      <a:noFill/>
                    </a:ln>
                  </pic:spPr>
                </pic:pic>
              </a:graphicData>
            </a:graphic>
          </wp:inline>
        </w:drawing>
      </w:r>
    </w:p>
    <w:p>
      <w:pPr>
        <w:pStyle w:val="85"/>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rFonts w:ascii="Times New Roman" w:hAnsi="Times New Roman" w:eastAsia="Times New Roman" w:cs="Times New Roman"/>
          <w:b/>
          <w:bCs/>
          <w:color w:val="FF0000"/>
          <w:kern w:val="0"/>
          <w:sz w:val="21"/>
          <w:szCs w:val="21"/>
          <w:lang w:val="en-US" w:eastAsia="zh-CN" w:bidi="ar-SA"/>
        </w:rPr>
      </w:pPr>
      <w:r>
        <w:rPr>
          <w:rFonts w:hint="eastAsia" w:ascii="Times New Roman" w:hAnsi="Times New Roman" w:eastAsia="Times New Roman" w:cs="Times New Roman"/>
          <w:b/>
          <w:bCs/>
          <w:color w:val="FF0000"/>
          <w:kern w:val="0"/>
          <w:sz w:val="21"/>
          <w:szCs w:val="21"/>
          <w:lang w:val="en-US" w:eastAsia="zh-CN" w:bidi="ar-SA"/>
        </w:rPr>
        <w:t xml:space="preserve">图10  </w:t>
      </w:r>
      <w:r>
        <w:rPr>
          <w:rFonts w:hint="eastAsia"/>
          <w:color w:val="FF0000"/>
          <w:lang w:val="en-US" w:eastAsia="zh-CN"/>
        </w:rPr>
        <w:t xml:space="preserve"> </w:t>
      </w:r>
      <w:r>
        <w:rPr>
          <w:rFonts w:hint="eastAsia" w:ascii="Times New Roman" w:hAnsi="Times New Roman" w:eastAsia="Times New Roman" w:cs="Times New Roman"/>
          <w:b/>
          <w:bCs/>
          <w:color w:val="FF0000"/>
          <w:kern w:val="0"/>
          <w:sz w:val="21"/>
          <w:szCs w:val="21"/>
          <w:lang w:val="en-US" w:eastAsia="zh-CN" w:bidi="ar-SA"/>
        </w:rPr>
        <w:t>远</w:t>
      </w:r>
      <w:r>
        <w:rPr>
          <w:rFonts w:ascii="Times New Roman" w:hAnsi="Times New Roman" w:eastAsia="Times New Roman" w:cs="Times New Roman"/>
          <w:b/>
          <w:bCs/>
          <w:color w:val="FF0000"/>
          <w:kern w:val="0"/>
          <w:sz w:val="21"/>
          <w:szCs w:val="21"/>
          <w:lang w:val="en-US" w:eastAsia="zh-CN" w:bidi="ar-SA"/>
        </w:rPr>
        <w:t>期（20</w:t>
      </w:r>
      <w:r>
        <w:rPr>
          <w:rFonts w:hint="eastAsia" w:ascii="Times New Roman" w:hAnsi="Times New Roman" w:eastAsia="Times New Roman" w:cs="Times New Roman"/>
          <w:b/>
          <w:bCs/>
          <w:color w:val="FF0000"/>
          <w:kern w:val="0"/>
          <w:sz w:val="21"/>
          <w:szCs w:val="21"/>
          <w:lang w:val="en-US" w:eastAsia="zh-CN" w:bidi="ar-SA"/>
        </w:rPr>
        <w:t>38</w:t>
      </w:r>
      <w:r>
        <w:rPr>
          <w:rFonts w:ascii="Times New Roman" w:hAnsi="Times New Roman" w:eastAsia="Times New Roman" w:cs="Times New Roman"/>
          <w:b/>
          <w:bCs/>
          <w:color w:val="FF0000"/>
          <w:kern w:val="0"/>
          <w:sz w:val="21"/>
          <w:szCs w:val="21"/>
          <w:lang w:val="en-US" w:eastAsia="zh-CN" w:bidi="ar-SA"/>
        </w:rPr>
        <w:t>年）声环境预测点</w:t>
      </w:r>
      <w:r>
        <w:rPr>
          <w:rFonts w:hint="eastAsia" w:ascii="Times New Roman" w:hAnsi="Times New Roman" w:eastAsia="Times New Roman" w:cs="Times New Roman"/>
          <w:b/>
          <w:bCs/>
          <w:color w:val="FF0000"/>
          <w:kern w:val="0"/>
          <w:sz w:val="21"/>
          <w:szCs w:val="21"/>
          <w:lang w:val="en-US" w:eastAsia="zh-CN" w:bidi="ar-SA"/>
        </w:rPr>
        <w:t>昼</w:t>
      </w:r>
      <w:r>
        <w:rPr>
          <w:rFonts w:ascii="Times New Roman" w:hAnsi="Times New Roman" w:eastAsia="Times New Roman" w:cs="Times New Roman"/>
          <w:b/>
          <w:bCs/>
          <w:color w:val="FF0000"/>
          <w:kern w:val="0"/>
          <w:sz w:val="21"/>
          <w:szCs w:val="21"/>
          <w:lang w:val="en-US" w:eastAsia="zh-CN" w:bidi="ar-SA"/>
        </w:rPr>
        <w:t>间等声级线分布图（贡献值）</w:t>
      </w:r>
    </w:p>
    <w:p>
      <w:pPr>
        <w:pStyle w:val="85"/>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color w:val="FF0000"/>
        </w:rPr>
      </w:pPr>
      <w:r>
        <w:rPr>
          <w:color w:val="FF0000"/>
        </w:rPr>
        <w:drawing>
          <wp:inline distT="0" distB="0" distL="114300" distR="114300">
            <wp:extent cx="2985135" cy="2584450"/>
            <wp:effectExtent l="0" t="0" r="12065" b="635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0"/>
                    <a:stretch>
                      <a:fillRect/>
                    </a:stretch>
                  </pic:blipFill>
                  <pic:spPr>
                    <a:xfrm>
                      <a:off x="0" y="0"/>
                      <a:ext cx="2985135" cy="2584450"/>
                    </a:xfrm>
                    <a:prstGeom prst="rect">
                      <a:avLst/>
                    </a:prstGeom>
                    <a:noFill/>
                    <a:ln>
                      <a:noFill/>
                    </a:ln>
                  </pic:spPr>
                </pic:pic>
              </a:graphicData>
            </a:graphic>
          </wp:inline>
        </w:drawing>
      </w:r>
    </w:p>
    <w:p>
      <w:pPr>
        <w:pStyle w:val="8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Times New Roman" w:cs="Times New Roman"/>
          <w:b/>
          <w:bCs/>
          <w:color w:val="FF0000"/>
          <w:kern w:val="0"/>
          <w:sz w:val="21"/>
          <w:szCs w:val="21"/>
          <w:lang w:val="en-US" w:eastAsia="zh-CN" w:bidi="ar-SA"/>
        </w:rPr>
      </w:pPr>
      <w:r>
        <w:rPr>
          <w:rFonts w:hint="eastAsia" w:ascii="Times New Roman" w:hAnsi="Times New Roman" w:eastAsia="Times New Roman" w:cs="Times New Roman"/>
          <w:b/>
          <w:bCs/>
          <w:color w:val="FF0000"/>
          <w:kern w:val="0"/>
          <w:sz w:val="21"/>
          <w:szCs w:val="21"/>
          <w:lang w:val="en-US" w:eastAsia="zh-CN" w:bidi="ar-SA"/>
        </w:rPr>
        <w:t>图1</w:t>
      </w:r>
      <w:r>
        <w:rPr>
          <w:rFonts w:hint="eastAsia" w:eastAsia="Times New Roman" w:cs="Times New Roman"/>
          <w:b/>
          <w:bCs/>
          <w:color w:val="FF0000"/>
          <w:kern w:val="0"/>
          <w:sz w:val="21"/>
          <w:szCs w:val="21"/>
          <w:lang w:val="en-US" w:eastAsia="zh-CN" w:bidi="ar-SA"/>
        </w:rPr>
        <w:t>1</w:t>
      </w:r>
      <w:r>
        <w:rPr>
          <w:rFonts w:hint="eastAsia" w:ascii="Times New Roman" w:hAnsi="Times New Roman" w:eastAsia="Times New Roman" w:cs="Times New Roman"/>
          <w:b/>
          <w:bCs/>
          <w:color w:val="FF0000"/>
          <w:kern w:val="0"/>
          <w:sz w:val="21"/>
          <w:szCs w:val="21"/>
          <w:lang w:val="en-US" w:eastAsia="zh-CN" w:bidi="ar-SA"/>
        </w:rPr>
        <w:t xml:space="preserve">  </w:t>
      </w:r>
      <w:r>
        <w:rPr>
          <w:rFonts w:hint="eastAsia"/>
          <w:color w:val="FF0000"/>
          <w:lang w:val="en-US" w:eastAsia="zh-CN"/>
        </w:rPr>
        <w:t xml:space="preserve"> </w:t>
      </w:r>
      <w:r>
        <w:rPr>
          <w:rFonts w:hint="eastAsia" w:ascii="Times New Roman" w:hAnsi="Times New Roman" w:eastAsia="Times New Roman" w:cs="Times New Roman"/>
          <w:b/>
          <w:bCs/>
          <w:color w:val="FF0000"/>
          <w:kern w:val="0"/>
          <w:sz w:val="21"/>
          <w:szCs w:val="21"/>
          <w:lang w:val="en-US" w:eastAsia="zh-CN" w:bidi="ar-SA"/>
        </w:rPr>
        <w:t>远</w:t>
      </w:r>
      <w:r>
        <w:rPr>
          <w:rFonts w:ascii="Times New Roman" w:hAnsi="Times New Roman" w:eastAsia="Times New Roman" w:cs="Times New Roman"/>
          <w:b/>
          <w:bCs/>
          <w:color w:val="FF0000"/>
          <w:kern w:val="0"/>
          <w:sz w:val="21"/>
          <w:szCs w:val="21"/>
          <w:lang w:val="en-US" w:eastAsia="zh-CN" w:bidi="ar-SA"/>
        </w:rPr>
        <w:t>期（20</w:t>
      </w:r>
      <w:r>
        <w:rPr>
          <w:rFonts w:hint="eastAsia" w:ascii="Times New Roman" w:hAnsi="Times New Roman" w:eastAsia="Times New Roman" w:cs="Times New Roman"/>
          <w:b/>
          <w:bCs/>
          <w:color w:val="FF0000"/>
          <w:kern w:val="0"/>
          <w:sz w:val="21"/>
          <w:szCs w:val="21"/>
          <w:lang w:val="en-US" w:eastAsia="zh-CN" w:bidi="ar-SA"/>
        </w:rPr>
        <w:t>38</w:t>
      </w:r>
      <w:r>
        <w:rPr>
          <w:rFonts w:ascii="Times New Roman" w:hAnsi="Times New Roman" w:eastAsia="Times New Roman" w:cs="Times New Roman"/>
          <w:b/>
          <w:bCs/>
          <w:color w:val="FF0000"/>
          <w:kern w:val="0"/>
          <w:sz w:val="21"/>
          <w:szCs w:val="21"/>
          <w:lang w:val="en-US" w:eastAsia="zh-CN" w:bidi="ar-SA"/>
        </w:rPr>
        <w:t>年）声环境预测点</w:t>
      </w:r>
      <w:r>
        <w:rPr>
          <w:rFonts w:hint="eastAsia" w:eastAsia="Times New Roman" w:cs="Times New Roman"/>
          <w:b/>
          <w:bCs/>
          <w:color w:val="FF0000"/>
          <w:kern w:val="0"/>
          <w:sz w:val="21"/>
          <w:szCs w:val="21"/>
          <w:lang w:val="en-US" w:eastAsia="zh-CN" w:bidi="ar-SA"/>
        </w:rPr>
        <w:t>夜</w:t>
      </w:r>
      <w:r>
        <w:rPr>
          <w:rFonts w:ascii="Times New Roman" w:hAnsi="Times New Roman" w:eastAsia="Times New Roman" w:cs="Times New Roman"/>
          <w:b/>
          <w:bCs/>
          <w:color w:val="FF0000"/>
          <w:kern w:val="0"/>
          <w:sz w:val="21"/>
          <w:szCs w:val="21"/>
          <w:lang w:val="en-US" w:eastAsia="zh-CN" w:bidi="ar-SA"/>
        </w:rPr>
        <w:t>间等声级线分布图（贡献值）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eastAsia="宋体"/>
          <w:color w:val="FF0000"/>
          <w:sz w:val="24"/>
          <w:szCs w:val="24"/>
        </w:rPr>
      </w:pPr>
      <w:r>
        <w:rPr>
          <w:rFonts w:hAnsi="宋体" w:eastAsia="宋体"/>
          <w:color w:val="FF0000"/>
          <w:sz w:val="24"/>
          <w:szCs w:val="24"/>
        </w:rPr>
        <w:t>综上，本项目</w:t>
      </w:r>
      <w:r>
        <w:rPr>
          <w:rFonts w:hint="eastAsia" w:hAnsi="宋体" w:eastAsia="宋体"/>
          <w:color w:val="FF0000"/>
          <w:sz w:val="24"/>
          <w:szCs w:val="24"/>
        </w:rPr>
        <w:t>运营后</w:t>
      </w:r>
      <w:r>
        <w:rPr>
          <w:rFonts w:hAnsi="宋体" w:eastAsia="宋体"/>
          <w:color w:val="FF0000"/>
          <w:sz w:val="24"/>
          <w:szCs w:val="24"/>
        </w:rPr>
        <w:t>交通噪声对周围声环境质量造成了一定的影响，根据表</w:t>
      </w:r>
      <w:r>
        <w:rPr>
          <w:rFonts w:hint="eastAsia"/>
          <w:color w:val="FF0000"/>
          <w:sz w:val="24"/>
          <w:szCs w:val="24"/>
          <w:lang w:val="en-US" w:eastAsia="zh-CN"/>
        </w:rPr>
        <w:t>12</w:t>
      </w:r>
      <w:r>
        <w:rPr>
          <w:rFonts w:hAnsi="宋体" w:eastAsia="宋体"/>
          <w:color w:val="FF0000"/>
          <w:sz w:val="24"/>
          <w:szCs w:val="24"/>
        </w:rPr>
        <w:t>中的预测结果可以看出，在叠加背景值后本</w:t>
      </w:r>
      <w:r>
        <w:rPr>
          <w:rFonts w:hint="eastAsia" w:hAnsi="宋体" w:eastAsia="宋体"/>
          <w:color w:val="FF0000"/>
          <w:sz w:val="24"/>
          <w:szCs w:val="24"/>
          <w:lang w:eastAsia="zh-CN"/>
        </w:rPr>
        <w:t>项目</w:t>
      </w:r>
      <w:r>
        <w:rPr>
          <w:rFonts w:hAnsi="宋体" w:eastAsia="宋体"/>
          <w:color w:val="FF0000"/>
          <w:sz w:val="24"/>
          <w:szCs w:val="24"/>
        </w:rPr>
        <w:t>运营</w:t>
      </w:r>
      <w:r>
        <w:rPr>
          <w:rFonts w:hint="eastAsia" w:hAnsi="宋体"/>
          <w:color w:val="FF0000"/>
          <w:sz w:val="24"/>
          <w:szCs w:val="24"/>
          <w:lang w:eastAsia="zh-CN"/>
        </w:rPr>
        <w:t>远</w:t>
      </w:r>
      <w:r>
        <w:rPr>
          <w:rFonts w:hAnsi="宋体" w:eastAsia="宋体"/>
          <w:color w:val="FF0000"/>
          <w:sz w:val="24"/>
          <w:szCs w:val="24"/>
        </w:rPr>
        <w:t>期（</w:t>
      </w:r>
      <w:r>
        <w:rPr>
          <w:color w:val="FF0000"/>
          <w:sz w:val="24"/>
          <w:szCs w:val="24"/>
        </w:rPr>
        <w:t>20</w:t>
      </w:r>
      <w:r>
        <w:rPr>
          <w:rFonts w:hint="eastAsia"/>
          <w:color w:val="FF0000"/>
          <w:sz w:val="24"/>
          <w:szCs w:val="24"/>
          <w:lang w:val="en-US" w:eastAsia="zh-CN"/>
        </w:rPr>
        <w:t>38</w:t>
      </w:r>
      <w:r>
        <w:rPr>
          <w:rFonts w:hAnsi="宋体" w:eastAsia="宋体"/>
          <w:color w:val="FF0000"/>
          <w:sz w:val="24"/>
          <w:szCs w:val="24"/>
        </w:rPr>
        <w:t>年）</w:t>
      </w:r>
      <w:r>
        <w:rPr>
          <w:rFonts w:hint="eastAsia" w:hAnsi="宋体" w:eastAsia="宋体"/>
          <w:color w:val="FF0000"/>
          <w:sz w:val="24"/>
          <w:szCs w:val="24"/>
          <w:lang w:eastAsia="zh-CN"/>
        </w:rPr>
        <w:t>声环境敏感</w:t>
      </w:r>
      <w:r>
        <w:rPr>
          <w:rFonts w:hAnsi="宋体" w:eastAsia="宋体"/>
          <w:color w:val="FF0000"/>
          <w:sz w:val="24"/>
          <w:szCs w:val="24"/>
        </w:rPr>
        <w:t>点未出现超标现象，满足《声环境质量标准》（</w:t>
      </w:r>
      <w:r>
        <w:rPr>
          <w:color w:val="FF0000"/>
          <w:sz w:val="24"/>
          <w:szCs w:val="24"/>
        </w:rPr>
        <w:t>GB3096-2008</w:t>
      </w:r>
      <w:r>
        <w:rPr>
          <w:rFonts w:hAnsi="宋体" w:eastAsia="宋体"/>
          <w:color w:val="FF0000"/>
          <w:sz w:val="24"/>
          <w:szCs w:val="24"/>
        </w:rPr>
        <w:t>）</w:t>
      </w:r>
      <w:r>
        <w:rPr>
          <w:color w:val="FF0000"/>
          <w:sz w:val="24"/>
          <w:szCs w:val="24"/>
        </w:rPr>
        <w:t>2</w:t>
      </w:r>
      <w:r>
        <w:rPr>
          <w:rFonts w:hAnsi="宋体" w:eastAsia="宋体"/>
          <w:color w:val="FF0000"/>
          <w:sz w:val="24"/>
          <w:szCs w:val="24"/>
        </w:rPr>
        <w:t>类区标准</w:t>
      </w:r>
      <w:r>
        <w:rPr>
          <w:rFonts w:hint="eastAsia" w:hAnsi="宋体" w:eastAsia="宋体"/>
          <w:color w:val="FF0000"/>
          <w:sz w:val="24"/>
          <w:szCs w:val="24"/>
        </w:rPr>
        <w:t>（</w:t>
      </w:r>
      <w:r>
        <w:rPr>
          <w:rFonts w:hAnsi="宋体" w:eastAsia="宋体"/>
          <w:color w:val="FF0000"/>
          <w:sz w:val="24"/>
          <w:szCs w:val="24"/>
        </w:rPr>
        <w:t>昼间</w:t>
      </w:r>
      <w:r>
        <w:rPr>
          <w:color w:val="FF0000"/>
          <w:sz w:val="24"/>
          <w:szCs w:val="24"/>
        </w:rPr>
        <w:t>60dB</w:t>
      </w:r>
      <w:r>
        <w:rPr>
          <w:rFonts w:hAnsi="宋体" w:eastAsia="宋体"/>
          <w:color w:val="FF0000"/>
          <w:sz w:val="24"/>
          <w:szCs w:val="24"/>
        </w:rPr>
        <w:t>（</w:t>
      </w:r>
      <w:r>
        <w:rPr>
          <w:color w:val="FF0000"/>
          <w:sz w:val="24"/>
          <w:szCs w:val="24"/>
        </w:rPr>
        <w:t>A</w:t>
      </w:r>
      <w:r>
        <w:rPr>
          <w:rFonts w:hAnsi="宋体" w:eastAsia="宋体"/>
          <w:color w:val="FF0000"/>
          <w:sz w:val="24"/>
          <w:szCs w:val="24"/>
        </w:rPr>
        <w:t>），夜间</w:t>
      </w:r>
      <w:r>
        <w:rPr>
          <w:color w:val="FF0000"/>
          <w:sz w:val="24"/>
          <w:szCs w:val="24"/>
        </w:rPr>
        <w:t>50dB</w:t>
      </w:r>
      <w:r>
        <w:rPr>
          <w:rFonts w:hAnsi="宋体" w:eastAsia="宋体"/>
          <w:color w:val="FF0000"/>
          <w:sz w:val="24"/>
          <w:szCs w:val="24"/>
        </w:rPr>
        <w:t>（</w:t>
      </w:r>
      <w:r>
        <w:rPr>
          <w:color w:val="FF0000"/>
          <w:sz w:val="24"/>
          <w:szCs w:val="24"/>
        </w:rPr>
        <w:t>A</w:t>
      </w:r>
      <w:r>
        <w:rPr>
          <w:rFonts w:hAnsi="宋体" w:eastAsia="宋体"/>
          <w:color w:val="FF0000"/>
          <w:sz w:val="24"/>
          <w:szCs w:val="24"/>
        </w:rPr>
        <w:t>）</w:t>
      </w:r>
      <w:r>
        <w:rPr>
          <w:rFonts w:hint="eastAsia" w:hAnsi="宋体" w:eastAsia="宋体"/>
          <w:color w:val="FF0000"/>
          <w:sz w:val="24"/>
          <w:szCs w:val="24"/>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textAlignment w:val="auto"/>
        <w:rPr>
          <w:rFonts w:hint="default" w:ascii="Times New Roman" w:hAnsi="Times New Roman" w:cs="Times New Roman"/>
          <w:b/>
          <w:color w:val="FF0000"/>
          <w:spacing w:val="0"/>
          <w:kern w:val="0"/>
          <w:position w:val="0"/>
          <w:sz w:val="24"/>
        </w:rPr>
      </w:pPr>
      <w:r>
        <w:rPr>
          <w:rFonts w:hint="eastAsia" w:cs="Times New Roman"/>
          <w:b/>
          <w:color w:val="FF0000"/>
          <w:spacing w:val="0"/>
          <w:kern w:val="0"/>
          <w:position w:val="0"/>
          <w:sz w:val="24"/>
          <w:lang w:val="en-US" w:eastAsia="zh-CN"/>
        </w:rPr>
        <w:t>6、</w:t>
      </w:r>
      <w:r>
        <w:rPr>
          <w:rFonts w:hint="default" w:ascii="Times New Roman" w:hAnsi="Times New Roman" w:cs="Times New Roman"/>
          <w:b/>
          <w:color w:val="FF0000"/>
          <w:spacing w:val="0"/>
          <w:kern w:val="0"/>
          <w:position w:val="0"/>
          <w:sz w:val="24"/>
        </w:rPr>
        <w:t>噪声污染控制措施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为了保证</w:t>
      </w:r>
      <w:r>
        <w:rPr>
          <w:rFonts w:hint="eastAsia" w:cs="Times New Roman"/>
          <w:color w:val="FF0000"/>
          <w:spacing w:val="0"/>
          <w:kern w:val="0"/>
          <w:position w:val="0"/>
          <w:sz w:val="24"/>
          <w:lang w:val="en-US" w:eastAsia="zh-CN"/>
        </w:rPr>
        <w:t>道路</w:t>
      </w:r>
      <w:r>
        <w:rPr>
          <w:rFonts w:hint="eastAsia" w:ascii="Times New Roman" w:hAnsi="Times New Roman" w:cs="Times New Roman"/>
          <w:color w:val="FF0000"/>
          <w:spacing w:val="0"/>
          <w:kern w:val="0"/>
          <w:position w:val="0"/>
          <w:sz w:val="24"/>
          <w:lang w:val="en-US" w:eastAsia="zh-CN"/>
        </w:rPr>
        <w:t>两侧</w:t>
      </w:r>
      <w:r>
        <w:rPr>
          <w:rFonts w:hint="default" w:ascii="Times New Roman" w:hAnsi="Times New Roman" w:cs="Times New Roman"/>
          <w:color w:val="FF0000"/>
          <w:spacing w:val="0"/>
          <w:kern w:val="0"/>
          <w:position w:val="0"/>
          <w:sz w:val="24"/>
        </w:rPr>
        <w:t>声环境质量，结合项目敏感点分布情况，本环评从车辆噪声控制、道路交通管理制度及路面的保养维修管理等方面提出交通噪声污染防治措施，具体如下：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⑴加强车辆噪声控制管理，如限制性能差的车辆进入，道路沿线限制速度；加强对机动车鸣笛的管理；在距离敏感点较近的</w:t>
      </w:r>
      <w:r>
        <w:rPr>
          <w:rFonts w:hint="eastAsia" w:ascii="Times New Roman" w:hAnsi="Times New Roman" w:cs="Times New Roman"/>
          <w:color w:val="FF0000"/>
          <w:spacing w:val="0"/>
          <w:kern w:val="0"/>
          <w:position w:val="0"/>
          <w:sz w:val="24"/>
          <w:lang w:val="en-US" w:eastAsia="zh-CN"/>
        </w:rPr>
        <w:t>起、终点</w:t>
      </w:r>
      <w:r>
        <w:rPr>
          <w:rFonts w:hint="default" w:ascii="Times New Roman" w:hAnsi="Times New Roman" w:cs="Times New Roman"/>
          <w:color w:val="FF0000"/>
          <w:spacing w:val="0"/>
          <w:kern w:val="0"/>
          <w:position w:val="0"/>
          <w:sz w:val="24"/>
        </w:rPr>
        <w:t>设置限速、禁鸣标志，有效控制交通噪声的污染。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⑵制定机动车噪声的控制规划和目标，逐步降低单车噪声值，是降低道路交通噪声最直接最有效的措施；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⑶加强</w:t>
      </w:r>
      <w:r>
        <w:rPr>
          <w:rFonts w:hint="eastAsia" w:cs="Times New Roman"/>
          <w:color w:val="FF0000"/>
          <w:spacing w:val="0"/>
          <w:kern w:val="0"/>
          <w:position w:val="0"/>
          <w:sz w:val="24"/>
          <w:lang w:eastAsia="zh-CN"/>
        </w:rPr>
        <w:t>路</w:t>
      </w:r>
      <w:r>
        <w:rPr>
          <w:rFonts w:hint="eastAsia" w:ascii="Times New Roman" w:hAnsi="Times New Roman" w:cs="Times New Roman"/>
          <w:color w:val="FF0000"/>
          <w:spacing w:val="0"/>
          <w:kern w:val="0"/>
          <w:position w:val="0"/>
          <w:sz w:val="24"/>
          <w:lang w:val="en-US" w:eastAsia="zh-CN"/>
        </w:rPr>
        <w:t>面</w:t>
      </w:r>
      <w:r>
        <w:rPr>
          <w:rFonts w:hint="default" w:ascii="Times New Roman" w:hAnsi="Times New Roman" w:cs="Times New Roman"/>
          <w:color w:val="FF0000"/>
          <w:spacing w:val="0"/>
          <w:kern w:val="0"/>
          <w:position w:val="0"/>
          <w:sz w:val="24"/>
        </w:rPr>
        <w:t>运行维护，破损</w:t>
      </w:r>
      <w:r>
        <w:rPr>
          <w:rFonts w:hint="eastAsia" w:ascii="Times New Roman" w:hAnsi="Times New Roman" w:cs="Times New Roman"/>
          <w:color w:val="FF0000"/>
          <w:spacing w:val="0"/>
          <w:kern w:val="0"/>
          <w:position w:val="0"/>
          <w:sz w:val="24"/>
          <w:lang w:val="en-US" w:eastAsia="zh-CN"/>
        </w:rPr>
        <w:t>桥</w:t>
      </w:r>
      <w:r>
        <w:rPr>
          <w:rFonts w:hint="default" w:ascii="Times New Roman" w:hAnsi="Times New Roman" w:cs="Times New Roman"/>
          <w:color w:val="FF0000"/>
          <w:spacing w:val="0"/>
          <w:kern w:val="0"/>
          <w:position w:val="0"/>
          <w:sz w:val="24"/>
        </w:rPr>
        <w:t>面应及时修补，保持</w:t>
      </w:r>
      <w:r>
        <w:rPr>
          <w:rFonts w:hint="eastAsia" w:cs="Times New Roman"/>
          <w:color w:val="FF0000"/>
          <w:spacing w:val="0"/>
          <w:kern w:val="0"/>
          <w:position w:val="0"/>
          <w:sz w:val="24"/>
          <w:lang w:val="en-US" w:eastAsia="zh-CN"/>
        </w:rPr>
        <w:t>路</w:t>
      </w:r>
      <w:r>
        <w:rPr>
          <w:rFonts w:hint="default" w:ascii="Times New Roman" w:hAnsi="Times New Roman" w:cs="Times New Roman"/>
          <w:color w:val="FF0000"/>
          <w:spacing w:val="0"/>
          <w:kern w:val="0"/>
          <w:position w:val="0"/>
          <w:sz w:val="24"/>
        </w:rPr>
        <w:t>面的平整度，避免因路况不佳造成车辆不能正常行驶引起交通噪声增大；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⑷加强交通管理、保持</w:t>
      </w:r>
      <w:r>
        <w:rPr>
          <w:rFonts w:hint="eastAsia" w:cs="Times New Roman"/>
          <w:color w:val="FF0000"/>
          <w:spacing w:val="0"/>
          <w:kern w:val="0"/>
          <w:position w:val="0"/>
          <w:sz w:val="24"/>
          <w:lang w:val="en-US" w:eastAsia="zh-CN"/>
        </w:rPr>
        <w:t>路</w:t>
      </w:r>
      <w:r>
        <w:rPr>
          <w:rFonts w:hint="eastAsia" w:ascii="Times New Roman" w:hAnsi="Times New Roman" w:cs="Times New Roman"/>
          <w:color w:val="FF0000"/>
          <w:spacing w:val="0"/>
          <w:kern w:val="0"/>
          <w:position w:val="0"/>
          <w:sz w:val="24"/>
          <w:lang w:val="en-US" w:eastAsia="zh-CN"/>
        </w:rPr>
        <w:t>面交通</w:t>
      </w:r>
      <w:r>
        <w:rPr>
          <w:rFonts w:hint="default" w:ascii="Times New Roman" w:hAnsi="Times New Roman" w:cs="Times New Roman"/>
          <w:color w:val="FF0000"/>
          <w:spacing w:val="0"/>
          <w:kern w:val="0"/>
          <w:position w:val="0"/>
          <w:sz w:val="24"/>
        </w:rPr>
        <w:t>畅通；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FF0000"/>
          <w:spacing w:val="0"/>
          <w:kern w:val="0"/>
          <w:position w:val="0"/>
          <w:sz w:val="24"/>
        </w:rPr>
      </w:pPr>
      <w:r>
        <w:rPr>
          <w:rFonts w:hint="default" w:ascii="Times New Roman" w:hAnsi="Times New Roman" w:cs="Times New Roman"/>
          <w:color w:val="FF0000"/>
          <w:spacing w:val="0"/>
          <w:kern w:val="0"/>
          <w:position w:val="0"/>
          <w:sz w:val="24"/>
        </w:rPr>
        <w:t>⑸在</w:t>
      </w:r>
      <w:r>
        <w:rPr>
          <w:rFonts w:hint="eastAsia" w:cs="Times New Roman"/>
          <w:color w:val="FF0000"/>
          <w:spacing w:val="0"/>
          <w:kern w:val="0"/>
          <w:position w:val="0"/>
          <w:sz w:val="24"/>
          <w:lang w:val="en-US" w:eastAsia="zh-CN"/>
        </w:rPr>
        <w:t>道路</w:t>
      </w:r>
      <w:r>
        <w:rPr>
          <w:rFonts w:hint="eastAsia" w:ascii="Times New Roman" w:hAnsi="Times New Roman" w:cs="Times New Roman"/>
          <w:color w:val="FF0000"/>
          <w:spacing w:val="0"/>
          <w:kern w:val="0"/>
          <w:position w:val="0"/>
          <w:sz w:val="24"/>
          <w:lang w:val="en-US" w:eastAsia="zh-CN"/>
        </w:rPr>
        <w:t>起点、终点</w:t>
      </w:r>
      <w:r>
        <w:rPr>
          <w:rFonts w:hint="default" w:ascii="Times New Roman" w:hAnsi="Times New Roman" w:cs="Times New Roman"/>
          <w:color w:val="FF0000"/>
          <w:spacing w:val="0"/>
          <w:kern w:val="0"/>
          <w:position w:val="0"/>
          <w:sz w:val="24"/>
        </w:rPr>
        <w:t>与敏感点之间加强绿化，种植叶密繁茂的灌木，通过绿化带隔声减小噪声对敏感点的影响。</w:t>
      </w:r>
    </w:p>
    <w:p>
      <w:pPr>
        <w:adjustRightInd w:val="0"/>
        <w:snapToGrid w:val="0"/>
        <w:spacing w:line="360" w:lineRule="auto"/>
        <w:rPr>
          <w:rFonts w:hint="default" w:ascii="Times New Roman" w:hAnsi="Times New Roman" w:cs="Times New Roman"/>
          <w:b/>
          <w:bCs/>
          <w:color w:val="FF0000"/>
          <w:spacing w:val="0"/>
          <w:kern w:val="0"/>
          <w:position w:val="0"/>
          <w:sz w:val="24"/>
          <w:lang w:val="zh-CN"/>
        </w:rPr>
      </w:pPr>
      <w:r>
        <w:rPr>
          <w:rFonts w:hint="eastAsia" w:cs="Times New Roman"/>
          <w:b/>
          <w:bCs/>
          <w:color w:val="FF0000"/>
          <w:spacing w:val="0"/>
          <w:kern w:val="0"/>
          <w:position w:val="0"/>
          <w:sz w:val="24"/>
          <w:lang w:val="en-US" w:eastAsia="zh-CN"/>
        </w:rPr>
        <w:t>7、</w:t>
      </w:r>
      <w:r>
        <w:rPr>
          <w:rFonts w:hint="default" w:ascii="Times New Roman" w:hAnsi="Times New Roman" w:cs="Times New Roman"/>
          <w:b/>
          <w:bCs/>
          <w:color w:val="FF0000"/>
          <w:spacing w:val="0"/>
          <w:kern w:val="0"/>
          <w:position w:val="0"/>
          <w:sz w:val="24"/>
          <w:lang w:val="zh-CN"/>
        </w:rPr>
        <w:t>环境监测计划</w:t>
      </w:r>
    </w:p>
    <w:p>
      <w:pPr>
        <w:pStyle w:val="12"/>
        <w:adjustRightInd w:val="0"/>
        <w:snapToGrid w:val="0"/>
        <w:spacing w:line="360" w:lineRule="auto"/>
        <w:ind w:firstLine="482"/>
        <w:rPr>
          <w:rFonts w:hint="default" w:ascii="Times New Roman" w:hAnsi="Times New Roman" w:eastAsia="宋体" w:cs="Times New Roman"/>
          <w:snapToGrid w:val="0"/>
          <w:color w:val="FF0000"/>
          <w:spacing w:val="0"/>
          <w:kern w:val="0"/>
          <w:position w:val="0"/>
          <w:sz w:val="24"/>
        </w:rPr>
      </w:pPr>
      <w:r>
        <w:rPr>
          <w:rFonts w:hint="default" w:ascii="Times New Roman" w:hAnsi="Times New Roman" w:cs="Times New Roman"/>
          <w:snapToGrid w:val="0"/>
          <w:color w:val="FF0000"/>
          <w:spacing w:val="0"/>
          <w:kern w:val="0"/>
          <w:position w:val="0"/>
          <w:sz w:val="24"/>
        </w:rPr>
        <w:t>根据道路工程的特点及沿线环境特征，</w:t>
      </w:r>
      <w:r>
        <w:rPr>
          <w:rFonts w:hint="default" w:ascii="Times New Roman" w:hAnsi="Times New Roman" w:cs="Times New Roman"/>
          <w:snapToGrid w:val="0"/>
          <w:color w:val="FF0000"/>
          <w:spacing w:val="0"/>
          <w:kern w:val="0"/>
          <w:position w:val="0"/>
          <w:sz w:val="24"/>
          <w:lang w:val="zh-CN"/>
        </w:rPr>
        <w:t>按照《排污单位自行监测技术指南 总则》（HJ819-2017）</w:t>
      </w:r>
      <w:r>
        <w:rPr>
          <w:rFonts w:hint="default" w:ascii="Times New Roman" w:hAnsi="Times New Roman" w:cs="Times New Roman"/>
          <w:snapToGrid w:val="0"/>
          <w:color w:val="FF0000"/>
          <w:spacing w:val="0"/>
          <w:kern w:val="0"/>
          <w:position w:val="0"/>
          <w:sz w:val="24"/>
        </w:rPr>
        <w:t>制定本项目的环境监测计划</w:t>
      </w:r>
      <w:r>
        <w:rPr>
          <w:rFonts w:hint="default" w:ascii="Times New Roman" w:hAnsi="Times New Roman" w:eastAsia="宋体" w:cs="Times New Roman"/>
          <w:snapToGrid w:val="0"/>
          <w:color w:val="FF0000"/>
          <w:spacing w:val="0"/>
          <w:kern w:val="0"/>
          <w:position w:val="0"/>
          <w:sz w:val="24"/>
        </w:rPr>
        <w:t>见表</w:t>
      </w:r>
      <w:r>
        <w:rPr>
          <w:rFonts w:hint="eastAsia" w:cs="Times New Roman"/>
          <w:snapToGrid w:val="0"/>
          <w:color w:val="FF0000"/>
          <w:spacing w:val="0"/>
          <w:kern w:val="0"/>
          <w:position w:val="0"/>
          <w:sz w:val="24"/>
          <w:lang w:val="en-US" w:eastAsia="zh-CN"/>
        </w:rPr>
        <w:t>13</w:t>
      </w:r>
      <w:r>
        <w:rPr>
          <w:rFonts w:hint="default" w:ascii="Times New Roman" w:hAnsi="Times New Roman" w:eastAsia="宋体" w:cs="Times New Roman"/>
          <w:snapToGrid w:val="0"/>
          <w:color w:val="FF0000"/>
          <w:spacing w:val="0"/>
          <w:kern w:val="0"/>
          <w:position w:val="0"/>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949" w:firstLineChars="450"/>
        <w:jc w:val="center"/>
        <w:textAlignment w:val="auto"/>
        <w:rPr>
          <w:rFonts w:hint="default"/>
          <w:b/>
          <w:color w:val="FF0000"/>
          <w:sz w:val="21"/>
          <w:szCs w:val="21"/>
          <w:lang w:eastAsia="zh-CN"/>
        </w:rPr>
      </w:pPr>
      <w:r>
        <w:rPr>
          <w:rFonts w:hint="default"/>
          <w:b/>
          <w:color w:val="FF0000"/>
          <w:sz w:val="21"/>
          <w:szCs w:val="21"/>
          <w:lang w:eastAsia="zh-CN"/>
        </w:rPr>
        <w:t>表</w:t>
      </w:r>
      <w:r>
        <w:rPr>
          <w:rFonts w:hint="eastAsia"/>
          <w:b/>
          <w:color w:val="FF0000"/>
          <w:sz w:val="21"/>
          <w:szCs w:val="21"/>
          <w:lang w:val="en-US" w:eastAsia="zh-CN"/>
        </w:rPr>
        <w:t>13</w:t>
      </w:r>
      <w:r>
        <w:rPr>
          <w:rFonts w:hint="default"/>
          <w:b/>
          <w:color w:val="FF0000"/>
          <w:sz w:val="21"/>
          <w:szCs w:val="21"/>
          <w:lang w:eastAsia="zh-CN"/>
        </w:rPr>
        <w:t xml:space="preserve"> </w:t>
      </w:r>
      <w:r>
        <w:rPr>
          <w:rFonts w:hint="default"/>
          <w:b/>
          <w:color w:val="FF0000"/>
          <w:sz w:val="21"/>
          <w:szCs w:val="21"/>
          <w:lang w:val="en-US" w:eastAsia="zh-CN"/>
        </w:rPr>
        <w:t xml:space="preserve">     </w:t>
      </w:r>
      <w:r>
        <w:rPr>
          <w:rFonts w:hint="default"/>
          <w:b/>
          <w:color w:val="FF0000"/>
          <w:sz w:val="21"/>
          <w:szCs w:val="21"/>
          <w:lang w:eastAsia="zh-CN"/>
        </w:rPr>
        <w:t xml:space="preserve"> </w:t>
      </w:r>
      <w:r>
        <w:rPr>
          <w:rFonts w:hint="eastAsia"/>
          <w:b/>
          <w:color w:val="FF0000"/>
          <w:sz w:val="21"/>
          <w:szCs w:val="21"/>
          <w:lang w:val="en-US" w:eastAsia="zh-CN"/>
        </w:rPr>
        <w:t>项目</w:t>
      </w:r>
      <w:r>
        <w:rPr>
          <w:rFonts w:hint="default"/>
          <w:b/>
          <w:color w:val="FF0000"/>
          <w:sz w:val="21"/>
          <w:szCs w:val="21"/>
          <w:lang w:eastAsia="zh-CN"/>
        </w:rPr>
        <w:t>环境监测计划</w:t>
      </w:r>
    </w:p>
    <w:tbl>
      <w:tblPr>
        <w:tblStyle w:val="30"/>
        <w:tblW w:w="84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1"/>
        <w:gridCol w:w="1605"/>
        <w:gridCol w:w="1126"/>
        <w:gridCol w:w="1904"/>
        <w:gridCol w:w="928"/>
        <w:gridCol w:w="822"/>
        <w:gridCol w:w="11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2" w:hRule="atLeast"/>
          <w:jc w:val="center"/>
        </w:trPr>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阶段</w:t>
            </w:r>
          </w:p>
        </w:tc>
        <w:tc>
          <w:tcPr>
            <w:tcW w:w="160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监测项目</w:t>
            </w:r>
          </w:p>
        </w:tc>
        <w:tc>
          <w:tcPr>
            <w:tcW w:w="1126"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监测频次</w:t>
            </w:r>
          </w:p>
        </w:tc>
        <w:tc>
          <w:tcPr>
            <w:tcW w:w="190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监测时间</w:t>
            </w:r>
          </w:p>
        </w:tc>
        <w:tc>
          <w:tcPr>
            <w:tcW w:w="92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实施机构</w:t>
            </w:r>
          </w:p>
        </w:tc>
        <w:tc>
          <w:tcPr>
            <w:tcW w:w="822"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负责机构</w:t>
            </w:r>
          </w:p>
        </w:tc>
        <w:tc>
          <w:tcPr>
            <w:tcW w:w="115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pacing w:val="0"/>
                <w:kern w:val="0"/>
                <w:position w:val="0"/>
                <w:sz w:val="21"/>
                <w:szCs w:val="21"/>
              </w:rPr>
            </w:pPr>
            <w:r>
              <w:rPr>
                <w:rFonts w:hint="default" w:ascii="Times New Roman" w:hAnsi="Times New Roman" w:cs="Times New Roman"/>
                <w:b/>
                <w:bCs/>
                <w:color w:val="FF0000"/>
                <w:spacing w:val="0"/>
                <w:kern w:val="0"/>
                <w:position w:val="0"/>
                <w:sz w:val="21"/>
                <w:szCs w:val="21"/>
              </w:rPr>
              <w:t>监督机构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rPr>
              <w:t>运营期</w:t>
            </w:r>
          </w:p>
        </w:tc>
        <w:tc>
          <w:tcPr>
            <w:tcW w:w="1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lang w:eastAsia="zh-CN"/>
              </w:rPr>
              <w:t>等效连续</w:t>
            </w:r>
            <w:r>
              <w:rPr>
                <w:rFonts w:hint="default" w:ascii="Times New Roman" w:hAnsi="Times New Roman" w:cs="Times New Roman"/>
                <w:bCs/>
                <w:color w:val="FF0000"/>
                <w:spacing w:val="0"/>
                <w:kern w:val="0"/>
                <w:position w:val="0"/>
                <w:sz w:val="21"/>
                <w:szCs w:val="21"/>
                <w:lang w:val="en-US" w:eastAsia="zh-CN"/>
              </w:rPr>
              <w:t>A声级</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rPr>
              <w:t>4次/a</w:t>
            </w:r>
          </w:p>
        </w:tc>
        <w:tc>
          <w:tcPr>
            <w:tcW w:w="1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lang w:val="en-US" w:eastAsia="zh-CN"/>
              </w:rPr>
              <w:t>2</w:t>
            </w:r>
            <w:r>
              <w:rPr>
                <w:rFonts w:hint="eastAsia" w:ascii="Times New Roman" w:hAnsi="Times New Roman" w:cs="Times New Roman"/>
                <w:bCs/>
                <w:color w:val="FF0000"/>
                <w:spacing w:val="0"/>
                <w:kern w:val="0"/>
                <w:position w:val="0"/>
                <w:sz w:val="21"/>
                <w:szCs w:val="21"/>
                <w:lang w:val="en-US" w:eastAsia="zh-CN"/>
              </w:rPr>
              <w:t>次</w:t>
            </w:r>
            <w:r>
              <w:rPr>
                <w:rFonts w:hint="default" w:ascii="Times New Roman" w:hAnsi="Times New Roman" w:cs="Times New Roman"/>
                <w:bCs/>
                <w:color w:val="FF0000"/>
                <w:spacing w:val="0"/>
                <w:kern w:val="0"/>
                <w:position w:val="0"/>
                <w:sz w:val="21"/>
                <w:szCs w:val="21"/>
              </w:rPr>
              <w:t>/2</w:t>
            </w:r>
            <w:r>
              <w:rPr>
                <w:rFonts w:hint="eastAsia" w:ascii="Times New Roman" w:hAnsi="Times New Roman" w:cs="Times New Roman"/>
                <w:bCs/>
                <w:color w:val="FF0000"/>
                <w:spacing w:val="0"/>
                <w:kern w:val="0"/>
                <w:position w:val="0"/>
                <w:sz w:val="21"/>
                <w:szCs w:val="21"/>
                <w:lang w:val="en-US" w:eastAsia="zh-CN"/>
              </w:rPr>
              <w:t>天</w:t>
            </w:r>
            <w:r>
              <w:rPr>
                <w:rFonts w:hint="default" w:ascii="Times New Roman" w:hAnsi="Times New Roman" w:cs="Times New Roman"/>
                <w:bCs/>
                <w:color w:val="FF0000"/>
                <w:spacing w:val="0"/>
                <w:kern w:val="0"/>
                <w:position w:val="0"/>
                <w:sz w:val="21"/>
                <w:szCs w:val="21"/>
              </w:rPr>
              <w:t>，每天昼间、夜间各监测1次</w:t>
            </w:r>
          </w:p>
        </w:tc>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FF0000"/>
                <w:spacing w:val="0"/>
                <w:kern w:val="0"/>
                <w:position w:val="0"/>
                <w:sz w:val="21"/>
                <w:szCs w:val="21"/>
                <w:lang w:val="en-US" w:eastAsia="zh-CN" w:bidi="ar-SA"/>
              </w:rPr>
            </w:pPr>
            <w:r>
              <w:rPr>
                <w:rFonts w:hint="default" w:ascii="Times New Roman" w:hAnsi="Times New Roman" w:cs="Times New Roman"/>
                <w:bCs/>
                <w:color w:val="FF0000"/>
                <w:spacing w:val="0"/>
                <w:kern w:val="0"/>
                <w:position w:val="0"/>
                <w:sz w:val="21"/>
                <w:szCs w:val="21"/>
                <w:lang w:eastAsia="zh-CN"/>
              </w:rPr>
              <w:t>有资质单位</w:t>
            </w:r>
          </w:p>
        </w:tc>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bCs/>
                <w:color w:val="FF0000"/>
                <w:spacing w:val="0"/>
                <w:kern w:val="0"/>
                <w:position w:val="0"/>
                <w:sz w:val="21"/>
                <w:szCs w:val="21"/>
              </w:rPr>
            </w:pPr>
            <w:r>
              <w:rPr>
                <w:rFonts w:hint="default" w:ascii="Times New Roman" w:hAnsi="Times New Roman" w:cs="Times New Roman"/>
                <w:color w:val="FF0000"/>
                <w:spacing w:val="0"/>
                <w:kern w:val="0"/>
                <w:position w:val="0"/>
                <w:sz w:val="21"/>
                <w:szCs w:val="21"/>
              </w:rPr>
              <w:t>运营管理机构</w:t>
            </w:r>
          </w:p>
        </w:tc>
        <w:tc>
          <w:tcPr>
            <w:tcW w:w="11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FF0000"/>
                <w:spacing w:val="0"/>
                <w:kern w:val="0"/>
                <w:position w:val="0"/>
                <w:sz w:val="21"/>
                <w:szCs w:val="21"/>
              </w:rPr>
            </w:pPr>
            <w:r>
              <w:rPr>
                <w:rFonts w:hint="eastAsia" w:cs="Times New Roman"/>
                <w:b w:val="0"/>
                <w:bCs/>
                <w:color w:val="FF0000"/>
                <w:spacing w:val="0"/>
                <w:kern w:val="0"/>
                <w:position w:val="0"/>
                <w:sz w:val="21"/>
                <w:szCs w:val="21"/>
                <w:lang w:eastAsia="zh-CN"/>
              </w:rPr>
              <w:t>庆阳</w:t>
            </w:r>
            <w:r>
              <w:rPr>
                <w:rFonts w:hint="default" w:ascii="Times New Roman" w:hAnsi="Times New Roman" w:eastAsia="宋体" w:cs="Times New Roman"/>
                <w:b w:val="0"/>
                <w:bCs/>
                <w:color w:val="FF0000"/>
                <w:spacing w:val="0"/>
                <w:kern w:val="0"/>
                <w:position w:val="0"/>
                <w:sz w:val="21"/>
                <w:szCs w:val="21"/>
              </w:rPr>
              <w:t>市生态环境局</w:t>
            </w:r>
            <w:r>
              <w:rPr>
                <w:rFonts w:hint="eastAsia" w:cs="Times New Roman"/>
                <w:b w:val="0"/>
                <w:bCs/>
                <w:color w:val="FF0000"/>
                <w:spacing w:val="0"/>
                <w:kern w:val="0"/>
                <w:position w:val="0"/>
                <w:sz w:val="21"/>
                <w:szCs w:val="21"/>
                <w:lang w:eastAsia="zh-CN"/>
              </w:rPr>
              <w:t>宁县</w:t>
            </w:r>
            <w:r>
              <w:rPr>
                <w:rFonts w:hint="default" w:ascii="Times New Roman" w:hAnsi="Times New Roman" w:eastAsia="宋体" w:cs="Times New Roman"/>
                <w:b w:val="0"/>
                <w:bCs/>
                <w:color w:val="FF0000"/>
                <w:spacing w:val="0"/>
                <w:kern w:val="0"/>
                <w:position w:val="0"/>
                <w:sz w:val="21"/>
                <w:szCs w:val="21"/>
              </w:rPr>
              <w:t>分局</w:t>
            </w:r>
          </w:p>
        </w:tc>
      </w:tr>
    </w:tbl>
    <w:p>
      <w:pPr>
        <w:pStyle w:val="85"/>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firstLine="480" w:firstLineChars="200"/>
        <w:jc w:val="both"/>
        <w:textAlignment w:val="auto"/>
        <w:rPr>
          <w:rFonts w:hint="default" w:ascii="Times New Roman" w:hAnsi="Times New Roman" w:cs="Times New Roman"/>
          <w:snapToGrid w:val="0"/>
          <w:color w:val="FF0000"/>
          <w:spacing w:val="0"/>
          <w:kern w:val="0"/>
          <w:position w:val="0"/>
          <w:sz w:val="24"/>
          <w:szCs w:val="24"/>
        </w:rPr>
      </w:pPr>
      <w:r>
        <w:rPr>
          <w:rFonts w:hint="default" w:ascii="Times New Roman" w:hAnsi="Times New Roman" w:cs="Times New Roman"/>
          <w:snapToGrid w:val="0"/>
          <w:color w:val="FF0000"/>
          <w:spacing w:val="0"/>
          <w:kern w:val="0"/>
          <w:position w:val="0"/>
          <w:sz w:val="24"/>
          <w:szCs w:val="24"/>
        </w:rPr>
        <w:t>每次监测工作结束后，监测单位应提交正式监测报告，并按程序逐级上报。若遇有突发性事故发生时，必须立即上报。</w:t>
      </w:r>
    </w:p>
    <w:p>
      <w:pPr>
        <w:pStyle w:val="85"/>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color w:val="FF0000"/>
          <w:spacing w:val="0"/>
          <w:kern w:val="0"/>
          <w:position w:val="0"/>
          <w:sz w:val="24"/>
          <w:szCs w:val="24"/>
          <w:lang w:val="en-US" w:eastAsia="zh-CN"/>
        </w:rPr>
      </w:pPr>
      <w:r>
        <w:rPr>
          <w:rFonts w:hint="eastAsia" w:cs="Times New Roman"/>
          <w:b/>
          <w:bCs/>
          <w:color w:val="FF0000"/>
          <w:spacing w:val="0"/>
          <w:kern w:val="0"/>
          <w:position w:val="0"/>
          <w:sz w:val="24"/>
          <w:szCs w:val="24"/>
          <w:lang w:val="en-US" w:eastAsia="zh-CN"/>
        </w:rPr>
        <w:t>8、</w:t>
      </w:r>
      <w:r>
        <w:rPr>
          <w:rFonts w:hint="eastAsia" w:ascii="Times New Roman" w:hAnsi="Times New Roman" w:cs="Times New Roman"/>
          <w:b/>
          <w:bCs/>
          <w:color w:val="FF0000"/>
          <w:spacing w:val="0"/>
          <w:kern w:val="0"/>
          <w:position w:val="0"/>
          <w:sz w:val="24"/>
          <w:szCs w:val="24"/>
          <w:lang w:val="en-US" w:eastAsia="zh-CN"/>
        </w:rPr>
        <w:t>声环境评价结论</w:t>
      </w:r>
    </w:p>
    <w:p>
      <w:pPr>
        <w:widowControl/>
        <w:adjustRightInd w:val="0"/>
        <w:snapToGrid w:val="0"/>
        <w:spacing w:line="360" w:lineRule="auto"/>
        <w:ind w:firstLine="480" w:firstLineChars="200"/>
        <w:rPr>
          <w:color w:val="FF0000"/>
          <w:spacing w:val="0"/>
          <w:kern w:val="0"/>
          <w:position w:val="0"/>
          <w:sz w:val="24"/>
        </w:rPr>
      </w:pPr>
      <w:r>
        <w:rPr>
          <w:rFonts w:hint="eastAsia" w:hAnsi="宋体"/>
          <w:color w:val="FF0000"/>
          <w:spacing w:val="0"/>
          <w:kern w:val="0"/>
          <w:position w:val="0"/>
          <w:sz w:val="24"/>
        </w:rPr>
        <w:t>本</w:t>
      </w:r>
      <w:r>
        <w:rPr>
          <w:rFonts w:hAnsi="宋体"/>
          <w:color w:val="FF0000"/>
          <w:spacing w:val="0"/>
          <w:kern w:val="0"/>
          <w:position w:val="0"/>
          <w:sz w:val="24"/>
        </w:rPr>
        <w:t>项目</w:t>
      </w:r>
      <w:r>
        <w:rPr>
          <w:rFonts w:hint="eastAsia" w:hAnsi="宋体"/>
          <w:color w:val="FF0000"/>
          <w:spacing w:val="0"/>
          <w:kern w:val="0"/>
          <w:position w:val="0"/>
          <w:sz w:val="24"/>
        </w:rPr>
        <w:t>运营后</w:t>
      </w:r>
      <w:r>
        <w:rPr>
          <w:rFonts w:hAnsi="宋体"/>
          <w:color w:val="FF0000"/>
          <w:spacing w:val="0"/>
          <w:kern w:val="0"/>
          <w:position w:val="0"/>
          <w:sz w:val="24"/>
        </w:rPr>
        <w:t>交通噪声对周围声环境质量造成了一定的影响，根据预测结果可以看出，在叠加背景值后预测点未出现超标现象，满足《声环境质量标准》（</w:t>
      </w:r>
      <w:r>
        <w:rPr>
          <w:color w:val="FF0000"/>
          <w:spacing w:val="0"/>
          <w:kern w:val="0"/>
          <w:position w:val="0"/>
          <w:sz w:val="24"/>
        </w:rPr>
        <w:t>GB3096-2008</w:t>
      </w:r>
      <w:r>
        <w:rPr>
          <w:rFonts w:hAnsi="宋体"/>
          <w:color w:val="FF0000"/>
          <w:spacing w:val="0"/>
          <w:kern w:val="0"/>
          <w:position w:val="0"/>
          <w:sz w:val="24"/>
        </w:rPr>
        <w:t>）</w:t>
      </w:r>
      <w:r>
        <w:rPr>
          <w:color w:val="FF0000"/>
          <w:spacing w:val="0"/>
          <w:kern w:val="0"/>
          <w:position w:val="0"/>
          <w:sz w:val="24"/>
        </w:rPr>
        <w:t>2</w:t>
      </w:r>
      <w:r>
        <w:rPr>
          <w:rFonts w:hAnsi="宋体"/>
          <w:color w:val="FF0000"/>
          <w:spacing w:val="0"/>
          <w:kern w:val="0"/>
          <w:position w:val="0"/>
          <w:sz w:val="24"/>
        </w:rPr>
        <w:t>类区标准</w:t>
      </w:r>
      <w:r>
        <w:rPr>
          <w:rFonts w:hint="eastAsia" w:hAnsi="宋体"/>
          <w:color w:val="FF0000"/>
          <w:spacing w:val="0"/>
          <w:kern w:val="0"/>
          <w:position w:val="0"/>
          <w:sz w:val="24"/>
        </w:rPr>
        <w:t>（</w:t>
      </w:r>
      <w:r>
        <w:rPr>
          <w:rFonts w:hAnsi="宋体"/>
          <w:color w:val="FF0000"/>
          <w:spacing w:val="0"/>
          <w:kern w:val="0"/>
          <w:position w:val="0"/>
          <w:sz w:val="24"/>
        </w:rPr>
        <w:t>昼间</w:t>
      </w:r>
      <w:r>
        <w:rPr>
          <w:color w:val="FF0000"/>
          <w:spacing w:val="0"/>
          <w:kern w:val="0"/>
          <w:position w:val="0"/>
          <w:sz w:val="24"/>
        </w:rPr>
        <w:t>60dB</w:t>
      </w:r>
      <w:r>
        <w:rPr>
          <w:rFonts w:hAnsi="宋体"/>
          <w:color w:val="FF0000"/>
          <w:spacing w:val="0"/>
          <w:kern w:val="0"/>
          <w:position w:val="0"/>
          <w:sz w:val="24"/>
        </w:rPr>
        <w:t>（</w:t>
      </w:r>
      <w:r>
        <w:rPr>
          <w:color w:val="FF0000"/>
          <w:spacing w:val="0"/>
          <w:kern w:val="0"/>
          <w:position w:val="0"/>
          <w:sz w:val="24"/>
        </w:rPr>
        <w:t>A</w:t>
      </w:r>
      <w:r>
        <w:rPr>
          <w:rFonts w:hAnsi="宋体"/>
          <w:color w:val="FF0000"/>
          <w:spacing w:val="0"/>
          <w:kern w:val="0"/>
          <w:position w:val="0"/>
          <w:sz w:val="24"/>
        </w:rPr>
        <w:t>），夜间</w:t>
      </w:r>
      <w:r>
        <w:rPr>
          <w:color w:val="FF0000"/>
          <w:spacing w:val="0"/>
          <w:kern w:val="0"/>
          <w:position w:val="0"/>
          <w:sz w:val="24"/>
        </w:rPr>
        <w:t>50dB</w:t>
      </w:r>
      <w:r>
        <w:rPr>
          <w:rFonts w:hAnsi="宋体"/>
          <w:color w:val="FF0000"/>
          <w:spacing w:val="0"/>
          <w:kern w:val="0"/>
          <w:position w:val="0"/>
          <w:sz w:val="24"/>
        </w:rPr>
        <w:t>（</w:t>
      </w:r>
      <w:r>
        <w:rPr>
          <w:color w:val="FF0000"/>
          <w:spacing w:val="0"/>
          <w:kern w:val="0"/>
          <w:position w:val="0"/>
          <w:sz w:val="24"/>
        </w:rPr>
        <w:t>A</w:t>
      </w:r>
      <w:r>
        <w:rPr>
          <w:rFonts w:hAnsi="宋体"/>
          <w:color w:val="FF0000"/>
          <w:spacing w:val="0"/>
          <w:kern w:val="0"/>
          <w:position w:val="0"/>
          <w:sz w:val="24"/>
        </w:rPr>
        <w:t>）</w:t>
      </w:r>
      <w:r>
        <w:rPr>
          <w:rFonts w:hint="eastAsia" w:hAnsi="宋体"/>
          <w:color w:val="FF0000"/>
          <w:spacing w:val="0"/>
          <w:kern w:val="0"/>
          <w:position w:val="0"/>
          <w:sz w:val="24"/>
        </w:rPr>
        <w:t>）</w:t>
      </w:r>
      <w:r>
        <w:rPr>
          <w:rFonts w:hint="eastAsia" w:hAnsi="宋体"/>
          <w:color w:val="FF0000"/>
          <w:spacing w:val="0"/>
          <w:kern w:val="0"/>
          <w:position w:val="0"/>
          <w:sz w:val="24"/>
          <w:lang w:eastAsia="zh-CN"/>
        </w:rPr>
        <w:t>。</w:t>
      </w:r>
      <w:r>
        <w:rPr>
          <w:rFonts w:hint="eastAsia"/>
          <w:color w:val="FF0000"/>
          <w:spacing w:val="0"/>
          <w:kern w:val="0"/>
          <w:position w:val="0"/>
          <w:sz w:val="24"/>
        </w:rPr>
        <w:t>本项目</w:t>
      </w:r>
      <w:r>
        <w:rPr>
          <w:color w:val="FF0000"/>
          <w:spacing w:val="0"/>
          <w:kern w:val="0"/>
          <w:position w:val="0"/>
          <w:sz w:val="24"/>
        </w:rPr>
        <w:t>的建设</w:t>
      </w:r>
      <w:r>
        <w:rPr>
          <w:rFonts w:hint="eastAsia"/>
          <w:color w:val="FF0000"/>
          <w:spacing w:val="0"/>
          <w:kern w:val="0"/>
          <w:position w:val="0"/>
          <w:sz w:val="24"/>
          <w:lang w:eastAsia="zh-CN"/>
        </w:rPr>
        <w:t>是</w:t>
      </w:r>
      <w:r>
        <w:rPr>
          <w:rFonts w:hint="eastAsia"/>
          <w:color w:val="FF0000"/>
          <w:spacing w:val="0"/>
          <w:kern w:val="0"/>
          <w:position w:val="0"/>
          <w:sz w:val="24"/>
          <w:lang w:val="en-US" w:eastAsia="zh-CN"/>
        </w:rPr>
        <w:t>宁</w:t>
      </w:r>
      <w:r>
        <w:rPr>
          <w:rFonts w:hint="eastAsia"/>
          <w:color w:val="FF0000"/>
          <w:spacing w:val="0"/>
          <w:kern w:val="0"/>
          <w:position w:val="0"/>
          <w:sz w:val="24"/>
        </w:rPr>
        <w:t>县的</w:t>
      </w:r>
      <w:r>
        <w:rPr>
          <w:color w:val="FF0000"/>
          <w:spacing w:val="0"/>
          <w:kern w:val="0"/>
          <w:position w:val="0"/>
          <w:sz w:val="24"/>
        </w:rPr>
        <w:t>社会经济发展、路网建设以及城市发展的需要，</w:t>
      </w:r>
      <w:r>
        <w:rPr>
          <w:rFonts w:hint="eastAsia"/>
          <w:color w:val="FF0000"/>
          <w:spacing w:val="0"/>
          <w:kern w:val="0"/>
          <w:position w:val="0"/>
          <w:sz w:val="24"/>
          <w:lang w:val="en-US" w:eastAsia="zh-CN"/>
        </w:rPr>
        <w:t>项目</w:t>
      </w:r>
      <w:r>
        <w:rPr>
          <w:color w:val="FF0000"/>
          <w:spacing w:val="0"/>
          <w:kern w:val="0"/>
          <w:position w:val="0"/>
          <w:sz w:val="24"/>
        </w:rPr>
        <w:t>建成以后将改善城市交通条件，促进整个城市建设，使</w:t>
      </w:r>
      <w:r>
        <w:rPr>
          <w:rFonts w:hint="eastAsia"/>
          <w:color w:val="FF0000"/>
          <w:spacing w:val="0"/>
          <w:kern w:val="0"/>
          <w:position w:val="0"/>
          <w:sz w:val="24"/>
          <w:lang w:val="en-US" w:eastAsia="zh-CN"/>
        </w:rPr>
        <w:t>宁</w:t>
      </w:r>
      <w:r>
        <w:rPr>
          <w:rFonts w:hint="eastAsia"/>
          <w:color w:val="FF0000"/>
          <w:spacing w:val="0"/>
          <w:kern w:val="0"/>
          <w:position w:val="0"/>
          <w:sz w:val="24"/>
        </w:rPr>
        <w:t>县</w:t>
      </w:r>
      <w:r>
        <w:rPr>
          <w:color w:val="FF0000"/>
          <w:spacing w:val="0"/>
          <w:kern w:val="0"/>
          <w:position w:val="0"/>
          <w:sz w:val="24"/>
        </w:rPr>
        <w:t>的资源、区域优势得到进一步发挥，提升城市品质，带动社会经济的发展。</w:t>
      </w:r>
    </w:p>
    <w:p>
      <w:pPr>
        <w:keepNext w:val="0"/>
        <w:keepLines w:val="0"/>
        <w:pageBreakBefore w:val="0"/>
        <w:widowControl w:val="0"/>
        <w:kinsoku/>
        <w:wordWrap/>
        <w:overflowPunct/>
        <w:topLinePunct w:val="0"/>
        <w:autoSpaceDE/>
        <w:autoSpaceDN/>
        <w:bidi w:val="0"/>
        <w:adjustRightInd w:val="0"/>
        <w:snapToGrid w:val="0"/>
        <w:spacing w:line="240" w:lineRule="auto"/>
        <w:ind w:firstLine="949" w:firstLineChars="450"/>
        <w:jc w:val="center"/>
        <w:textAlignment w:val="auto"/>
        <w:rPr>
          <w:rFonts w:hint="default"/>
          <w:b/>
          <w:color w:val="FF0000"/>
          <w:sz w:val="21"/>
          <w:szCs w:val="21"/>
          <w:lang w:val="en-US" w:eastAsia="zh-CN"/>
        </w:rPr>
      </w:pPr>
      <w:r>
        <w:rPr>
          <w:rFonts w:hint="eastAsia"/>
          <w:b/>
          <w:color w:val="FF0000"/>
          <w:sz w:val="21"/>
          <w:szCs w:val="21"/>
          <w:lang w:val="en-US" w:eastAsia="zh-CN"/>
        </w:rPr>
        <w:t xml:space="preserve">表14    </w:t>
      </w:r>
      <w:r>
        <w:rPr>
          <w:rFonts w:hint="default"/>
          <w:b/>
          <w:color w:val="FF0000"/>
          <w:sz w:val="21"/>
          <w:szCs w:val="21"/>
          <w:lang w:val="en-US" w:eastAsia="zh-CN"/>
        </w:rPr>
        <w:t>声环境影响评价自查表</w:t>
      </w:r>
    </w:p>
    <w:tbl>
      <w:tblPr>
        <w:tblStyle w:val="104"/>
        <w:tblW w:w="8313" w:type="dxa"/>
        <w:tblInd w:w="7"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1308"/>
        <w:gridCol w:w="1004"/>
        <w:gridCol w:w="800"/>
        <w:gridCol w:w="211"/>
        <w:gridCol w:w="964"/>
        <w:gridCol w:w="50"/>
        <w:gridCol w:w="1013"/>
        <w:gridCol w:w="504"/>
        <w:gridCol w:w="432"/>
        <w:gridCol w:w="71"/>
        <w:gridCol w:w="102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36" w:hRule="atLeast"/>
        </w:trPr>
        <w:tc>
          <w:tcPr>
            <w:tcW w:w="223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工作内容</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自查项目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评价等级与范围</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评价等级</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一级□</w:t>
            </w:r>
          </w:p>
        </w:tc>
        <w:tc>
          <w:tcPr>
            <w:tcW w:w="223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二级</w:t>
            </w:r>
            <w:r>
              <w:rPr>
                <w:rFonts w:hint="eastAsia" w:ascii="宋体" w:hAnsi="宋体" w:cs="宋体"/>
                <w:color w:val="FF0000"/>
                <w:spacing w:val="0"/>
                <w:kern w:val="0"/>
                <w:position w:val="0"/>
                <w:sz w:val="18"/>
                <w:szCs w:val="18"/>
                <w:lang w:eastAsia="zh-CN"/>
              </w:rPr>
              <w:t>☑</w:t>
            </w:r>
          </w:p>
        </w:tc>
        <w:tc>
          <w:tcPr>
            <w:tcW w:w="203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三级□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评价范围</w:t>
            </w:r>
          </w:p>
        </w:tc>
        <w:tc>
          <w:tcPr>
            <w:tcW w:w="1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Times New Roman" w:hAnsi="Times New Roman" w:eastAsia="Times New Roman" w:cs="Times New Roman"/>
                <w:color w:val="FF0000"/>
                <w:spacing w:val="0"/>
                <w:kern w:val="0"/>
                <w:position w:val="0"/>
                <w:sz w:val="18"/>
                <w:szCs w:val="18"/>
              </w:rPr>
              <w:t>200m</w:t>
            </w:r>
            <w:r>
              <w:rPr>
                <w:rFonts w:hint="eastAsia" w:ascii="宋体" w:hAnsi="宋体" w:cs="宋体"/>
                <w:color w:val="FF0000"/>
                <w:spacing w:val="0"/>
                <w:kern w:val="0"/>
                <w:position w:val="0"/>
                <w:sz w:val="18"/>
                <w:szCs w:val="18"/>
                <w:lang w:eastAsia="zh-CN"/>
              </w:rPr>
              <w:t>☑</w:t>
            </w:r>
          </w:p>
        </w:tc>
        <w:tc>
          <w:tcPr>
            <w:tcW w:w="3038"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大于</w:t>
            </w:r>
            <w:r>
              <w:rPr>
                <w:rFonts w:ascii="Times New Roman" w:hAnsi="Times New Roman" w:eastAsia="Times New Roman" w:cs="Times New Roman"/>
                <w:color w:val="FF0000"/>
                <w:spacing w:val="0"/>
                <w:kern w:val="0"/>
                <w:position w:val="0"/>
                <w:sz w:val="18"/>
                <w:szCs w:val="18"/>
              </w:rPr>
              <w:t>200m</w:t>
            </w:r>
            <w:r>
              <w:rPr>
                <w:rFonts w:hint="eastAsia" w:ascii="宋体" w:hAnsi="宋体" w:cs="宋体"/>
                <w:color w:val="FF0000"/>
                <w:spacing w:val="0"/>
                <w:kern w:val="0"/>
                <w:position w:val="0"/>
                <w:sz w:val="18"/>
                <w:szCs w:val="18"/>
                <w:lang w:eastAsia="zh-CN"/>
              </w:rPr>
              <w:t>□</w:t>
            </w:r>
          </w:p>
        </w:tc>
        <w:tc>
          <w:tcPr>
            <w:tcW w:w="203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小于</w:t>
            </w:r>
            <w:r>
              <w:rPr>
                <w:rFonts w:ascii="Times New Roman" w:hAnsi="Times New Roman" w:eastAsia="Times New Roman" w:cs="Times New Roman"/>
                <w:color w:val="FF0000"/>
                <w:spacing w:val="0"/>
                <w:kern w:val="0"/>
                <w:position w:val="0"/>
                <w:sz w:val="18"/>
                <w:szCs w:val="18"/>
              </w:rPr>
              <w:t>200 m</w:t>
            </w:r>
            <w:r>
              <w:rPr>
                <w:rFonts w:ascii="宋体" w:hAnsi="宋体" w:eastAsia="宋体" w:cs="宋体"/>
                <w:color w:val="FF0000"/>
                <w:spacing w:val="0"/>
                <w:kern w:val="0"/>
                <w:position w:val="0"/>
                <w:sz w:val="18"/>
                <w:szCs w:val="18"/>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评价因子</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评价因子</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等效连续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最大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     计权等效连续感觉噪声级□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评价标准</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评价标准</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国家标准</w:t>
            </w:r>
            <w:r>
              <w:rPr>
                <w:rFonts w:hint="eastAsia" w:ascii="宋体" w:hAnsi="宋体" w:cs="宋体"/>
                <w:color w:val="FF0000"/>
                <w:spacing w:val="0"/>
                <w:kern w:val="0"/>
                <w:position w:val="0"/>
                <w:sz w:val="18"/>
                <w:szCs w:val="18"/>
                <w:lang w:eastAsia="zh-CN"/>
              </w:rPr>
              <w:t>☑</w:t>
            </w:r>
          </w:p>
        </w:tc>
        <w:tc>
          <w:tcPr>
            <w:tcW w:w="2238"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地方标准□</w:t>
            </w:r>
          </w:p>
        </w:tc>
        <w:tc>
          <w:tcPr>
            <w:tcW w:w="203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国外标准□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现状评价</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环境功能区</w:t>
            </w:r>
          </w:p>
        </w:tc>
        <w:tc>
          <w:tcPr>
            <w:tcW w:w="1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0 </w:t>
            </w:r>
            <w:r>
              <w:rPr>
                <w:rFonts w:ascii="宋体" w:hAnsi="宋体" w:eastAsia="宋体" w:cs="宋体"/>
                <w:color w:val="FF0000"/>
                <w:spacing w:val="0"/>
                <w:kern w:val="0"/>
                <w:position w:val="0"/>
                <w:sz w:val="18"/>
                <w:szCs w:val="18"/>
              </w:rPr>
              <w:t>类区□</w:t>
            </w:r>
          </w:p>
        </w:tc>
        <w:tc>
          <w:tcPr>
            <w:tcW w:w="101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1 </w:t>
            </w:r>
            <w:r>
              <w:rPr>
                <w:rFonts w:ascii="宋体" w:hAnsi="宋体" w:eastAsia="宋体" w:cs="宋体"/>
                <w:color w:val="FF0000"/>
                <w:spacing w:val="0"/>
                <w:kern w:val="0"/>
                <w:position w:val="0"/>
                <w:sz w:val="18"/>
                <w:szCs w:val="18"/>
              </w:rPr>
              <w:t>类区□</w:t>
            </w:r>
          </w:p>
        </w:tc>
        <w:tc>
          <w:tcPr>
            <w:tcW w:w="101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Times New Roman" w:hAnsi="Times New Roman" w:eastAsia="Times New Roman" w:cs="Times New Roman"/>
                <w:color w:val="FF0000"/>
                <w:spacing w:val="0"/>
                <w:kern w:val="0"/>
                <w:position w:val="0"/>
                <w:sz w:val="18"/>
                <w:szCs w:val="18"/>
              </w:rPr>
              <w:t xml:space="preserve">2 </w:t>
            </w:r>
            <w:r>
              <w:rPr>
                <w:rFonts w:ascii="宋体" w:hAnsi="宋体" w:eastAsia="宋体" w:cs="宋体"/>
                <w:color w:val="FF0000"/>
                <w:spacing w:val="0"/>
                <w:kern w:val="0"/>
                <w:position w:val="0"/>
                <w:sz w:val="18"/>
                <w:szCs w:val="18"/>
              </w:rPr>
              <w:t>类区</w:t>
            </w:r>
            <w:r>
              <w:rPr>
                <w:rFonts w:hint="eastAsia" w:ascii="宋体" w:hAnsi="宋体" w:cs="宋体"/>
                <w:color w:val="FF0000"/>
                <w:spacing w:val="0"/>
                <w:kern w:val="0"/>
                <w:position w:val="0"/>
                <w:sz w:val="18"/>
                <w:szCs w:val="18"/>
                <w:lang w:eastAsia="zh-CN"/>
              </w:rPr>
              <w:t>☑</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3 </w:t>
            </w:r>
            <w:r>
              <w:rPr>
                <w:rFonts w:ascii="宋体" w:hAnsi="宋体" w:eastAsia="宋体" w:cs="宋体"/>
                <w:color w:val="FF0000"/>
                <w:spacing w:val="0"/>
                <w:kern w:val="0"/>
                <w:position w:val="0"/>
                <w:sz w:val="18"/>
                <w:szCs w:val="18"/>
              </w:rPr>
              <w:t>类区□</w:t>
            </w:r>
          </w:p>
        </w:tc>
        <w:tc>
          <w:tcPr>
            <w:tcW w:w="100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4a </w:t>
            </w:r>
            <w:r>
              <w:rPr>
                <w:rFonts w:ascii="宋体" w:hAnsi="宋体" w:eastAsia="宋体" w:cs="宋体"/>
                <w:color w:val="FF0000"/>
                <w:spacing w:val="0"/>
                <w:kern w:val="0"/>
                <w:position w:val="0"/>
                <w:sz w:val="18"/>
                <w:szCs w:val="18"/>
              </w:rPr>
              <w:t>类区□</w:t>
            </w:r>
          </w:p>
        </w:tc>
        <w:tc>
          <w:tcPr>
            <w:tcW w:w="10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 xml:space="preserve">4b </w:t>
            </w:r>
            <w:r>
              <w:rPr>
                <w:rFonts w:ascii="宋体" w:hAnsi="宋体" w:eastAsia="宋体" w:cs="宋体"/>
                <w:color w:val="FF0000"/>
                <w:spacing w:val="0"/>
                <w:kern w:val="0"/>
                <w:position w:val="0"/>
                <w:sz w:val="18"/>
                <w:szCs w:val="18"/>
              </w:rPr>
              <w:t>类区□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评价年度</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初期□</w:t>
            </w:r>
          </w:p>
        </w:tc>
        <w:tc>
          <w:tcPr>
            <w:tcW w:w="122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近期</w:t>
            </w:r>
            <w:r>
              <w:rPr>
                <w:rFonts w:hint="eastAsia" w:ascii="宋体" w:hAnsi="宋体" w:cs="宋体"/>
                <w:color w:val="FF0000"/>
                <w:spacing w:val="0"/>
                <w:kern w:val="0"/>
                <w:position w:val="0"/>
                <w:sz w:val="18"/>
                <w:szCs w:val="18"/>
                <w:lang w:eastAsia="zh-CN"/>
              </w:rPr>
              <w:t>☑</w:t>
            </w:r>
          </w:p>
        </w:tc>
        <w:tc>
          <w:tcPr>
            <w:tcW w:w="151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中期</w:t>
            </w:r>
            <w:r>
              <w:rPr>
                <w:rFonts w:ascii="宋体" w:hAnsi="宋体" w:eastAsia="宋体" w:cs="宋体"/>
                <w:color w:val="FF0000"/>
                <w:spacing w:val="0"/>
                <w:kern w:val="0"/>
                <w:position w:val="0"/>
                <w:sz w:val="18"/>
                <w:szCs w:val="18"/>
              </w:rPr>
              <w:sym w:font="Wingdings 2" w:char="0052"/>
            </w:r>
          </w:p>
        </w:tc>
        <w:tc>
          <w:tcPr>
            <w:tcW w:w="152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远期</w:t>
            </w:r>
            <w:r>
              <w:rPr>
                <w:rFonts w:ascii="宋体" w:hAnsi="宋体" w:eastAsia="宋体" w:cs="宋体"/>
                <w:color w:val="FF0000"/>
                <w:spacing w:val="0"/>
                <w:kern w:val="0"/>
                <w:position w:val="0"/>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487"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现状调查方法</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现场实测法</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现场实测加模型计算法□     收集资料□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99"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现状评价</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达标百分比</w:t>
            </w:r>
          </w:p>
        </w:tc>
        <w:tc>
          <w:tcPr>
            <w:tcW w:w="4270"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Arial" w:eastAsia="宋体"/>
                <w:color w:val="FF0000"/>
                <w:spacing w:val="0"/>
                <w:kern w:val="0"/>
                <w:position w:val="0"/>
                <w:sz w:val="21"/>
                <w:lang w:val="en-US" w:eastAsia="zh-CN"/>
              </w:rPr>
            </w:pPr>
            <w:r>
              <w:rPr>
                <w:rFonts w:hint="default" w:ascii="Times New Roman" w:hAnsi="Times New Roman" w:cs="Times New Roman"/>
                <w:color w:val="FF0000"/>
                <w:spacing w:val="0"/>
                <w:kern w:val="0"/>
                <w:position w:val="0"/>
                <w:sz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76" w:hRule="atLeast"/>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噪声源调查</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噪声源调查方法</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现场实测</w:t>
            </w:r>
            <w:r>
              <w:rPr>
                <w:rFonts w:hint="eastAsia" w:ascii="宋体" w:hAnsi="宋体" w:cs="宋体"/>
                <w:color w:val="FF0000"/>
                <w:spacing w:val="0"/>
                <w:kern w:val="0"/>
                <w:position w:val="0"/>
                <w:sz w:val="18"/>
                <w:szCs w:val="18"/>
                <w:lang w:eastAsia="zh-CN"/>
              </w:rPr>
              <w:t>☑</w:t>
            </w:r>
          </w:p>
        </w:tc>
        <w:tc>
          <w:tcPr>
            <w:tcW w:w="4270"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已有资料□               研究成果□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声环境影响预测与评价</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预测模型</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导则推荐模型</w:t>
            </w:r>
            <w:r>
              <w:rPr>
                <w:rFonts w:hint="eastAsia" w:ascii="宋体" w:hAnsi="宋体" w:cs="宋体"/>
                <w:color w:val="FF0000"/>
                <w:spacing w:val="0"/>
                <w:kern w:val="0"/>
                <w:position w:val="0"/>
                <w:sz w:val="18"/>
                <w:szCs w:val="18"/>
                <w:lang w:eastAsia="zh-CN"/>
              </w:rPr>
              <w:t>☑</w:t>
            </w:r>
          </w:p>
        </w:tc>
        <w:tc>
          <w:tcPr>
            <w:tcW w:w="4270"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其他□</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预测范围</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Times New Roman" w:hAnsi="Times New Roman" w:eastAsia="Times New Roman" w:cs="Times New Roman"/>
                <w:color w:val="FF0000"/>
                <w:spacing w:val="0"/>
                <w:kern w:val="0"/>
                <w:position w:val="0"/>
                <w:sz w:val="18"/>
                <w:szCs w:val="18"/>
              </w:rPr>
              <w:t>200 m</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大于 </w:t>
            </w:r>
            <w:r>
              <w:rPr>
                <w:rFonts w:ascii="Times New Roman" w:hAnsi="Times New Roman" w:eastAsia="Times New Roman" w:cs="Times New Roman"/>
                <w:color w:val="FF0000"/>
                <w:spacing w:val="0"/>
                <w:kern w:val="0"/>
                <w:position w:val="0"/>
                <w:sz w:val="18"/>
                <w:szCs w:val="18"/>
              </w:rPr>
              <w:t>200 m</w:t>
            </w:r>
            <w:r>
              <w:rPr>
                <w:rFonts w:ascii="宋体" w:hAnsi="宋体" w:eastAsia="宋体" w:cs="宋体"/>
                <w:color w:val="FF0000"/>
                <w:spacing w:val="0"/>
                <w:kern w:val="0"/>
                <w:position w:val="0"/>
                <w:sz w:val="18"/>
                <w:szCs w:val="18"/>
              </w:rPr>
              <w:t xml:space="preserve">□            小于 </w:t>
            </w:r>
            <w:r>
              <w:rPr>
                <w:rFonts w:ascii="Times New Roman" w:hAnsi="Times New Roman" w:eastAsia="Times New Roman" w:cs="Times New Roman"/>
                <w:color w:val="FF0000"/>
                <w:spacing w:val="0"/>
                <w:kern w:val="0"/>
                <w:position w:val="0"/>
                <w:sz w:val="18"/>
                <w:szCs w:val="18"/>
              </w:rPr>
              <w:t>200 m</w:t>
            </w:r>
            <w:r>
              <w:rPr>
                <w:rFonts w:ascii="宋体" w:hAnsi="宋体" w:eastAsia="宋体" w:cs="宋体"/>
                <w:color w:val="FF0000"/>
                <w:spacing w:val="0"/>
                <w:kern w:val="0"/>
                <w:position w:val="0"/>
                <w:sz w:val="18"/>
                <w:szCs w:val="18"/>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预测因子</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等效连续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最大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      计权等效连续感觉噪声级□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厂界噪声贡献值</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 xml:space="preserve">达标 </w:t>
            </w:r>
            <w:r>
              <w:rPr>
                <w:rFonts w:hint="eastAsia" w:ascii="宋体" w:hAnsi="宋体" w:cs="宋体"/>
                <w:color w:val="FF0000"/>
                <w:spacing w:val="0"/>
                <w:kern w:val="0"/>
                <w:position w:val="0"/>
                <w:sz w:val="18"/>
                <w:szCs w:val="18"/>
                <w:lang w:eastAsia="zh-CN"/>
              </w:rPr>
              <w:t>☑</w:t>
            </w:r>
          </w:p>
        </w:tc>
        <w:tc>
          <w:tcPr>
            <w:tcW w:w="4270"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不达标□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声环境保护目标处噪声值</w:t>
            </w:r>
          </w:p>
        </w:tc>
        <w:tc>
          <w:tcPr>
            <w:tcW w:w="18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宋体" w:hAnsi="宋体" w:eastAsia="宋体" w:cs="宋体"/>
                <w:color w:val="FF0000"/>
                <w:spacing w:val="0"/>
                <w:kern w:val="0"/>
                <w:position w:val="0"/>
                <w:sz w:val="18"/>
                <w:szCs w:val="18"/>
                <w:lang w:eastAsia="zh-CN"/>
              </w:rPr>
            </w:pPr>
            <w:r>
              <w:rPr>
                <w:rFonts w:ascii="宋体" w:hAnsi="宋体" w:eastAsia="宋体" w:cs="宋体"/>
                <w:color w:val="FF0000"/>
                <w:spacing w:val="0"/>
                <w:kern w:val="0"/>
                <w:position w:val="0"/>
                <w:sz w:val="18"/>
                <w:szCs w:val="18"/>
              </w:rPr>
              <w:t>达标</w:t>
            </w:r>
            <w:r>
              <w:rPr>
                <w:rFonts w:hint="eastAsia" w:ascii="宋体" w:hAnsi="宋体" w:cs="宋体"/>
                <w:color w:val="FF0000"/>
                <w:spacing w:val="0"/>
                <w:kern w:val="0"/>
                <w:position w:val="0"/>
                <w:sz w:val="18"/>
                <w:szCs w:val="18"/>
                <w:lang w:val="en-US" w:eastAsia="zh-CN"/>
              </w:rPr>
              <w:t xml:space="preserve"> </w:t>
            </w:r>
            <w:r>
              <w:rPr>
                <w:rFonts w:hint="eastAsia" w:ascii="宋体" w:hAnsi="宋体" w:cs="宋体"/>
                <w:color w:val="FF0000"/>
                <w:spacing w:val="0"/>
                <w:kern w:val="0"/>
                <w:position w:val="0"/>
                <w:sz w:val="18"/>
                <w:szCs w:val="18"/>
                <w:lang w:eastAsia="zh-CN"/>
              </w:rPr>
              <w:t>☑</w:t>
            </w:r>
          </w:p>
        </w:tc>
        <w:tc>
          <w:tcPr>
            <w:tcW w:w="4270"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不达标□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环境监测计划</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排放监测</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厂界监测□    固定位置监测□   自动监测□ </w:t>
            </w:r>
            <w:r>
              <w:rPr>
                <w:rFonts w:hint="eastAsia" w:ascii="宋体" w:hAnsi="宋体" w:eastAsia="宋体" w:cs="宋体"/>
                <w:color w:val="FF0000"/>
                <w:spacing w:val="0"/>
                <w:kern w:val="0"/>
                <w:position w:val="0"/>
                <w:sz w:val="18"/>
                <w:szCs w:val="18"/>
                <w:lang w:val="en-US" w:eastAsia="zh-CN"/>
              </w:rPr>
              <w:t xml:space="preserve">  </w:t>
            </w:r>
            <w:r>
              <w:rPr>
                <w:rFonts w:ascii="宋体" w:hAnsi="宋体" w:eastAsia="宋体" w:cs="宋体"/>
                <w:color w:val="FF0000"/>
                <w:spacing w:val="0"/>
                <w:kern w:val="0"/>
                <w:position w:val="0"/>
                <w:sz w:val="18"/>
                <w:szCs w:val="18"/>
              </w:rPr>
              <w:t>手动监测</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无监测□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Arial"/>
                <w:color w:val="FF0000"/>
                <w:spacing w:val="0"/>
                <w:kern w:val="0"/>
                <w:position w:val="0"/>
                <w:sz w:val="21"/>
              </w:rPr>
            </w:pP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声环境保护目标处噪声监测</w:t>
            </w:r>
          </w:p>
        </w:tc>
        <w:tc>
          <w:tcPr>
            <w:tcW w:w="297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 xml:space="preserve">监测因子：( 等效连续 </w:t>
            </w:r>
            <w:r>
              <w:rPr>
                <w:rFonts w:ascii="Times New Roman" w:hAnsi="Times New Roman" w:eastAsia="Times New Roman" w:cs="Times New Roman"/>
                <w:color w:val="FF0000"/>
                <w:spacing w:val="0"/>
                <w:kern w:val="0"/>
                <w:position w:val="0"/>
                <w:sz w:val="18"/>
                <w:szCs w:val="18"/>
              </w:rPr>
              <w:t xml:space="preserve">A </w:t>
            </w:r>
            <w:r>
              <w:rPr>
                <w:rFonts w:ascii="宋体" w:hAnsi="宋体" w:eastAsia="宋体" w:cs="宋体"/>
                <w:color w:val="FF0000"/>
                <w:spacing w:val="0"/>
                <w:kern w:val="0"/>
                <w:position w:val="0"/>
                <w:sz w:val="18"/>
                <w:szCs w:val="18"/>
              </w:rPr>
              <w:t>声级  )</w:t>
            </w:r>
          </w:p>
        </w:tc>
        <w:tc>
          <w:tcPr>
            <w:tcW w:w="199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监测点位数(     )</w:t>
            </w:r>
          </w:p>
        </w:tc>
        <w:tc>
          <w:tcPr>
            <w:tcW w:w="10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无监测□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00" w:hRule="atLeast"/>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评价结论</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环境影响</w:t>
            </w:r>
          </w:p>
        </w:tc>
        <w:tc>
          <w:tcPr>
            <w:tcW w:w="6074"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可行</w:t>
            </w:r>
            <w:r>
              <w:rPr>
                <w:rFonts w:hint="eastAsia" w:ascii="宋体" w:hAnsi="宋体" w:cs="宋体"/>
                <w:color w:val="FF0000"/>
                <w:spacing w:val="0"/>
                <w:kern w:val="0"/>
                <w:position w:val="0"/>
                <w:sz w:val="18"/>
                <w:szCs w:val="18"/>
                <w:lang w:eastAsia="zh-CN"/>
              </w:rPr>
              <w:t>☑</w:t>
            </w:r>
            <w:r>
              <w:rPr>
                <w:rFonts w:ascii="宋体" w:hAnsi="宋体" w:eastAsia="宋体" w:cs="宋体"/>
                <w:color w:val="FF0000"/>
                <w:spacing w:val="0"/>
                <w:kern w:val="0"/>
                <w:position w:val="0"/>
                <w:sz w:val="18"/>
                <w:szCs w:val="18"/>
              </w:rPr>
              <w:t xml:space="preserve">       不可行□</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8313" w:type="dxa"/>
            <w:gridSpan w:val="1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宋体" w:hAnsi="宋体" w:eastAsia="宋体" w:cs="宋体"/>
                <w:color w:val="FF0000"/>
                <w:spacing w:val="0"/>
                <w:kern w:val="0"/>
                <w:position w:val="0"/>
                <w:sz w:val="18"/>
                <w:szCs w:val="18"/>
              </w:rPr>
            </w:pPr>
            <w:r>
              <w:rPr>
                <w:rFonts w:ascii="宋体" w:hAnsi="宋体" w:eastAsia="宋体" w:cs="宋体"/>
                <w:color w:val="FF0000"/>
                <w:spacing w:val="0"/>
                <w:kern w:val="0"/>
                <w:position w:val="0"/>
                <w:sz w:val="18"/>
                <w:szCs w:val="18"/>
              </w:rPr>
              <w:t>注：“□” 为勾选项 ，可 √ ；“(   )”  为内容填写项。</w:t>
            </w:r>
          </w:p>
        </w:tc>
      </w:tr>
    </w:tbl>
    <w:p>
      <w:pPr>
        <w:rPr>
          <w:color w:val="000000" w:themeColor="text1"/>
          <w:lang w:val="zh-CN"/>
          <w14:textFill>
            <w14:solidFill>
              <w14:schemeClr w14:val="tx1"/>
            </w14:solidFill>
          </w14:textFill>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decorative"/>
    <w:pitch w:val="default"/>
    <w:sig w:usb0="800002BF" w:usb1="38CF7CFA" w:usb2="00000016" w:usb3="00000000" w:csb0="00040001" w:csb1="00000000"/>
  </w:font>
  <w:font w:name="Wingdings 2">
    <w:panose1 w:val="05020102010507070707"/>
    <w:charset w:val="02"/>
    <w:family w:val="swiss"/>
    <w:pitch w:val="default"/>
    <w:sig w:usb0="00000000" w:usb1="00000000" w:usb2="00000000" w:usb3="00000000" w:csb0="8000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rPr>
        <w:rStyle w:val="33"/>
      </w:rPr>
    </w:pPr>
    <w:r>
      <w:rPr>
        <w:rStyle w:val="33"/>
      </w:rPr>
      <w:fldChar w:fldCharType="begin"/>
    </w:r>
    <w:r>
      <w:rPr>
        <w:rStyle w:val="33"/>
      </w:rPr>
      <w:instrText xml:space="preserve">PAGE  </w:instrText>
    </w:r>
    <w:r>
      <w:rPr>
        <w:rStyle w:val="33"/>
      </w:rP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59264" behindDoc="0" locked="0" layoutInCell="1" allowOverlap="1">
              <wp:simplePos x="0" y="0"/>
              <wp:positionH relativeFrom="margin">
                <wp:posOffset>2621915</wp:posOffset>
              </wp:positionH>
              <wp:positionV relativeFrom="paragraph">
                <wp:posOffset>9525</wp:posOffset>
              </wp:positionV>
              <wp:extent cx="248285" cy="128905"/>
              <wp:effectExtent l="0" t="0" r="0" b="4445"/>
              <wp:wrapNone/>
              <wp:docPr id="5" name="文本框 5"/>
              <wp:cNvGraphicFramePr/>
              <a:graphic xmlns:a="http://schemas.openxmlformats.org/drawingml/2006/main">
                <a:graphicData uri="http://schemas.microsoft.com/office/word/2010/wordprocessingShape">
                  <wps:wsp>
                    <wps:cNvSpPr txBox="1"/>
                    <wps:spPr>
                      <a:xfrm>
                        <a:off x="0" y="0"/>
                        <a:ext cx="248285" cy="128905"/>
                      </a:xfrm>
                      <a:prstGeom prst="rect">
                        <a:avLst/>
                      </a:prstGeom>
                      <a:noFill/>
                      <a:ln w="6350">
                        <a:noFill/>
                      </a:ln>
                      <a:effectLst/>
                    </wps:spPr>
                    <wps:txbx>
                      <w:txbxContent>
                        <w:p>
                          <w:pPr>
                            <w:pStyle w:val="2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6.45pt;margin-top:0.75pt;height:10.15pt;width:19.55pt;mso-position-horizontal-relative:margin;z-index:251659264;mso-width-relative:page;mso-height-relative:page;" filled="f" stroked="f" coordsize="21600,21600" o:gfxdata="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oCL03WAAAACAEAAA8AAAAAAAAAAQAgAAAAIgAAAGRycy9kb3ducmV2&#10;LnhtbFBLAQIUABQAAAAIAIdO4kAloF+/NwIAAGMEAAAOAAAAAAAAAAEAIAAAACUBAABkcnMvZTJv&#10;RG9jLnhtbFBLBQYAAAAABgAGAFkBAADOBQAAAAA=&#10;">
              <v:fill on="f" focussize="0,0"/>
              <v:stroke on="f" weight="0.5pt"/>
              <v:imagedata o:title=""/>
              <o:lock v:ext="edit" aspectratio="f"/>
              <v:textbox inset="0mm,0mm,0mm,0mm">
                <w:txbxContent>
                  <w:p>
                    <w:pPr>
                      <w:pStyle w:val="2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23"/>
      <w:lvlText w:val="%1."/>
      <w:lvlJc w:val="left"/>
      <w:pPr>
        <w:tabs>
          <w:tab w:val="left" w:pos="2040"/>
        </w:tabs>
        <w:ind w:left="2040" w:leftChars="800" w:hanging="360" w:hangingChars="2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hideSpellingErrors/>
  <w:documentProtection w:edit="trackedChanges"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xNDliZTNiNDUzMzZmOTVmNWNmNDBhNjMyMTE1ZDEifQ=="/>
  </w:docVars>
  <w:rsids>
    <w:rsidRoot w:val="00A14947"/>
    <w:rsid w:val="00001CED"/>
    <w:rsid w:val="00001E67"/>
    <w:rsid w:val="00003CD8"/>
    <w:rsid w:val="00006512"/>
    <w:rsid w:val="00014965"/>
    <w:rsid w:val="00014EB7"/>
    <w:rsid w:val="0001523A"/>
    <w:rsid w:val="00016ECB"/>
    <w:rsid w:val="00017F16"/>
    <w:rsid w:val="0002676D"/>
    <w:rsid w:val="000269F6"/>
    <w:rsid w:val="00031939"/>
    <w:rsid w:val="00032D25"/>
    <w:rsid w:val="0005219D"/>
    <w:rsid w:val="0005568F"/>
    <w:rsid w:val="0006153D"/>
    <w:rsid w:val="00061B1F"/>
    <w:rsid w:val="000664DB"/>
    <w:rsid w:val="0007127D"/>
    <w:rsid w:val="00071AE5"/>
    <w:rsid w:val="00074783"/>
    <w:rsid w:val="000801E0"/>
    <w:rsid w:val="00081127"/>
    <w:rsid w:val="00082A29"/>
    <w:rsid w:val="00083085"/>
    <w:rsid w:val="0008331D"/>
    <w:rsid w:val="00083C18"/>
    <w:rsid w:val="000876D5"/>
    <w:rsid w:val="00092899"/>
    <w:rsid w:val="000970DA"/>
    <w:rsid w:val="000A178E"/>
    <w:rsid w:val="000A557E"/>
    <w:rsid w:val="000A6071"/>
    <w:rsid w:val="000B058F"/>
    <w:rsid w:val="000B2F3D"/>
    <w:rsid w:val="000B693F"/>
    <w:rsid w:val="000C09AC"/>
    <w:rsid w:val="000C0A63"/>
    <w:rsid w:val="000C1780"/>
    <w:rsid w:val="000C437E"/>
    <w:rsid w:val="000E2137"/>
    <w:rsid w:val="000E3853"/>
    <w:rsid w:val="000E5F16"/>
    <w:rsid w:val="000F06CD"/>
    <w:rsid w:val="000F0D8B"/>
    <w:rsid w:val="000F4452"/>
    <w:rsid w:val="000F6DA1"/>
    <w:rsid w:val="000F701B"/>
    <w:rsid w:val="0010033D"/>
    <w:rsid w:val="001056A0"/>
    <w:rsid w:val="00105F5A"/>
    <w:rsid w:val="00115279"/>
    <w:rsid w:val="00117459"/>
    <w:rsid w:val="0011749A"/>
    <w:rsid w:val="001274BA"/>
    <w:rsid w:val="00127A68"/>
    <w:rsid w:val="0013423F"/>
    <w:rsid w:val="001402C8"/>
    <w:rsid w:val="00140B13"/>
    <w:rsid w:val="00141B68"/>
    <w:rsid w:val="00142CB3"/>
    <w:rsid w:val="001466DA"/>
    <w:rsid w:val="001474D6"/>
    <w:rsid w:val="00150607"/>
    <w:rsid w:val="0015117C"/>
    <w:rsid w:val="00154DE1"/>
    <w:rsid w:val="00155B40"/>
    <w:rsid w:val="00157435"/>
    <w:rsid w:val="00157E7D"/>
    <w:rsid w:val="00163EEA"/>
    <w:rsid w:val="00167A07"/>
    <w:rsid w:val="0017046A"/>
    <w:rsid w:val="001704A3"/>
    <w:rsid w:val="0017378D"/>
    <w:rsid w:val="0017504D"/>
    <w:rsid w:val="00177422"/>
    <w:rsid w:val="001822C1"/>
    <w:rsid w:val="00182E0B"/>
    <w:rsid w:val="00184F10"/>
    <w:rsid w:val="00185546"/>
    <w:rsid w:val="0019146B"/>
    <w:rsid w:val="00191A5B"/>
    <w:rsid w:val="00193A8A"/>
    <w:rsid w:val="00193DBD"/>
    <w:rsid w:val="00193DE9"/>
    <w:rsid w:val="00194398"/>
    <w:rsid w:val="001A4CE2"/>
    <w:rsid w:val="001A7D2A"/>
    <w:rsid w:val="001B574C"/>
    <w:rsid w:val="001B7710"/>
    <w:rsid w:val="001C0AF9"/>
    <w:rsid w:val="001C0ECF"/>
    <w:rsid w:val="001C13D6"/>
    <w:rsid w:val="001C155A"/>
    <w:rsid w:val="001C48C0"/>
    <w:rsid w:val="001D138C"/>
    <w:rsid w:val="001D6726"/>
    <w:rsid w:val="001E4922"/>
    <w:rsid w:val="001F3347"/>
    <w:rsid w:val="001F4440"/>
    <w:rsid w:val="001F69E4"/>
    <w:rsid w:val="00206A65"/>
    <w:rsid w:val="0020770D"/>
    <w:rsid w:val="00212D31"/>
    <w:rsid w:val="002130C7"/>
    <w:rsid w:val="00215BC6"/>
    <w:rsid w:val="002218A8"/>
    <w:rsid w:val="0022306D"/>
    <w:rsid w:val="0022370F"/>
    <w:rsid w:val="00223893"/>
    <w:rsid w:val="00226574"/>
    <w:rsid w:val="002278EC"/>
    <w:rsid w:val="002357C7"/>
    <w:rsid w:val="002367C4"/>
    <w:rsid w:val="00242F8A"/>
    <w:rsid w:val="00244521"/>
    <w:rsid w:val="00245E6B"/>
    <w:rsid w:val="0025229C"/>
    <w:rsid w:val="002556B5"/>
    <w:rsid w:val="0025679E"/>
    <w:rsid w:val="00260148"/>
    <w:rsid w:val="00260C68"/>
    <w:rsid w:val="002648B0"/>
    <w:rsid w:val="0026556B"/>
    <w:rsid w:val="002734C1"/>
    <w:rsid w:val="00275271"/>
    <w:rsid w:val="0027535E"/>
    <w:rsid w:val="00275983"/>
    <w:rsid w:val="00275AA6"/>
    <w:rsid w:val="002807D5"/>
    <w:rsid w:val="00281ACD"/>
    <w:rsid w:val="00282CCD"/>
    <w:rsid w:val="00282E3A"/>
    <w:rsid w:val="00283AE0"/>
    <w:rsid w:val="00293012"/>
    <w:rsid w:val="00295235"/>
    <w:rsid w:val="002A168C"/>
    <w:rsid w:val="002A1959"/>
    <w:rsid w:val="002A2C48"/>
    <w:rsid w:val="002A3EED"/>
    <w:rsid w:val="002A4A39"/>
    <w:rsid w:val="002A598B"/>
    <w:rsid w:val="002A5A17"/>
    <w:rsid w:val="002A6425"/>
    <w:rsid w:val="002A7265"/>
    <w:rsid w:val="002A7FD6"/>
    <w:rsid w:val="002B49E2"/>
    <w:rsid w:val="002B7B00"/>
    <w:rsid w:val="002B7C44"/>
    <w:rsid w:val="002C1388"/>
    <w:rsid w:val="002C3C6A"/>
    <w:rsid w:val="002C569B"/>
    <w:rsid w:val="002D42DB"/>
    <w:rsid w:val="002D6CC6"/>
    <w:rsid w:val="002E1F3A"/>
    <w:rsid w:val="002E298A"/>
    <w:rsid w:val="002F02A4"/>
    <w:rsid w:val="002F272B"/>
    <w:rsid w:val="002F5817"/>
    <w:rsid w:val="002F6E82"/>
    <w:rsid w:val="002F7C6D"/>
    <w:rsid w:val="003027E4"/>
    <w:rsid w:val="0030332C"/>
    <w:rsid w:val="00312296"/>
    <w:rsid w:val="00312D7D"/>
    <w:rsid w:val="0031340E"/>
    <w:rsid w:val="00316464"/>
    <w:rsid w:val="0032073A"/>
    <w:rsid w:val="00321D8E"/>
    <w:rsid w:val="00334996"/>
    <w:rsid w:val="00336969"/>
    <w:rsid w:val="00336C52"/>
    <w:rsid w:val="00340C9D"/>
    <w:rsid w:val="00341B3E"/>
    <w:rsid w:val="00341B42"/>
    <w:rsid w:val="00342F43"/>
    <w:rsid w:val="0034340D"/>
    <w:rsid w:val="00345154"/>
    <w:rsid w:val="0034560E"/>
    <w:rsid w:val="00346AEC"/>
    <w:rsid w:val="00350523"/>
    <w:rsid w:val="00352975"/>
    <w:rsid w:val="00356868"/>
    <w:rsid w:val="0036485B"/>
    <w:rsid w:val="003737C7"/>
    <w:rsid w:val="00373B0D"/>
    <w:rsid w:val="00376988"/>
    <w:rsid w:val="00381A72"/>
    <w:rsid w:val="00382EF6"/>
    <w:rsid w:val="00383465"/>
    <w:rsid w:val="003834D1"/>
    <w:rsid w:val="003926E4"/>
    <w:rsid w:val="003961CE"/>
    <w:rsid w:val="003A1948"/>
    <w:rsid w:val="003B152A"/>
    <w:rsid w:val="003B545B"/>
    <w:rsid w:val="003D3EE9"/>
    <w:rsid w:val="003D64CD"/>
    <w:rsid w:val="003E5126"/>
    <w:rsid w:val="003E7681"/>
    <w:rsid w:val="003F0809"/>
    <w:rsid w:val="003F1690"/>
    <w:rsid w:val="003F611C"/>
    <w:rsid w:val="003F755C"/>
    <w:rsid w:val="00404F0C"/>
    <w:rsid w:val="00406F01"/>
    <w:rsid w:val="00411B36"/>
    <w:rsid w:val="004121D7"/>
    <w:rsid w:val="00412687"/>
    <w:rsid w:val="00416D50"/>
    <w:rsid w:val="00417772"/>
    <w:rsid w:val="00420E6A"/>
    <w:rsid w:val="00422A43"/>
    <w:rsid w:val="00423CCF"/>
    <w:rsid w:val="00426E7F"/>
    <w:rsid w:val="00433CA9"/>
    <w:rsid w:val="0043521D"/>
    <w:rsid w:val="00442024"/>
    <w:rsid w:val="0044254C"/>
    <w:rsid w:val="00443F6A"/>
    <w:rsid w:val="00450A17"/>
    <w:rsid w:val="004524EF"/>
    <w:rsid w:val="0045708D"/>
    <w:rsid w:val="0046368A"/>
    <w:rsid w:val="00466321"/>
    <w:rsid w:val="004672AF"/>
    <w:rsid w:val="004727B0"/>
    <w:rsid w:val="00480247"/>
    <w:rsid w:val="0048081D"/>
    <w:rsid w:val="0048117E"/>
    <w:rsid w:val="004855F6"/>
    <w:rsid w:val="00486F0C"/>
    <w:rsid w:val="004902D5"/>
    <w:rsid w:val="00494670"/>
    <w:rsid w:val="00496573"/>
    <w:rsid w:val="004A0173"/>
    <w:rsid w:val="004A0EB4"/>
    <w:rsid w:val="004A26C6"/>
    <w:rsid w:val="004A3823"/>
    <w:rsid w:val="004A59BB"/>
    <w:rsid w:val="004B43A3"/>
    <w:rsid w:val="004B4BB5"/>
    <w:rsid w:val="004B4C49"/>
    <w:rsid w:val="004B58A5"/>
    <w:rsid w:val="004B63D9"/>
    <w:rsid w:val="004C0882"/>
    <w:rsid w:val="004C1422"/>
    <w:rsid w:val="004C55BE"/>
    <w:rsid w:val="004E5A97"/>
    <w:rsid w:val="004E5B30"/>
    <w:rsid w:val="004E6237"/>
    <w:rsid w:val="004F0779"/>
    <w:rsid w:val="004F1230"/>
    <w:rsid w:val="004F173F"/>
    <w:rsid w:val="004F177C"/>
    <w:rsid w:val="004F2DCE"/>
    <w:rsid w:val="004F4E0A"/>
    <w:rsid w:val="00500AB4"/>
    <w:rsid w:val="005039CB"/>
    <w:rsid w:val="0050558F"/>
    <w:rsid w:val="005057E0"/>
    <w:rsid w:val="00506286"/>
    <w:rsid w:val="00510085"/>
    <w:rsid w:val="00510813"/>
    <w:rsid w:val="0051089C"/>
    <w:rsid w:val="00511DE0"/>
    <w:rsid w:val="00513CD8"/>
    <w:rsid w:val="005143DC"/>
    <w:rsid w:val="00517F02"/>
    <w:rsid w:val="00524266"/>
    <w:rsid w:val="00524547"/>
    <w:rsid w:val="0052582F"/>
    <w:rsid w:val="005258A2"/>
    <w:rsid w:val="00530F7C"/>
    <w:rsid w:val="00534567"/>
    <w:rsid w:val="00534F43"/>
    <w:rsid w:val="00535A84"/>
    <w:rsid w:val="00536889"/>
    <w:rsid w:val="00542E07"/>
    <w:rsid w:val="00550465"/>
    <w:rsid w:val="00551C24"/>
    <w:rsid w:val="0055385A"/>
    <w:rsid w:val="00554A7B"/>
    <w:rsid w:val="0055572C"/>
    <w:rsid w:val="00556780"/>
    <w:rsid w:val="0056064F"/>
    <w:rsid w:val="00561B84"/>
    <w:rsid w:val="00561CCE"/>
    <w:rsid w:val="005629B0"/>
    <w:rsid w:val="00570AC1"/>
    <w:rsid w:val="00571D98"/>
    <w:rsid w:val="005720AE"/>
    <w:rsid w:val="0058030D"/>
    <w:rsid w:val="0058168A"/>
    <w:rsid w:val="00582045"/>
    <w:rsid w:val="005906EC"/>
    <w:rsid w:val="00590AE3"/>
    <w:rsid w:val="005918F1"/>
    <w:rsid w:val="005969A8"/>
    <w:rsid w:val="005A06B7"/>
    <w:rsid w:val="005A1759"/>
    <w:rsid w:val="005A39C8"/>
    <w:rsid w:val="005D0369"/>
    <w:rsid w:val="005D53FE"/>
    <w:rsid w:val="005D7A0F"/>
    <w:rsid w:val="005E0438"/>
    <w:rsid w:val="005E11D6"/>
    <w:rsid w:val="005E1791"/>
    <w:rsid w:val="005E2CE6"/>
    <w:rsid w:val="005E6324"/>
    <w:rsid w:val="005F0486"/>
    <w:rsid w:val="005F228B"/>
    <w:rsid w:val="005F29CD"/>
    <w:rsid w:val="005F4DFB"/>
    <w:rsid w:val="005F6CC0"/>
    <w:rsid w:val="00603E5B"/>
    <w:rsid w:val="00604502"/>
    <w:rsid w:val="00604BC8"/>
    <w:rsid w:val="00606F94"/>
    <w:rsid w:val="00610FC6"/>
    <w:rsid w:val="0061132A"/>
    <w:rsid w:val="0061284D"/>
    <w:rsid w:val="0061438D"/>
    <w:rsid w:val="00615B4C"/>
    <w:rsid w:val="00615B5D"/>
    <w:rsid w:val="00616CFA"/>
    <w:rsid w:val="00620F12"/>
    <w:rsid w:val="0062146F"/>
    <w:rsid w:val="006343AF"/>
    <w:rsid w:val="0063634A"/>
    <w:rsid w:val="00637879"/>
    <w:rsid w:val="0064250D"/>
    <w:rsid w:val="00642E5C"/>
    <w:rsid w:val="006468A9"/>
    <w:rsid w:val="006535EB"/>
    <w:rsid w:val="00660A7C"/>
    <w:rsid w:val="00660DAE"/>
    <w:rsid w:val="00661DA2"/>
    <w:rsid w:val="00663016"/>
    <w:rsid w:val="00674605"/>
    <w:rsid w:val="00674743"/>
    <w:rsid w:val="006748B8"/>
    <w:rsid w:val="006808B7"/>
    <w:rsid w:val="00681F47"/>
    <w:rsid w:val="0068535B"/>
    <w:rsid w:val="0068736E"/>
    <w:rsid w:val="00691F6A"/>
    <w:rsid w:val="0069290A"/>
    <w:rsid w:val="00693890"/>
    <w:rsid w:val="00697032"/>
    <w:rsid w:val="006975AC"/>
    <w:rsid w:val="006A15FB"/>
    <w:rsid w:val="006A72BF"/>
    <w:rsid w:val="006B332A"/>
    <w:rsid w:val="006B33BD"/>
    <w:rsid w:val="006B45F4"/>
    <w:rsid w:val="006B7F0B"/>
    <w:rsid w:val="006C049E"/>
    <w:rsid w:val="006C3C9B"/>
    <w:rsid w:val="006C3F75"/>
    <w:rsid w:val="006D170E"/>
    <w:rsid w:val="006D76F7"/>
    <w:rsid w:val="006E06AF"/>
    <w:rsid w:val="006F118E"/>
    <w:rsid w:val="006F1789"/>
    <w:rsid w:val="006F507D"/>
    <w:rsid w:val="006F5FF4"/>
    <w:rsid w:val="00700C9B"/>
    <w:rsid w:val="0070268D"/>
    <w:rsid w:val="00703153"/>
    <w:rsid w:val="00706C5D"/>
    <w:rsid w:val="007118E6"/>
    <w:rsid w:val="007145D3"/>
    <w:rsid w:val="007225C9"/>
    <w:rsid w:val="007242F3"/>
    <w:rsid w:val="00735CD7"/>
    <w:rsid w:val="00742D64"/>
    <w:rsid w:val="00744E6B"/>
    <w:rsid w:val="0075051E"/>
    <w:rsid w:val="007515C7"/>
    <w:rsid w:val="00752498"/>
    <w:rsid w:val="00754034"/>
    <w:rsid w:val="00754BF1"/>
    <w:rsid w:val="00755A30"/>
    <w:rsid w:val="00755E1C"/>
    <w:rsid w:val="00756556"/>
    <w:rsid w:val="0076132B"/>
    <w:rsid w:val="007623AE"/>
    <w:rsid w:val="00770B19"/>
    <w:rsid w:val="00774FA0"/>
    <w:rsid w:val="0077657D"/>
    <w:rsid w:val="00776620"/>
    <w:rsid w:val="00777B6D"/>
    <w:rsid w:val="00780DAD"/>
    <w:rsid w:val="00784855"/>
    <w:rsid w:val="00784F39"/>
    <w:rsid w:val="0078545C"/>
    <w:rsid w:val="007906C4"/>
    <w:rsid w:val="007940EA"/>
    <w:rsid w:val="007967E8"/>
    <w:rsid w:val="007A63F2"/>
    <w:rsid w:val="007A699A"/>
    <w:rsid w:val="007B68DE"/>
    <w:rsid w:val="007C1857"/>
    <w:rsid w:val="007C514F"/>
    <w:rsid w:val="007C53A6"/>
    <w:rsid w:val="007D0F95"/>
    <w:rsid w:val="007D24FA"/>
    <w:rsid w:val="007D5386"/>
    <w:rsid w:val="007D7ECB"/>
    <w:rsid w:val="007E1071"/>
    <w:rsid w:val="007E25A1"/>
    <w:rsid w:val="007E4BD2"/>
    <w:rsid w:val="007E6C38"/>
    <w:rsid w:val="007E7145"/>
    <w:rsid w:val="007F3916"/>
    <w:rsid w:val="007F59FF"/>
    <w:rsid w:val="00801179"/>
    <w:rsid w:val="00802479"/>
    <w:rsid w:val="00805372"/>
    <w:rsid w:val="00805B7B"/>
    <w:rsid w:val="0081293E"/>
    <w:rsid w:val="00813655"/>
    <w:rsid w:val="00814FFB"/>
    <w:rsid w:val="00820568"/>
    <w:rsid w:val="0082773E"/>
    <w:rsid w:val="00830D8F"/>
    <w:rsid w:val="008311E8"/>
    <w:rsid w:val="00831A80"/>
    <w:rsid w:val="008332C8"/>
    <w:rsid w:val="00833743"/>
    <w:rsid w:val="00833B45"/>
    <w:rsid w:val="008340A4"/>
    <w:rsid w:val="00836799"/>
    <w:rsid w:val="00837028"/>
    <w:rsid w:val="00837131"/>
    <w:rsid w:val="00845F57"/>
    <w:rsid w:val="00847367"/>
    <w:rsid w:val="0085194F"/>
    <w:rsid w:val="008521E0"/>
    <w:rsid w:val="008525B0"/>
    <w:rsid w:val="00856150"/>
    <w:rsid w:val="00867CBC"/>
    <w:rsid w:val="00876C30"/>
    <w:rsid w:val="00877017"/>
    <w:rsid w:val="008773C0"/>
    <w:rsid w:val="008802D0"/>
    <w:rsid w:val="00880364"/>
    <w:rsid w:val="00885EAF"/>
    <w:rsid w:val="00886C4C"/>
    <w:rsid w:val="0088711C"/>
    <w:rsid w:val="008903EA"/>
    <w:rsid w:val="00890C4F"/>
    <w:rsid w:val="00892ECF"/>
    <w:rsid w:val="00892F06"/>
    <w:rsid w:val="00894285"/>
    <w:rsid w:val="008959B3"/>
    <w:rsid w:val="008A40AE"/>
    <w:rsid w:val="008A4E19"/>
    <w:rsid w:val="008A67C5"/>
    <w:rsid w:val="008B22E1"/>
    <w:rsid w:val="008B3C78"/>
    <w:rsid w:val="008B4A1E"/>
    <w:rsid w:val="008B4AE9"/>
    <w:rsid w:val="008B52CC"/>
    <w:rsid w:val="008C30AD"/>
    <w:rsid w:val="008C450E"/>
    <w:rsid w:val="008D068E"/>
    <w:rsid w:val="008D0F7A"/>
    <w:rsid w:val="008D63BE"/>
    <w:rsid w:val="008E04B1"/>
    <w:rsid w:val="008E0CFF"/>
    <w:rsid w:val="008E5D6B"/>
    <w:rsid w:val="008E689B"/>
    <w:rsid w:val="008E76F0"/>
    <w:rsid w:val="008F15FE"/>
    <w:rsid w:val="008F2A94"/>
    <w:rsid w:val="008F5187"/>
    <w:rsid w:val="008F53DE"/>
    <w:rsid w:val="008F709C"/>
    <w:rsid w:val="0090312B"/>
    <w:rsid w:val="00903CE0"/>
    <w:rsid w:val="00904961"/>
    <w:rsid w:val="0091586B"/>
    <w:rsid w:val="009158A4"/>
    <w:rsid w:val="0091736D"/>
    <w:rsid w:val="009257BF"/>
    <w:rsid w:val="0092670E"/>
    <w:rsid w:val="009304DE"/>
    <w:rsid w:val="00931001"/>
    <w:rsid w:val="00931863"/>
    <w:rsid w:val="009324BD"/>
    <w:rsid w:val="009326C7"/>
    <w:rsid w:val="00933524"/>
    <w:rsid w:val="009356CB"/>
    <w:rsid w:val="0094278D"/>
    <w:rsid w:val="0094401C"/>
    <w:rsid w:val="00946D03"/>
    <w:rsid w:val="0095308A"/>
    <w:rsid w:val="00955AEE"/>
    <w:rsid w:val="00956F14"/>
    <w:rsid w:val="00960A53"/>
    <w:rsid w:val="009620FD"/>
    <w:rsid w:val="0096247A"/>
    <w:rsid w:val="00965F4B"/>
    <w:rsid w:val="00967589"/>
    <w:rsid w:val="00970F8A"/>
    <w:rsid w:val="00971FB5"/>
    <w:rsid w:val="009724D1"/>
    <w:rsid w:val="00972D2A"/>
    <w:rsid w:val="00975CA4"/>
    <w:rsid w:val="00975CC5"/>
    <w:rsid w:val="00976328"/>
    <w:rsid w:val="00976B4E"/>
    <w:rsid w:val="00981239"/>
    <w:rsid w:val="00983DB7"/>
    <w:rsid w:val="00984458"/>
    <w:rsid w:val="00984979"/>
    <w:rsid w:val="00985283"/>
    <w:rsid w:val="0098666F"/>
    <w:rsid w:val="00987322"/>
    <w:rsid w:val="009A0F3B"/>
    <w:rsid w:val="009A1A18"/>
    <w:rsid w:val="009A72C7"/>
    <w:rsid w:val="009A7572"/>
    <w:rsid w:val="009B0897"/>
    <w:rsid w:val="009B1A8D"/>
    <w:rsid w:val="009B5E37"/>
    <w:rsid w:val="009B770C"/>
    <w:rsid w:val="009C2B54"/>
    <w:rsid w:val="009D0852"/>
    <w:rsid w:val="009D1659"/>
    <w:rsid w:val="009D1FBF"/>
    <w:rsid w:val="009D4DC8"/>
    <w:rsid w:val="009D5BF2"/>
    <w:rsid w:val="009E399C"/>
    <w:rsid w:val="009E43C1"/>
    <w:rsid w:val="009E7E95"/>
    <w:rsid w:val="009F08AA"/>
    <w:rsid w:val="009F116F"/>
    <w:rsid w:val="009F308E"/>
    <w:rsid w:val="009F329E"/>
    <w:rsid w:val="009F5EB7"/>
    <w:rsid w:val="009F7ED3"/>
    <w:rsid w:val="00A004E8"/>
    <w:rsid w:val="00A03607"/>
    <w:rsid w:val="00A047FF"/>
    <w:rsid w:val="00A04C3A"/>
    <w:rsid w:val="00A04FEF"/>
    <w:rsid w:val="00A122CD"/>
    <w:rsid w:val="00A128B3"/>
    <w:rsid w:val="00A12A32"/>
    <w:rsid w:val="00A13459"/>
    <w:rsid w:val="00A14248"/>
    <w:rsid w:val="00A14947"/>
    <w:rsid w:val="00A15453"/>
    <w:rsid w:val="00A22681"/>
    <w:rsid w:val="00A23DC5"/>
    <w:rsid w:val="00A31387"/>
    <w:rsid w:val="00A34028"/>
    <w:rsid w:val="00A35568"/>
    <w:rsid w:val="00A37056"/>
    <w:rsid w:val="00A37537"/>
    <w:rsid w:val="00A4358F"/>
    <w:rsid w:val="00A46F67"/>
    <w:rsid w:val="00A54AA1"/>
    <w:rsid w:val="00A568FF"/>
    <w:rsid w:val="00A60F71"/>
    <w:rsid w:val="00A61496"/>
    <w:rsid w:val="00A61833"/>
    <w:rsid w:val="00A624C6"/>
    <w:rsid w:val="00A63CEC"/>
    <w:rsid w:val="00A7031E"/>
    <w:rsid w:val="00A728B1"/>
    <w:rsid w:val="00A763DE"/>
    <w:rsid w:val="00A803D6"/>
    <w:rsid w:val="00A81282"/>
    <w:rsid w:val="00A8713F"/>
    <w:rsid w:val="00A91167"/>
    <w:rsid w:val="00A9171C"/>
    <w:rsid w:val="00A92FFD"/>
    <w:rsid w:val="00A94389"/>
    <w:rsid w:val="00A95975"/>
    <w:rsid w:val="00A9708D"/>
    <w:rsid w:val="00AA2C17"/>
    <w:rsid w:val="00AA4172"/>
    <w:rsid w:val="00AB1914"/>
    <w:rsid w:val="00AB3759"/>
    <w:rsid w:val="00AB4885"/>
    <w:rsid w:val="00AB5330"/>
    <w:rsid w:val="00AB7747"/>
    <w:rsid w:val="00AC2532"/>
    <w:rsid w:val="00AD1507"/>
    <w:rsid w:val="00AD5A70"/>
    <w:rsid w:val="00AD738B"/>
    <w:rsid w:val="00AE1BF4"/>
    <w:rsid w:val="00AE5D97"/>
    <w:rsid w:val="00AE6794"/>
    <w:rsid w:val="00AE784F"/>
    <w:rsid w:val="00AF0136"/>
    <w:rsid w:val="00AF08FE"/>
    <w:rsid w:val="00AF390E"/>
    <w:rsid w:val="00AF4599"/>
    <w:rsid w:val="00B00A67"/>
    <w:rsid w:val="00B01110"/>
    <w:rsid w:val="00B02262"/>
    <w:rsid w:val="00B03CEC"/>
    <w:rsid w:val="00B1209F"/>
    <w:rsid w:val="00B12AD0"/>
    <w:rsid w:val="00B24F30"/>
    <w:rsid w:val="00B303BD"/>
    <w:rsid w:val="00B31ABF"/>
    <w:rsid w:val="00B335AE"/>
    <w:rsid w:val="00B36B1E"/>
    <w:rsid w:val="00B37CE1"/>
    <w:rsid w:val="00B40ACF"/>
    <w:rsid w:val="00B454A4"/>
    <w:rsid w:val="00B46BAA"/>
    <w:rsid w:val="00B47E1B"/>
    <w:rsid w:val="00B50B5F"/>
    <w:rsid w:val="00B53DBD"/>
    <w:rsid w:val="00B54128"/>
    <w:rsid w:val="00B55826"/>
    <w:rsid w:val="00B60426"/>
    <w:rsid w:val="00B622DD"/>
    <w:rsid w:val="00B63522"/>
    <w:rsid w:val="00B768A9"/>
    <w:rsid w:val="00B76F1D"/>
    <w:rsid w:val="00B8116B"/>
    <w:rsid w:val="00B83C5A"/>
    <w:rsid w:val="00B92A19"/>
    <w:rsid w:val="00B92F8A"/>
    <w:rsid w:val="00B9544C"/>
    <w:rsid w:val="00B97E8B"/>
    <w:rsid w:val="00BA29E9"/>
    <w:rsid w:val="00BA744B"/>
    <w:rsid w:val="00BB359D"/>
    <w:rsid w:val="00BB3618"/>
    <w:rsid w:val="00BC0C9E"/>
    <w:rsid w:val="00BC32DC"/>
    <w:rsid w:val="00BC3B64"/>
    <w:rsid w:val="00BD1B51"/>
    <w:rsid w:val="00BD47F6"/>
    <w:rsid w:val="00BE312D"/>
    <w:rsid w:val="00BE3FCA"/>
    <w:rsid w:val="00C02955"/>
    <w:rsid w:val="00C05719"/>
    <w:rsid w:val="00C0797C"/>
    <w:rsid w:val="00C10578"/>
    <w:rsid w:val="00C109FE"/>
    <w:rsid w:val="00C14FE3"/>
    <w:rsid w:val="00C17D62"/>
    <w:rsid w:val="00C20404"/>
    <w:rsid w:val="00C21FDC"/>
    <w:rsid w:val="00C24EE7"/>
    <w:rsid w:val="00C2596A"/>
    <w:rsid w:val="00C271BE"/>
    <w:rsid w:val="00C27425"/>
    <w:rsid w:val="00C328FE"/>
    <w:rsid w:val="00C33A05"/>
    <w:rsid w:val="00C35604"/>
    <w:rsid w:val="00C42500"/>
    <w:rsid w:val="00C431D5"/>
    <w:rsid w:val="00C4409D"/>
    <w:rsid w:val="00C455BE"/>
    <w:rsid w:val="00C511F2"/>
    <w:rsid w:val="00C51E5F"/>
    <w:rsid w:val="00C54881"/>
    <w:rsid w:val="00C54C1D"/>
    <w:rsid w:val="00C61E4B"/>
    <w:rsid w:val="00C62E3A"/>
    <w:rsid w:val="00C6311F"/>
    <w:rsid w:val="00C64503"/>
    <w:rsid w:val="00C64A1F"/>
    <w:rsid w:val="00C64BFF"/>
    <w:rsid w:val="00C74963"/>
    <w:rsid w:val="00C763C9"/>
    <w:rsid w:val="00C80057"/>
    <w:rsid w:val="00C8019C"/>
    <w:rsid w:val="00C82C79"/>
    <w:rsid w:val="00C84753"/>
    <w:rsid w:val="00C849AE"/>
    <w:rsid w:val="00C86DE2"/>
    <w:rsid w:val="00C90F8A"/>
    <w:rsid w:val="00C91611"/>
    <w:rsid w:val="00C96FEF"/>
    <w:rsid w:val="00CA3585"/>
    <w:rsid w:val="00CA3D5A"/>
    <w:rsid w:val="00CA4A49"/>
    <w:rsid w:val="00CA4C7C"/>
    <w:rsid w:val="00CB0183"/>
    <w:rsid w:val="00CB1EA3"/>
    <w:rsid w:val="00CB552C"/>
    <w:rsid w:val="00CB6452"/>
    <w:rsid w:val="00CB6A9E"/>
    <w:rsid w:val="00CC2569"/>
    <w:rsid w:val="00CC426F"/>
    <w:rsid w:val="00CC6181"/>
    <w:rsid w:val="00CD193D"/>
    <w:rsid w:val="00CD2BCD"/>
    <w:rsid w:val="00CD36AA"/>
    <w:rsid w:val="00CD3791"/>
    <w:rsid w:val="00CD65B0"/>
    <w:rsid w:val="00CE02CD"/>
    <w:rsid w:val="00CE10E9"/>
    <w:rsid w:val="00CE5752"/>
    <w:rsid w:val="00CF0BDE"/>
    <w:rsid w:val="00D0072E"/>
    <w:rsid w:val="00D04216"/>
    <w:rsid w:val="00D06788"/>
    <w:rsid w:val="00D15727"/>
    <w:rsid w:val="00D16332"/>
    <w:rsid w:val="00D24895"/>
    <w:rsid w:val="00D24972"/>
    <w:rsid w:val="00D2515E"/>
    <w:rsid w:val="00D27163"/>
    <w:rsid w:val="00D308ED"/>
    <w:rsid w:val="00D32AA5"/>
    <w:rsid w:val="00D42465"/>
    <w:rsid w:val="00D44388"/>
    <w:rsid w:val="00D47542"/>
    <w:rsid w:val="00D47E50"/>
    <w:rsid w:val="00D56178"/>
    <w:rsid w:val="00D56CF0"/>
    <w:rsid w:val="00D56F5C"/>
    <w:rsid w:val="00D63779"/>
    <w:rsid w:val="00D704B1"/>
    <w:rsid w:val="00D70B63"/>
    <w:rsid w:val="00D72B92"/>
    <w:rsid w:val="00D72D69"/>
    <w:rsid w:val="00D72ED4"/>
    <w:rsid w:val="00D73F61"/>
    <w:rsid w:val="00D754C0"/>
    <w:rsid w:val="00D776A2"/>
    <w:rsid w:val="00D801C4"/>
    <w:rsid w:val="00D83444"/>
    <w:rsid w:val="00D90836"/>
    <w:rsid w:val="00D908CE"/>
    <w:rsid w:val="00D95896"/>
    <w:rsid w:val="00D95CC6"/>
    <w:rsid w:val="00DA2DA3"/>
    <w:rsid w:val="00DA6615"/>
    <w:rsid w:val="00DA76AE"/>
    <w:rsid w:val="00DB181E"/>
    <w:rsid w:val="00DB1C7A"/>
    <w:rsid w:val="00DB26B6"/>
    <w:rsid w:val="00DB2983"/>
    <w:rsid w:val="00DB343D"/>
    <w:rsid w:val="00DB5579"/>
    <w:rsid w:val="00DB5CFE"/>
    <w:rsid w:val="00DB7C6B"/>
    <w:rsid w:val="00DC72A6"/>
    <w:rsid w:val="00DD115D"/>
    <w:rsid w:val="00DD2113"/>
    <w:rsid w:val="00DD265E"/>
    <w:rsid w:val="00DE5339"/>
    <w:rsid w:val="00DE78BD"/>
    <w:rsid w:val="00DE79DB"/>
    <w:rsid w:val="00DF1930"/>
    <w:rsid w:val="00DF3898"/>
    <w:rsid w:val="00DF514A"/>
    <w:rsid w:val="00DF53DC"/>
    <w:rsid w:val="00DF682B"/>
    <w:rsid w:val="00E0235A"/>
    <w:rsid w:val="00E0358D"/>
    <w:rsid w:val="00E03DAB"/>
    <w:rsid w:val="00E06327"/>
    <w:rsid w:val="00E06758"/>
    <w:rsid w:val="00E202A9"/>
    <w:rsid w:val="00E2064B"/>
    <w:rsid w:val="00E25239"/>
    <w:rsid w:val="00E259F3"/>
    <w:rsid w:val="00E265B1"/>
    <w:rsid w:val="00E26800"/>
    <w:rsid w:val="00E275B0"/>
    <w:rsid w:val="00E412D0"/>
    <w:rsid w:val="00E43384"/>
    <w:rsid w:val="00E47CDB"/>
    <w:rsid w:val="00E5586B"/>
    <w:rsid w:val="00E566BC"/>
    <w:rsid w:val="00E60982"/>
    <w:rsid w:val="00E60C8D"/>
    <w:rsid w:val="00E60CBD"/>
    <w:rsid w:val="00E6162F"/>
    <w:rsid w:val="00E61789"/>
    <w:rsid w:val="00E6311B"/>
    <w:rsid w:val="00E64CC4"/>
    <w:rsid w:val="00E65D97"/>
    <w:rsid w:val="00E67EFD"/>
    <w:rsid w:val="00E702DC"/>
    <w:rsid w:val="00E70949"/>
    <w:rsid w:val="00E71FFB"/>
    <w:rsid w:val="00E73084"/>
    <w:rsid w:val="00E76D1D"/>
    <w:rsid w:val="00E806F8"/>
    <w:rsid w:val="00E87752"/>
    <w:rsid w:val="00E8793B"/>
    <w:rsid w:val="00E90F81"/>
    <w:rsid w:val="00E91A6D"/>
    <w:rsid w:val="00E9242D"/>
    <w:rsid w:val="00EA4D26"/>
    <w:rsid w:val="00EB041C"/>
    <w:rsid w:val="00EB2E15"/>
    <w:rsid w:val="00EC4146"/>
    <w:rsid w:val="00EC441B"/>
    <w:rsid w:val="00EC5874"/>
    <w:rsid w:val="00ED11F6"/>
    <w:rsid w:val="00ED192D"/>
    <w:rsid w:val="00ED30B4"/>
    <w:rsid w:val="00ED31F5"/>
    <w:rsid w:val="00EE6E98"/>
    <w:rsid w:val="00EF2759"/>
    <w:rsid w:val="00EF45EB"/>
    <w:rsid w:val="00EF5099"/>
    <w:rsid w:val="00EF5E33"/>
    <w:rsid w:val="00F00075"/>
    <w:rsid w:val="00F0142F"/>
    <w:rsid w:val="00F07822"/>
    <w:rsid w:val="00F11024"/>
    <w:rsid w:val="00F12713"/>
    <w:rsid w:val="00F15C95"/>
    <w:rsid w:val="00F22985"/>
    <w:rsid w:val="00F2418D"/>
    <w:rsid w:val="00F241AB"/>
    <w:rsid w:val="00F31382"/>
    <w:rsid w:val="00F35829"/>
    <w:rsid w:val="00F42868"/>
    <w:rsid w:val="00F451DD"/>
    <w:rsid w:val="00F4616E"/>
    <w:rsid w:val="00F465A7"/>
    <w:rsid w:val="00F50B7C"/>
    <w:rsid w:val="00F5202D"/>
    <w:rsid w:val="00F52CF6"/>
    <w:rsid w:val="00F54496"/>
    <w:rsid w:val="00F55650"/>
    <w:rsid w:val="00F61097"/>
    <w:rsid w:val="00F62A6E"/>
    <w:rsid w:val="00F6720D"/>
    <w:rsid w:val="00F70DC3"/>
    <w:rsid w:val="00F74345"/>
    <w:rsid w:val="00F74441"/>
    <w:rsid w:val="00F77444"/>
    <w:rsid w:val="00F77F30"/>
    <w:rsid w:val="00F82589"/>
    <w:rsid w:val="00F82B19"/>
    <w:rsid w:val="00F90AA7"/>
    <w:rsid w:val="00F9212D"/>
    <w:rsid w:val="00FA301A"/>
    <w:rsid w:val="00FA406A"/>
    <w:rsid w:val="00FA54CE"/>
    <w:rsid w:val="00FA5CB6"/>
    <w:rsid w:val="00FB4E5B"/>
    <w:rsid w:val="00FB7523"/>
    <w:rsid w:val="00FC04E9"/>
    <w:rsid w:val="00FC0B8E"/>
    <w:rsid w:val="00FC5458"/>
    <w:rsid w:val="00FC66AC"/>
    <w:rsid w:val="00FD0D83"/>
    <w:rsid w:val="00FD18F4"/>
    <w:rsid w:val="00FD4306"/>
    <w:rsid w:val="00FD74B4"/>
    <w:rsid w:val="00FE7577"/>
    <w:rsid w:val="00FF01CD"/>
    <w:rsid w:val="00FF101C"/>
    <w:rsid w:val="00FF2B46"/>
    <w:rsid w:val="00FF6FCE"/>
    <w:rsid w:val="00FF7518"/>
    <w:rsid w:val="00FF7FD8"/>
    <w:rsid w:val="010A4834"/>
    <w:rsid w:val="0172659B"/>
    <w:rsid w:val="01970E7A"/>
    <w:rsid w:val="01C048F5"/>
    <w:rsid w:val="024A6D2D"/>
    <w:rsid w:val="02681FD5"/>
    <w:rsid w:val="028413A1"/>
    <w:rsid w:val="032951C5"/>
    <w:rsid w:val="03A04F32"/>
    <w:rsid w:val="03D565B3"/>
    <w:rsid w:val="047149BB"/>
    <w:rsid w:val="04EA0F49"/>
    <w:rsid w:val="056C0A85"/>
    <w:rsid w:val="05742AC8"/>
    <w:rsid w:val="05863727"/>
    <w:rsid w:val="058F2B91"/>
    <w:rsid w:val="059E7E8F"/>
    <w:rsid w:val="05A465DE"/>
    <w:rsid w:val="05A469AC"/>
    <w:rsid w:val="05FE6E52"/>
    <w:rsid w:val="061A29D1"/>
    <w:rsid w:val="06352F05"/>
    <w:rsid w:val="063E7D85"/>
    <w:rsid w:val="065A5226"/>
    <w:rsid w:val="0660077F"/>
    <w:rsid w:val="06772CA9"/>
    <w:rsid w:val="06D77FB8"/>
    <w:rsid w:val="070875E0"/>
    <w:rsid w:val="071D06F9"/>
    <w:rsid w:val="07293586"/>
    <w:rsid w:val="07295285"/>
    <w:rsid w:val="072A1C14"/>
    <w:rsid w:val="075E0D09"/>
    <w:rsid w:val="07770C56"/>
    <w:rsid w:val="08A04B9D"/>
    <w:rsid w:val="092217DD"/>
    <w:rsid w:val="09373662"/>
    <w:rsid w:val="093A7294"/>
    <w:rsid w:val="094B3351"/>
    <w:rsid w:val="09C06197"/>
    <w:rsid w:val="09D90901"/>
    <w:rsid w:val="09F83373"/>
    <w:rsid w:val="0A0640FB"/>
    <w:rsid w:val="0A1417B4"/>
    <w:rsid w:val="0A373969"/>
    <w:rsid w:val="0A734278"/>
    <w:rsid w:val="0BD27BF6"/>
    <w:rsid w:val="0C064986"/>
    <w:rsid w:val="0C25393F"/>
    <w:rsid w:val="0D241270"/>
    <w:rsid w:val="0D3E6633"/>
    <w:rsid w:val="0D5B2BE2"/>
    <w:rsid w:val="0D945637"/>
    <w:rsid w:val="0DBC3EB7"/>
    <w:rsid w:val="0E110D06"/>
    <w:rsid w:val="0E4D10CF"/>
    <w:rsid w:val="0E8206CA"/>
    <w:rsid w:val="0EA4062C"/>
    <w:rsid w:val="0F0C4218"/>
    <w:rsid w:val="0F13775A"/>
    <w:rsid w:val="0F47557A"/>
    <w:rsid w:val="0F4B7889"/>
    <w:rsid w:val="0F502AA8"/>
    <w:rsid w:val="0F9A112B"/>
    <w:rsid w:val="0FB67BDC"/>
    <w:rsid w:val="10473284"/>
    <w:rsid w:val="105314CD"/>
    <w:rsid w:val="10617DEC"/>
    <w:rsid w:val="106D2F64"/>
    <w:rsid w:val="107B5FE6"/>
    <w:rsid w:val="10A71F97"/>
    <w:rsid w:val="10B63710"/>
    <w:rsid w:val="10DC0953"/>
    <w:rsid w:val="111C2F7A"/>
    <w:rsid w:val="11234A36"/>
    <w:rsid w:val="113013DE"/>
    <w:rsid w:val="114F7998"/>
    <w:rsid w:val="11566175"/>
    <w:rsid w:val="11902C5A"/>
    <w:rsid w:val="11915504"/>
    <w:rsid w:val="11922747"/>
    <w:rsid w:val="11A70F13"/>
    <w:rsid w:val="12055F07"/>
    <w:rsid w:val="122B06C2"/>
    <w:rsid w:val="123A5B38"/>
    <w:rsid w:val="124A5B95"/>
    <w:rsid w:val="124B5C5D"/>
    <w:rsid w:val="12FC4D92"/>
    <w:rsid w:val="132F192A"/>
    <w:rsid w:val="133409FD"/>
    <w:rsid w:val="13752631"/>
    <w:rsid w:val="13854903"/>
    <w:rsid w:val="13951726"/>
    <w:rsid w:val="14396509"/>
    <w:rsid w:val="1447165C"/>
    <w:rsid w:val="1597796B"/>
    <w:rsid w:val="15AD4C2E"/>
    <w:rsid w:val="15BC1D94"/>
    <w:rsid w:val="15C154B8"/>
    <w:rsid w:val="15E50787"/>
    <w:rsid w:val="16873133"/>
    <w:rsid w:val="16AA4012"/>
    <w:rsid w:val="174476D4"/>
    <w:rsid w:val="17735226"/>
    <w:rsid w:val="17E4403F"/>
    <w:rsid w:val="17FB7A6B"/>
    <w:rsid w:val="182548EF"/>
    <w:rsid w:val="189974C6"/>
    <w:rsid w:val="18A14D71"/>
    <w:rsid w:val="18EE7F7B"/>
    <w:rsid w:val="195E3CD9"/>
    <w:rsid w:val="19647362"/>
    <w:rsid w:val="197E21C1"/>
    <w:rsid w:val="1A1C66C0"/>
    <w:rsid w:val="1A1F0AEC"/>
    <w:rsid w:val="1A42393B"/>
    <w:rsid w:val="1A864FDA"/>
    <w:rsid w:val="1B046F80"/>
    <w:rsid w:val="1B3267B5"/>
    <w:rsid w:val="1B550A0F"/>
    <w:rsid w:val="1B9B6573"/>
    <w:rsid w:val="1BC25DC8"/>
    <w:rsid w:val="1C1B3917"/>
    <w:rsid w:val="1C344C67"/>
    <w:rsid w:val="1C3E5A3A"/>
    <w:rsid w:val="1C5E7925"/>
    <w:rsid w:val="1C887FC8"/>
    <w:rsid w:val="1CC72FDC"/>
    <w:rsid w:val="1CD65CA3"/>
    <w:rsid w:val="1D055E82"/>
    <w:rsid w:val="1D1036BE"/>
    <w:rsid w:val="1D182912"/>
    <w:rsid w:val="1D5F6196"/>
    <w:rsid w:val="1D6132A5"/>
    <w:rsid w:val="1D8E56D5"/>
    <w:rsid w:val="1D9305F4"/>
    <w:rsid w:val="1DB5490B"/>
    <w:rsid w:val="1DC77703"/>
    <w:rsid w:val="1E441B78"/>
    <w:rsid w:val="1E553A53"/>
    <w:rsid w:val="1E7A43DA"/>
    <w:rsid w:val="1EB277FE"/>
    <w:rsid w:val="1F0A480F"/>
    <w:rsid w:val="1F206C3D"/>
    <w:rsid w:val="1F261684"/>
    <w:rsid w:val="1F5076B0"/>
    <w:rsid w:val="1F8C5FD7"/>
    <w:rsid w:val="1FCC28BE"/>
    <w:rsid w:val="1FE7539E"/>
    <w:rsid w:val="20004EDA"/>
    <w:rsid w:val="20055A53"/>
    <w:rsid w:val="20963CB8"/>
    <w:rsid w:val="20B07FB6"/>
    <w:rsid w:val="21174F3A"/>
    <w:rsid w:val="212B03F9"/>
    <w:rsid w:val="213B74B1"/>
    <w:rsid w:val="215A2310"/>
    <w:rsid w:val="21DE318A"/>
    <w:rsid w:val="21EF5B80"/>
    <w:rsid w:val="21F11165"/>
    <w:rsid w:val="2250317F"/>
    <w:rsid w:val="22576990"/>
    <w:rsid w:val="22655454"/>
    <w:rsid w:val="22961DA2"/>
    <w:rsid w:val="229C4EAB"/>
    <w:rsid w:val="22C7568D"/>
    <w:rsid w:val="22E21D97"/>
    <w:rsid w:val="237256A6"/>
    <w:rsid w:val="23AC31E4"/>
    <w:rsid w:val="243049F2"/>
    <w:rsid w:val="24955C18"/>
    <w:rsid w:val="24B379D8"/>
    <w:rsid w:val="24E45965"/>
    <w:rsid w:val="24F90AE0"/>
    <w:rsid w:val="252D53FE"/>
    <w:rsid w:val="25645AF1"/>
    <w:rsid w:val="258D6A6D"/>
    <w:rsid w:val="25961C08"/>
    <w:rsid w:val="25AC00BC"/>
    <w:rsid w:val="25EC2D81"/>
    <w:rsid w:val="25F52934"/>
    <w:rsid w:val="26042AA7"/>
    <w:rsid w:val="2610540B"/>
    <w:rsid w:val="264528BD"/>
    <w:rsid w:val="26461CE8"/>
    <w:rsid w:val="264F19D4"/>
    <w:rsid w:val="26856771"/>
    <w:rsid w:val="26865D97"/>
    <w:rsid w:val="27B34DE8"/>
    <w:rsid w:val="27D15DD1"/>
    <w:rsid w:val="28263B9B"/>
    <w:rsid w:val="289D2BE0"/>
    <w:rsid w:val="28A76295"/>
    <w:rsid w:val="28E8343D"/>
    <w:rsid w:val="29081487"/>
    <w:rsid w:val="2910731E"/>
    <w:rsid w:val="29206EB8"/>
    <w:rsid w:val="29584BD7"/>
    <w:rsid w:val="29CB3381"/>
    <w:rsid w:val="29E325E0"/>
    <w:rsid w:val="2A452503"/>
    <w:rsid w:val="2A5E6BA6"/>
    <w:rsid w:val="2AAF6672"/>
    <w:rsid w:val="2ACD2A8E"/>
    <w:rsid w:val="2AF2047F"/>
    <w:rsid w:val="2BA936A8"/>
    <w:rsid w:val="2C315A5A"/>
    <w:rsid w:val="2C750F81"/>
    <w:rsid w:val="2C9A462D"/>
    <w:rsid w:val="2CB362FA"/>
    <w:rsid w:val="2D1273E2"/>
    <w:rsid w:val="2D1B39E7"/>
    <w:rsid w:val="2D28628E"/>
    <w:rsid w:val="2D293AF5"/>
    <w:rsid w:val="2D3D3DD8"/>
    <w:rsid w:val="2D495CCA"/>
    <w:rsid w:val="2D9E56F5"/>
    <w:rsid w:val="2DCA6274"/>
    <w:rsid w:val="2E0B10B5"/>
    <w:rsid w:val="2E3525CE"/>
    <w:rsid w:val="2E503150"/>
    <w:rsid w:val="2E667F96"/>
    <w:rsid w:val="2E8226AB"/>
    <w:rsid w:val="2EB022BA"/>
    <w:rsid w:val="2EF60F49"/>
    <w:rsid w:val="2F832C79"/>
    <w:rsid w:val="2FBB6993"/>
    <w:rsid w:val="2FBB7087"/>
    <w:rsid w:val="2FEF2D58"/>
    <w:rsid w:val="2FFE24BB"/>
    <w:rsid w:val="301520CD"/>
    <w:rsid w:val="30580BC9"/>
    <w:rsid w:val="30C51E5A"/>
    <w:rsid w:val="30FC3CBF"/>
    <w:rsid w:val="311E2ED7"/>
    <w:rsid w:val="315C449C"/>
    <w:rsid w:val="316976DA"/>
    <w:rsid w:val="317D2C0B"/>
    <w:rsid w:val="31B82709"/>
    <w:rsid w:val="32400B34"/>
    <w:rsid w:val="32862207"/>
    <w:rsid w:val="329E6876"/>
    <w:rsid w:val="32E021D0"/>
    <w:rsid w:val="32E107A3"/>
    <w:rsid w:val="32EE7B8B"/>
    <w:rsid w:val="333B7E36"/>
    <w:rsid w:val="33CA10B3"/>
    <w:rsid w:val="33D934D4"/>
    <w:rsid w:val="33D93C2E"/>
    <w:rsid w:val="33FE2F6A"/>
    <w:rsid w:val="344062C5"/>
    <w:rsid w:val="34687274"/>
    <w:rsid w:val="347802E9"/>
    <w:rsid w:val="34D34E19"/>
    <w:rsid w:val="34EA69CF"/>
    <w:rsid w:val="35B9451C"/>
    <w:rsid w:val="35BE203C"/>
    <w:rsid w:val="35D33FEC"/>
    <w:rsid w:val="35F8020A"/>
    <w:rsid w:val="36074A7F"/>
    <w:rsid w:val="36163D5B"/>
    <w:rsid w:val="36343A97"/>
    <w:rsid w:val="366A09A6"/>
    <w:rsid w:val="36912F20"/>
    <w:rsid w:val="36923549"/>
    <w:rsid w:val="36B75FBF"/>
    <w:rsid w:val="36EC6AED"/>
    <w:rsid w:val="36FB4891"/>
    <w:rsid w:val="3756429D"/>
    <w:rsid w:val="37594224"/>
    <w:rsid w:val="37A14044"/>
    <w:rsid w:val="37DC51C5"/>
    <w:rsid w:val="387010D8"/>
    <w:rsid w:val="388F6C58"/>
    <w:rsid w:val="38F12CD3"/>
    <w:rsid w:val="38F94775"/>
    <w:rsid w:val="392971ED"/>
    <w:rsid w:val="3A0A14BD"/>
    <w:rsid w:val="3A6A089D"/>
    <w:rsid w:val="3A7C0B90"/>
    <w:rsid w:val="3B3763D1"/>
    <w:rsid w:val="3BC97011"/>
    <w:rsid w:val="3C4F7B3A"/>
    <w:rsid w:val="3CDA245A"/>
    <w:rsid w:val="3CDA4281"/>
    <w:rsid w:val="3CEE0A37"/>
    <w:rsid w:val="3CF7026E"/>
    <w:rsid w:val="3D171E1D"/>
    <w:rsid w:val="3D1B275B"/>
    <w:rsid w:val="3D685609"/>
    <w:rsid w:val="3D69732A"/>
    <w:rsid w:val="3DCA79A6"/>
    <w:rsid w:val="3DCB7DA0"/>
    <w:rsid w:val="3DEC451E"/>
    <w:rsid w:val="3E2F52BC"/>
    <w:rsid w:val="3F660E74"/>
    <w:rsid w:val="3FFD4B9D"/>
    <w:rsid w:val="40073351"/>
    <w:rsid w:val="40212390"/>
    <w:rsid w:val="404F1A48"/>
    <w:rsid w:val="407A6407"/>
    <w:rsid w:val="40A64953"/>
    <w:rsid w:val="40F148C5"/>
    <w:rsid w:val="40F16FDA"/>
    <w:rsid w:val="413E0EFC"/>
    <w:rsid w:val="414F5582"/>
    <w:rsid w:val="4166016F"/>
    <w:rsid w:val="41B2368F"/>
    <w:rsid w:val="41F5346F"/>
    <w:rsid w:val="420C2AE5"/>
    <w:rsid w:val="421639E7"/>
    <w:rsid w:val="423A3BCC"/>
    <w:rsid w:val="42880E86"/>
    <w:rsid w:val="42B419DF"/>
    <w:rsid w:val="42F8326F"/>
    <w:rsid w:val="433A6FE6"/>
    <w:rsid w:val="4350713C"/>
    <w:rsid w:val="436653E0"/>
    <w:rsid w:val="43FD6620"/>
    <w:rsid w:val="44002774"/>
    <w:rsid w:val="442C7AF4"/>
    <w:rsid w:val="442E62A0"/>
    <w:rsid w:val="44641CDB"/>
    <w:rsid w:val="449016E9"/>
    <w:rsid w:val="44BA07F4"/>
    <w:rsid w:val="44C52D9D"/>
    <w:rsid w:val="44CD14E0"/>
    <w:rsid w:val="455F4180"/>
    <w:rsid w:val="45864755"/>
    <w:rsid w:val="45872666"/>
    <w:rsid w:val="458946E9"/>
    <w:rsid w:val="463D5EF6"/>
    <w:rsid w:val="466F51F0"/>
    <w:rsid w:val="46C60977"/>
    <w:rsid w:val="46D955A7"/>
    <w:rsid w:val="46DF5698"/>
    <w:rsid w:val="47133957"/>
    <w:rsid w:val="4779329E"/>
    <w:rsid w:val="479E4B7C"/>
    <w:rsid w:val="47A07E0C"/>
    <w:rsid w:val="47A86202"/>
    <w:rsid w:val="47EB5471"/>
    <w:rsid w:val="47F13551"/>
    <w:rsid w:val="480B4DC3"/>
    <w:rsid w:val="4820418B"/>
    <w:rsid w:val="4826734A"/>
    <w:rsid w:val="486332E9"/>
    <w:rsid w:val="4870272E"/>
    <w:rsid w:val="49554A22"/>
    <w:rsid w:val="49DC7715"/>
    <w:rsid w:val="4A023139"/>
    <w:rsid w:val="4A7B576F"/>
    <w:rsid w:val="4A827004"/>
    <w:rsid w:val="4A982B10"/>
    <w:rsid w:val="4AA038CD"/>
    <w:rsid w:val="4AAF662F"/>
    <w:rsid w:val="4ADF21D5"/>
    <w:rsid w:val="4B3D53FF"/>
    <w:rsid w:val="4B521C75"/>
    <w:rsid w:val="4B5A699E"/>
    <w:rsid w:val="4BD46691"/>
    <w:rsid w:val="4C021D7E"/>
    <w:rsid w:val="4C494BD8"/>
    <w:rsid w:val="4C4A0649"/>
    <w:rsid w:val="4CE470D3"/>
    <w:rsid w:val="4D49204E"/>
    <w:rsid w:val="4D815520"/>
    <w:rsid w:val="4DBE3AB2"/>
    <w:rsid w:val="4DEC4FB0"/>
    <w:rsid w:val="4E075D8A"/>
    <w:rsid w:val="4E39607A"/>
    <w:rsid w:val="4E8E790E"/>
    <w:rsid w:val="4EF43ECE"/>
    <w:rsid w:val="4FC62A8C"/>
    <w:rsid w:val="4FCB13E0"/>
    <w:rsid w:val="4FD274D4"/>
    <w:rsid w:val="4FE20F0D"/>
    <w:rsid w:val="50145306"/>
    <w:rsid w:val="50504C4B"/>
    <w:rsid w:val="509C6E7C"/>
    <w:rsid w:val="50FA4340"/>
    <w:rsid w:val="51430EF9"/>
    <w:rsid w:val="5162104E"/>
    <w:rsid w:val="51D01B6C"/>
    <w:rsid w:val="522F7ACE"/>
    <w:rsid w:val="53202ED7"/>
    <w:rsid w:val="53A039CC"/>
    <w:rsid w:val="53A1505A"/>
    <w:rsid w:val="54063E08"/>
    <w:rsid w:val="541B0A06"/>
    <w:rsid w:val="543437E8"/>
    <w:rsid w:val="559B174B"/>
    <w:rsid w:val="55BA0837"/>
    <w:rsid w:val="55BC0118"/>
    <w:rsid w:val="55CE0CF4"/>
    <w:rsid w:val="56146632"/>
    <w:rsid w:val="561B7C77"/>
    <w:rsid w:val="5671179F"/>
    <w:rsid w:val="56B22A9C"/>
    <w:rsid w:val="57542B58"/>
    <w:rsid w:val="57636CFE"/>
    <w:rsid w:val="57A77135"/>
    <w:rsid w:val="57B72A76"/>
    <w:rsid w:val="57D77679"/>
    <w:rsid w:val="57FD1DA0"/>
    <w:rsid w:val="58F34A11"/>
    <w:rsid w:val="591D4DAA"/>
    <w:rsid w:val="59320348"/>
    <w:rsid w:val="59A77832"/>
    <w:rsid w:val="59CB102A"/>
    <w:rsid w:val="5A1070E4"/>
    <w:rsid w:val="5A3C747D"/>
    <w:rsid w:val="5A786C69"/>
    <w:rsid w:val="5AA3689A"/>
    <w:rsid w:val="5ABE2233"/>
    <w:rsid w:val="5AF94E81"/>
    <w:rsid w:val="5B2555BE"/>
    <w:rsid w:val="5B276D18"/>
    <w:rsid w:val="5BCF5F08"/>
    <w:rsid w:val="5BDF5D95"/>
    <w:rsid w:val="5C182EB2"/>
    <w:rsid w:val="5C377FC0"/>
    <w:rsid w:val="5C7F1626"/>
    <w:rsid w:val="5DDB39B6"/>
    <w:rsid w:val="5DF87A0F"/>
    <w:rsid w:val="5E1A1E15"/>
    <w:rsid w:val="5E3753B2"/>
    <w:rsid w:val="5E522C82"/>
    <w:rsid w:val="5E9B0C4F"/>
    <w:rsid w:val="5EB57B82"/>
    <w:rsid w:val="5F1A2B43"/>
    <w:rsid w:val="5F670D1E"/>
    <w:rsid w:val="5F877F30"/>
    <w:rsid w:val="5FB837BB"/>
    <w:rsid w:val="5FC75AA8"/>
    <w:rsid w:val="5FE83335"/>
    <w:rsid w:val="5FED1755"/>
    <w:rsid w:val="604C04B2"/>
    <w:rsid w:val="60562532"/>
    <w:rsid w:val="6083199C"/>
    <w:rsid w:val="60DC5C6C"/>
    <w:rsid w:val="61B94A41"/>
    <w:rsid w:val="61D40DBD"/>
    <w:rsid w:val="61D81972"/>
    <w:rsid w:val="6224338E"/>
    <w:rsid w:val="62364782"/>
    <w:rsid w:val="627B698F"/>
    <w:rsid w:val="628E2133"/>
    <w:rsid w:val="633017BF"/>
    <w:rsid w:val="63312D96"/>
    <w:rsid w:val="63362C13"/>
    <w:rsid w:val="63482F90"/>
    <w:rsid w:val="63D40BE9"/>
    <w:rsid w:val="63E0211F"/>
    <w:rsid w:val="64685078"/>
    <w:rsid w:val="64BF39A4"/>
    <w:rsid w:val="65373578"/>
    <w:rsid w:val="656F6D34"/>
    <w:rsid w:val="65707231"/>
    <w:rsid w:val="65932238"/>
    <w:rsid w:val="66441962"/>
    <w:rsid w:val="66444662"/>
    <w:rsid w:val="67394586"/>
    <w:rsid w:val="673F2C7A"/>
    <w:rsid w:val="6768731F"/>
    <w:rsid w:val="676C4A66"/>
    <w:rsid w:val="680D7DB5"/>
    <w:rsid w:val="681F6961"/>
    <w:rsid w:val="68610A2F"/>
    <w:rsid w:val="68805514"/>
    <w:rsid w:val="689651FA"/>
    <w:rsid w:val="68C2542A"/>
    <w:rsid w:val="69045C66"/>
    <w:rsid w:val="694E2071"/>
    <w:rsid w:val="697A3B33"/>
    <w:rsid w:val="699A0CCE"/>
    <w:rsid w:val="699E2456"/>
    <w:rsid w:val="69FE705B"/>
    <w:rsid w:val="6A6A0BB4"/>
    <w:rsid w:val="6A8C1125"/>
    <w:rsid w:val="6AE80539"/>
    <w:rsid w:val="6B322639"/>
    <w:rsid w:val="6B3A5ACE"/>
    <w:rsid w:val="6B713452"/>
    <w:rsid w:val="6C2E7FDA"/>
    <w:rsid w:val="6C636C38"/>
    <w:rsid w:val="6CD94EBF"/>
    <w:rsid w:val="6CF913F9"/>
    <w:rsid w:val="6D6F4734"/>
    <w:rsid w:val="6DA06196"/>
    <w:rsid w:val="6DB34098"/>
    <w:rsid w:val="6DB545B6"/>
    <w:rsid w:val="6E4375A0"/>
    <w:rsid w:val="6E514CED"/>
    <w:rsid w:val="6E581158"/>
    <w:rsid w:val="6E79491A"/>
    <w:rsid w:val="6EB563D5"/>
    <w:rsid w:val="6F225983"/>
    <w:rsid w:val="6F914EDF"/>
    <w:rsid w:val="6F9F588C"/>
    <w:rsid w:val="6FFC5590"/>
    <w:rsid w:val="70286453"/>
    <w:rsid w:val="70301DA3"/>
    <w:rsid w:val="706D1DD0"/>
    <w:rsid w:val="70856B87"/>
    <w:rsid w:val="70D527EE"/>
    <w:rsid w:val="70E179F1"/>
    <w:rsid w:val="711A29A0"/>
    <w:rsid w:val="715B5300"/>
    <w:rsid w:val="715F4BD7"/>
    <w:rsid w:val="717903AB"/>
    <w:rsid w:val="71D27F8A"/>
    <w:rsid w:val="71F744C6"/>
    <w:rsid w:val="71F960CF"/>
    <w:rsid w:val="722D2621"/>
    <w:rsid w:val="72846BCB"/>
    <w:rsid w:val="72A87991"/>
    <w:rsid w:val="730C00AA"/>
    <w:rsid w:val="731F5D5E"/>
    <w:rsid w:val="739C4222"/>
    <w:rsid w:val="739E0C13"/>
    <w:rsid w:val="740811A7"/>
    <w:rsid w:val="741E793C"/>
    <w:rsid w:val="744A454A"/>
    <w:rsid w:val="749C157E"/>
    <w:rsid w:val="74B518BA"/>
    <w:rsid w:val="758D75E2"/>
    <w:rsid w:val="75A43E14"/>
    <w:rsid w:val="75C66B54"/>
    <w:rsid w:val="75CA690C"/>
    <w:rsid w:val="76217EBE"/>
    <w:rsid w:val="76596686"/>
    <w:rsid w:val="77121D63"/>
    <w:rsid w:val="774342F4"/>
    <w:rsid w:val="77762421"/>
    <w:rsid w:val="77AB5301"/>
    <w:rsid w:val="780F09F4"/>
    <w:rsid w:val="78106FDD"/>
    <w:rsid w:val="781A0800"/>
    <w:rsid w:val="78265BC4"/>
    <w:rsid w:val="789171A3"/>
    <w:rsid w:val="789C4F47"/>
    <w:rsid w:val="78A90480"/>
    <w:rsid w:val="78B52F8D"/>
    <w:rsid w:val="78FC585B"/>
    <w:rsid w:val="79304FEA"/>
    <w:rsid w:val="7934284E"/>
    <w:rsid w:val="794C3995"/>
    <w:rsid w:val="79811327"/>
    <w:rsid w:val="79CD3333"/>
    <w:rsid w:val="7A301431"/>
    <w:rsid w:val="7A364017"/>
    <w:rsid w:val="7A69347E"/>
    <w:rsid w:val="7A7D7953"/>
    <w:rsid w:val="7A8265E1"/>
    <w:rsid w:val="7A991D05"/>
    <w:rsid w:val="7A9F3AB9"/>
    <w:rsid w:val="7B1467F3"/>
    <w:rsid w:val="7B686D42"/>
    <w:rsid w:val="7B7C092E"/>
    <w:rsid w:val="7B841746"/>
    <w:rsid w:val="7BB00252"/>
    <w:rsid w:val="7BDF7469"/>
    <w:rsid w:val="7CB741EF"/>
    <w:rsid w:val="7CF942C4"/>
    <w:rsid w:val="7D0239FF"/>
    <w:rsid w:val="7D094DAE"/>
    <w:rsid w:val="7D2D0BB3"/>
    <w:rsid w:val="7D356CDC"/>
    <w:rsid w:val="7D5E40CD"/>
    <w:rsid w:val="7D693BED"/>
    <w:rsid w:val="7D820A7E"/>
    <w:rsid w:val="7E67197E"/>
    <w:rsid w:val="7F1834C5"/>
    <w:rsid w:val="7F3F0AEE"/>
    <w:rsid w:val="7F3F49C3"/>
    <w:rsid w:val="7F504EB2"/>
    <w:rsid w:val="7F557901"/>
    <w:rsid w:val="7F601ACE"/>
    <w:rsid w:val="7F6C4CBA"/>
    <w:rsid w:val="7FA73BC4"/>
    <w:rsid w:val="7FBD293C"/>
    <w:rsid w:val="7FE47E50"/>
    <w:rsid w:val="7FF828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9"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unhideWhenUsed="0" w:uiPriority="0" w:semiHidden="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79"/>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2"/>
    <w:basedOn w:val="1"/>
    <w:next w:val="1"/>
    <w:link w:val="80"/>
    <w:qFormat/>
    <w:locked/>
    <w:uiPriority w:val="0"/>
    <w:pPr>
      <w:keepNext/>
      <w:keepLines/>
      <w:spacing w:before="260" w:after="260" w:line="416" w:lineRule="auto"/>
      <w:outlineLvl w:val="1"/>
    </w:pPr>
    <w:rPr>
      <w:rFonts w:ascii="Arial" w:hAnsi="Arial" w:eastAsia="黑体"/>
      <w:b/>
      <w:bCs/>
      <w:sz w:val="32"/>
      <w:szCs w:val="32"/>
    </w:rPr>
  </w:style>
  <w:style w:type="paragraph" w:styleId="9">
    <w:name w:val="heading 3"/>
    <w:basedOn w:val="1"/>
    <w:next w:val="1"/>
    <w:link w:val="77"/>
    <w:qFormat/>
    <w:locked/>
    <w:uiPriority w:val="9"/>
    <w:pPr>
      <w:keepNext/>
      <w:keepLines/>
      <w:spacing w:before="260" w:after="260" w:line="416" w:lineRule="auto"/>
      <w:outlineLvl w:val="2"/>
    </w:pPr>
    <w:rPr>
      <w:b/>
      <w:bCs/>
      <w:sz w:val="32"/>
      <w:szCs w:val="32"/>
    </w:rPr>
  </w:style>
  <w:style w:type="paragraph" w:styleId="10">
    <w:name w:val="heading 4"/>
    <w:basedOn w:val="1"/>
    <w:next w:val="1"/>
    <w:link w:val="63"/>
    <w:qFormat/>
    <w:locked/>
    <w:uiPriority w:val="0"/>
    <w:pPr>
      <w:keepNext/>
      <w:keepLines/>
      <w:spacing w:before="280" w:after="290" w:line="376" w:lineRule="auto"/>
      <w:outlineLvl w:val="3"/>
    </w:pPr>
    <w:rPr>
      <w:rFonts w:ascii="Cambria" w:hAnsi="Cambria"/>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99"/>
    <w:pPr>
      <w:autoSpaceDE w:val="0"/>
      <w:autoSpaceDN w:val="0"/>
      <w:adjustRightInd w:val="0"/>
    </w:pPr>
    <w:rPr>
      <w:rFonts w:ascii="仿宋_GB2312" w:hAnsi="Times New Roman" w:eastAsia="仿宋_GB2312" w:cs="仿宋_GB2312"/>
      <w:color w:val="000000"/>
      <w:sz w:val="24"/>
      <w:szCs w:val="24"/>
    </w:rPr>
  </w:style>
  <w:style w:type="paragraph" w:customStyle="1" w:styleId="3">
    <w:name w:val="纯文本1"/>
    <w:basedOn w:val="1"/>
    <w:qFormat/>
    <w:uiPriority w:val="0"/>
    <w:rPr>
      <w:rFonts w:ascii="宋体" w:hAnsi="Courier New"/>
      <w:sz w:val="20"/>
      <w:szCs w:val="20"/>
    </w:rPr>
  </w:style>
  <w:style w:type="paragraph" w:customStyle="1" w:styleId="4">
    <w:name w:val="样式1"/>
    <w:basedOn w:val="5"/>
    <w:next w:val="1"/>
    <w:qFormat/>
    <w:uiPriority w:val="0"/>
    <w:pPr>
      <w:widowControl/>
      <w:spacing w:before="50" w:beforeLines="50" w:line="360" w:lineRule="auto"/>
      <w:ind w:firstLine="480" w:firstLineChars="200"/>
    </w:pPr>
    <w:rPr>
      <w:color w:val="FF0000"/>
      <w:kern w:val="24"/>
      <w:sz w:val="24"/>
      <w:szCs w:val="21"/>
    </w:rPr>
  </w:style>
  <w:style w:type="paragraph" w:styleId="5">
    <w:name w:val="index heading"/>
    <w:basedOn w:val="1"/>
    <w:next w:val="6"/>
    <w:qFormat/>
    <w:uiPriority w:val="0"/>
    <w:rPr>
      <w:rFonts w:ascii="Arial" w:hAnsi="Arial" w:cs="Arial"/>
      <w:b/>
      <w:bCs/>
    </w:rPr>
  </w:style>
  <w:style w:type="paragraph" w:styleId="6">
    <w:name w:val="index 1"/>
    <w:basedOn w:val="1"/>
    <w:next w:val="1"/>
    <w:unhideWhenUsed/>
    <w:qFormat/>
    <w:uiPriority w:val="99"/>
    <w:pPr>
      <w:spacing w:line="360" w:lineRule="auto"/>
      <w:ind w:firstLine="200" w:firstLineChars="200"/>
    </w:pPr>
    <w:rPr>
      <w:sz w:val="24"/>
    </w:rPr>
  </w:style>
  <w:style w:type="paragraph" w:styleId="11">
    <w:name w:val="index 8"/>
    <w:basedOn w:val="1"/>
    <w:next w:val="1"/>
    <w:unhideWhenUsed/>
    <w:qFormat/>
    <w:uiPriority w:val="99"/>
    <w:pPr>
      <w:adjustRightInd w:val="0"/>
      <w:snapToGrid w:val="0"/>
      <w:spacing w:line="360" w:lineRule="auto"/>
      <w:ind w:left="1400" w:leftChars="1400" w:firstLine="200" w:firstLineChars="200"/>
    </w:pPr>
    <w:rPr>
      <w:sz w:val="24"/>
      <w:szCs w:val="22"/>
    </w:rPr>
  </w:style>
  <w:style w:type="paragraph" w:styleId="12">
    <w:name w:val="Normal Indent"/>
    <w:basedOn w:val="1"/>
    <w:next w:val="13"/>
    <w:qFormat/>
    <w:uiPriority w:val="0"/>
    <w:pPr>
      <w:ind w:firstLine="420" w:firstLineChars="200"/>
    </w:pPr>
  </w:style>
  <w:style w:type="paragraph" w:styleId="13">
    <w:name w:val="Body Text First Indent 2"/>
    <w:basedOn w:val="14"/>
    <w:next w:val="1"/>
    <w:link w:val="82"/>
    <w:unhideWhenUsed/>
    <w:qFormat/>
    <w:uiPriority w:val="0"/>
    <w:pPr>
      <w:spacing w:line="360" w:lineRule="auto"/>
      <w:ind w:firstLine="420" w:firstLineChars="200"/>
    </w:pPr>
    <w:rPr>
      <w:sz w:val="24"/>
    </w:rPr>
  </w:style>
  <w:style w:type="paragraph" w:styleId="14">
    <w:name w:val="Body Text Indent"/>
    <w:basedOn w:val="1"/>
    <w:next w:val="1"/>
    <w:link w:val="48"/>
    <w:semiHidden/>
    <w:qFormat/>
    <w:uiPriority w:val="0"/>
    <w:pPr>
      <w:spacing w:after="120"/>
      <w:ind w:left="420" w:leftChars="200"/>
    </w:pPr>
  </w:style>
  <w:style w:type="paragraph" w:styleId="15">
    <w:name w:val="annotation text"/>
    <w:basedOn w:val="1"/>
    <w:link w:val="46"/>
    <w:semiHidden/>
    <w:qFormat/>
    <w:uiPriority w:val="0"/>
    <w:pPr>
      <w:jc w:val="left"/>
    </w:pPr>
    <w:rPr>
      <w:kern w:val="0"/>
      <w:sz w:val="20"/>
    </w:rPr>
  </w:style>
  <w:style w:type="paragraph" w:styleId="16">
    <w:name w:val="Body Text"/>
    <w:basedOn w:val="1"/>
    <w:next w:val="14"/>
    <w:link w:val="37"/>
    <w:qFormat/>
    <w:uiPriority w:val="0"/>
    <w:pPr>
      <w:widowControl/>
      <w:snapToGrid w:val="0"/>
      <w:spacing w:before="60" w:after="160" w:line="259" w:lineRule="auto"/>
      <w:ind w:right="113"/>
    </w:pPr>
    <w:rPr>
      <w:kern w:val="0"/>
      <w:sz w:val="18"/>
      <w:szCs w:val="18"/>
    </w:rPr>
  </w:style>
  <w:style w:type="paragraph" w:styleId="17">
    <w:name w:val="Plain Text"/>
    <w:basedOn w:val="1"/>
    <w:next w:val="2"/>
    <w:link w:val="67"/>
    <w:qFormat/>
    <w:uiPriority w:val="0"/>
    <w:pPr>
      <w:adjustRightInd w:val="0"/>
      <w:snapToGrid w:val="0"/>
      <w:spacing w:line="360" w:lineRule="auto"/>
      <w:ind w:firstLine="420" w:firstLineChars="200"/>
      <w:jc w:val="left"/>
    </w:pPr>
    <w:rPr>
      <w:rFonts w:ascii="宋体" w:hAnsi="Courier New"/>
    </w:rPr>
  </w:style>
  <w:style w:type="paragraph" w:styleId="18">
    <w:name w:val="Date"/>
    <w:basedOn w:val="1"/>
    <w:next w:val="1"/>
    <w:link w:val="39"/>
    <w:qFormat/>
    <w:uiPriority w:val="0"/>
    <w:pPr>
      <w:ind w:left="100" w:leftChars="2500"/>
    </w:pPr>
    <w:rPr>
      <w:kern w:val="0"/>
      <w:sz w:val="20"/>
    </w:rPr>
  </w:style>
  <w:style w:type="paragraph" w:styleId="19">
    <w:name w:val="Body Text Indent 2"/>
    <w:basedOn w:val="1"/>
    <w:link w:val="84"/>
    <w:unhideWhenUsed/>
    <w:qFormat/>
    <w:uiPriority w:val="0"/>
    <w:pPr>
      <w:adjustRightInd w:val="0"/>
      <w:spacing w:line="360" w:lineRule="auto"/>
      <w:ind w:firstLine="200" w:firstLineChars="200"/>
    </w:pPr>
    <w:rPr>
      <w:rFonts w:ascii="宋体"/>
      <w:sz w:val="28"/>
    </w:rPr>
  </w:style>
  <w:style w:type="paragraph" w:styleId="20">
    <w:name w:val="Balloon Text"/>
    <w:basedOn w:val="1"/>
    <w:link w:val="45"/>
    <w:semiHidden/>
    <w:qFormat/>
    <w:uiPriority w:val="0"/>
    <w:rPr>
      <w:sz w:val="18"/>
      <w:szCs w:val="18"/>
    </w:rPr>
  </w:style>
  <w:style w:type="paragraph" w:styleId="21">
    <w:name w:val="footer"/>
    <w:basedOn w:val="1"/>
    <w:link w:val="36"/>
    <w:qFormat/>
    <w:uiPriority w:val="0"/>
    <w:pPr>
      <w:tabs>
        <w:tab w:val="center" w:pos="4153"/>
        <w:tab w:val="right" w:pos="8306"/>
      </w:tabs>
      <w:snapToGrid w:val="0"/>
      <w:jc w:val="left"/>
    </w:pPr>
    <w:rPr>
      <w:sz w:val="18"/>
      <w:szCs w:val="18"/>
    </w:rPr>
  </w:style>
  <w:style w:type="paragraph" w:styleId="22">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23">
    <w:name w:val="List Number 5"/>
    <w:basedOn w:val="1"/>
    <w:unhideWhenUsed/>
    <w:qFormat/>
    <w:uiPriority w:val="0"/>
    <w:pPr>
      <w:numPr>
        <w:ilvl w:val="0"/>
        <w:numId w:val="1"/>
      </w:numPr>
      <w:spacing w:line="360" w:lineRule="auto"/>
      <w:ind w:left="0" w:leftChars="0" w:firstLine="0" w:firstLineChars="0"/>
    </w:pPr>
    <w:rPr>
      <w:sz w:val="24"/>
    </w:rPr>
  </w:style>
  <w:style w:type="paragraph" w:styleId="24">
    <w:name w:val="List"/>
    <w:basedOn w:val="1"/>
    <w:qFormat/>
    <w:uiPriority w:val="0"/>
    <w:pPr>
      <w:ind w:left="420" w:hanging="420"/>
    </w:pPr>
    <w:rPr>
      <w:sz w:val="28"/>
      <w:szCs w:val="20"/>
    </w:rPr>
  </w:style>
  <w:style w:type="paragraph" w:styleId="25">
    <w:name w:val="table of figures"/>
    <w:basedOn w:val="1"/>
    <w:next w:val="1"/>
    <w:qFormat/>
    <w:uiPriority w:val="0"/>
    <w:pPr>
      <w:ind w:left="200" w:leftChars="200" w:hanging="200" w:hangingChars="200"/>
    </w:pPr>
  </w:style>
  <w:style w:type="paragraph" w:styleId="26">
    <w:name w:val="Normal (Web)"/>
    <w:basedOn w:val="1"/>
    <w:link w:val="38"/>
    <w:qFormat/>
    <w:uiPriority w:val="0"/>
    <w:pPr>
      <w:widowControl/>
      <w:spacing w:before="100" w:beforeAutospacing="1" w:after="100" w:afterAutospacing="1"/>
      <w:jc w:val="left"/>
    </w:pPr>
    <w:rPr>
      <w:rFonts w:ascii="宋体" w:hAnsi="宋体"/>
      <w:kern w:val="0"/>
      <w:sz w:val="24"/>
    </w:rPr>
  </w:style>
  <w:style w:type="paragraph" w:styleId="27">
    <w:name w:val="Title"/>
    <w:basedOn w:val="1"/>
    <w:qFormat/>
    <w:locked/>
    <w:uiPriority w:val="10"/>
    <w:pPr>
      <w:spacing w:before="240" w:after="60"/>
      <w:jc w:val="center"/>
      <w:outlineLvl w:val="0"/>
    </w:pPr>
    <w:rPr>
      <w:rFonts w:ascii="Arial" w:hAnsi="Arial" w:cs="Arial"/>
      <w:b/>
      <w:bCs/>
      <w:sz w:val="32"/>
      <w:szCs w:val="32"/>
    </w:rPr>
  </w:style>
  <w:style w:type="paragraph" w:styleId="28">
    <w:name w:val="annotation subject"/>
    <w:basedOn w:val="15"/>
    <w:next w:val="15"/>
    <w:link w:val="49"/>
    <w:semiHidden/>
    <w:qFormat/>
    <w:uiPriority w:val="0"/>
    <w:rPr>
      <w:b/>
      <w:bCs/>
    </w:rPr>
  </w:style>
  <w:style w:type="paragraph" w:styleId="29">
    <w:name w:val="Body Text First Indent"/>
    <w:basedOn w:val="16"/>
    <w:next w:val="1"/>
    <w:link w:val="83"/>
    <w:qFormat/>
    <w:uiPriority w:val="0"/>
    <w:pPr>
      <w:ind w:firstLine="420" w:firstLineChars="10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uiPriority w:val="0"/>
  </w:style>
  <w:style w:type="character" w:styleId="34">
    <w:name w:val="annotation reference"/>
    <w:semiHidden/>
    <w:qFormat/>
    <w:uiPriority w:val="0"/>
    <w:rPr>
      <w:sz w:val="21"/>
    </w:rPr>
  </w:style>
  <w:style w:type="character" w:customStyle="1" w:styleId="35">
    <w:name w:val="页眉 Char"/>
    <w:link w:val="22"/>
    <w:qFormat/>
    <w:locked/>
    <w:uiPriority w:val="0"/>
    <w:rPr>
      <w:rFonts w:cs="Times New Roman"/>
      <w:sz w:val="18"/>
      <w:szCs w:val="18"/>
    </w:rPr>
  </w:style>
  <w:style w:type="character" w:customStyle="1" w:styleId="36">
    <w:name w:val="页脚 Char"/>
    <w:link w:val="21"/>
    <w:qFormat/>
    <w:locked/>
    <w:uiPriority w:val="0"/>
    <w:rPr>
      <w:rFonts w:cs="Times New Roman"/>
      <w:sz w:val="18"/>
      <w:szCs w:val="18"/>
    </w:rPr>
  </w:style>
  <w:style w:type="character" w:customStyle="1" w:styleId="37">
    <w:name w:val="正文文本 Char"/>
    <w:link w:val="16"/>
    <w:qFormat/>
    <w:locked/>
    <w:uiPriority w:val="0"/>
    <w:rPr>
      <w:sz w:val="18"/>
    </w:rPr>
  </w:style>
  <w:style w:type="character" w:customStyle="1" w:styleId="38">
    <w:name w:val="普通(网站) Char1"/>
    <w:link w:val="26"/>
    <w:qFormat/>
    <w:locked/>
    <w:uiPriority w:val="0"/>
    <w:rPr>
      <w:rFonts w:ascii="宋体" w:hAnsi="宋体" w:eastAsia="宋体"/>
      <w:sz w:val="24"/>
    </w:rPr>
  </w:style>
  <w:style w:type="character" w:customStyle="1" w:styleId="39">
    <w:name w:val="日期 Char"/>
    <w:link w:val="18"/>
    <w:qFormat/>
    <w:locked/>
    <w:uiPriority w:val="0"/>
    <w:rPr>
      <w:rFonts w:ascii="Times New Roman" w:hAnsi="Times New Roman" w:eastAsia="宋体"/>
      <w:sz w:val="24"/>
    </w:rPr>
  </w:style>
  <w:style w:type="character" w:customStyle="1" w:styleId="40">
    <w:name w:val="日期 字符"/>
    <w:semiHidden/>
    <w:qFormat/>
    <w:uiPriority w:val="0"/>
    <w:rPr>
      <w:rFonts w:ascii="Times New Roman" w:hAnsi="Times New Roman" w:eastAsia="宋体" w:cs="Times New Roman"/>
      <w:sz w:val="24"/>
      <w:szCs w:val="24"/>
    </w:rPr>
  </w:style>
  <w:style w:type="character" w:customStyle="1" w:styleId="41">
    <w:name w:val="正文文本 字符1"/>
    <w:semiHidden/>
    <w:qFormat/>
    <w:uiPriority w:val="0"/>
    <w:rPr>
      <w:rFonts w:ascii="Times New Roman" w:hAnsi="Times New Roman" w:eastAsia="宋体" w:cs="Times New Roman"/>
      <w:sz w:val="24"/>
      <w:szCs w:val="24"/>
    </w:rPr>
  </w:style>
  <w:style w:type="paragraph" w:customStyle="1" w:styleId="4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3">
    <w:name w:val="表格 Char"/>
    <w:link w:val="44"/>
    <w:qFormat/>
    <w:locked/>
    <w:uiPriority w:val="0"/>
    <w:rPr>
      <w:rFonts w:ascii="宋体"/>
      <w:sz w:val="21"/>
    </w:rPr>
  </w:style>
  <w:style w:type="paragraph" w:customStyle="1" w:styleId="44">
    <w:name w:val="表格"/>
    <w:basedOn w:val="1"/>
    <w:next w:val="1"/>
    <w:link w:val="43"/>
    <w:qFormat/>
    <w:uiPriority w:val="0"/>
    <w:pPr>
      <w:adjustRightInd w:val="0"/>
      <w:snapToGrid w:val="0"/>
      <w:spacing w:beforeLines="10" w:afterLines="10" w:line="259" w:lineRule="auto"/>
      <w:jc w:val="center"/>
    </w:pPr>
    <w:rPr>
      <w:rFonts w:ascii="宋体"/>
      <w:kern w:val="0"/>
      <w:sz w:val="20"/>
      <w:szCs w:val="21"/>
    </w:rPr>
  </w:style>
  <w:style w:type="character" w:customStyle="1" w:styleId="45">
    <w:name w:val="批注框文本 Char"/>
    <w:link w:val="20"/>
    <w:semiHidden/>
    <w:qFormat/>
    <w:locked/>
    <w:uiPriority w:val="0"/>
    <w:rPr>
      <w:rFonts w:ascii="Times New Roman" w:hAnsi="Times New Roman" w:eastAsia="宋体" w:cs="Times New Roman"/>
      <w:sz w:val="18"/>
      <w:szCs w:val="18"/>
    </w:rPr>
  </w:style>
  <w:style w:type="character" w:customStyle="1" w:styleId="46">
    <w:name w:val="批注文字 Char"/>
    <w:link w:val="15"/>
    <w:qFormat/>
    <w:locked/>
    <w:uiPriority w:val="0"/>
    <w:rPr>
      <w:rFonts w:ascii="Times New Roman" w:hAnsi="Times New Roman" w:eastAsia="宋体"/>
      <w:sz w:val="24"/>
    </w:rPr>
  </w:style>
  <w:style w:type="character" w:customStyle="1" w:styleId="47">
    <w:name w:val="批注文字 字符1"/>
    <w:semiHidden/>
    <w:qFormat/>
    <w:uiPriority w:val="0"/>
    <w:rPr>
      <w:rFonts w:ascii="Times New Roman" w:hAnsi="Times New Roman" w:eastAsia="宋体" w:cs="Times New Roman"/>
      <w:sz w:val="24"/>
      <w:szCs w:val="24"/>
    </w:rPr>
  </w:style>
  <w:style w:type="character" w:customStyle="1" w:styleId="48">
    <w:name w:val="正文文本缩进 Char"/>
    <w:link w:val="14"/>
    <w:semiHidden/>
    <w:qFormat/>
    <w:locked/>
    <w:uiPriority w:val="0"/>
    <w:rPr>
      <w:rFonts w:ascii="Times New Roman" w:hAnsi="Times New Roman" w:eastAsia="宋体" w:cs="Times New Roman"/>
      <w:sz w:val="24"/>
      <w:szCs w:val="24"/>
    </w:rPr>
  </w:style>
  <w:style w:type="character" w:customStyle="1" w:styleId="49">
    <w:name w:val="批注主题 Char"/>
    <w:link w:val="28"/>
    <w:semiHidden/>
    <w:qFormat/>
    <w:locked/>
    <w:uiPriority w:val="0"/>
    <w:rPr>
      <w:rFonts w:ascii="Times New Roman" w:hAnsi="Times New Roman" w:eastAsia="宋体" w:cs="Times New Roman"/>
      <w:b/>
      <w:bCs/>
      <w:kern w:val="2"/>
      <w:sz w:val="24"/>
      <w:szCs w:val="24"/>
    </w:rPr>
  </w:style>
  <w:style w:type="character" w:customStyle="1" w:styleId="50">
    <w:name w:val="普通(网站) Char"/>
    <w:qFormat/>
    <w:locked/>
    <w:uiPriority w:val="0"/>
    <w:rPr>
      <w:rFonts w:ascii="宋体" w:hAnsi="宋体" w:eastAsia="宋体"/>
      <w:sz w:val="24"/>
    </w:rPr>
  </w:style>
  <w:style w:type="paragraph" w:customStyle="1" w:styleId="51">
    <w:name w:val="正文（缩进）"/>
    <w:basedOn w:val="1"/>
    <w:qFormat/>
    <w:uiPriority w:val="99"/>
    <w:pPr>
      <w:spacing w:line="360" w:lineRule="auto"/>
      <w:ind w:firstLine="480"/>
    </w:pPr>
    <w:rPr>
      <w:szCs w:val="20"/>
    </w:rPr>
  </w:style>
  <w:style w:type="paragraph" w:customStyle="1" w:styleId="52">
    <w:name w:val="正文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53">
    <w:name w:val="表格样式1"/>
    <w:basedOn w:val="31"/>
    <w:qFormat/>
    <w:uiPriority w:val="0"/>
    <w:pPr>
      <w:spacing w:line="240" w:lineRule="atLeast"/>
    </w:pPr>
    <w:rPr>
      <w:sz w:val="21"/>
    </w:rPr>
    <w:tcPr>
      <w:vAlign w:val="center"/>
    </w:tcPr>
  </w:style>
  <w:style w:type="paragraph" w:customStyle="1" w:styleId="54">
    <w:name w:val="List Paragraph"/>
    <w:basedOn w:val="1"/>
    <w:qFormat/>
    <w:uiPriority w:val="34"/>
    <w:pPr>
      <w:ind w:firstLine="420" w:firstLineChars="200"/>
    </w:pPr>
    <w:rPr>
      <w:sz w:val="24"/>
    </w:rPr>
  </w:style>
  <w:style w:type="paragraph" w:customStyle="1" w:styleId="55">
    <w:name w:val="表格文字"/>
    <w:basedOn w:val="1"/>
    <w:qFormat/>
    <w:uiPriority w:val="0"/>
    <w:pPr>
      <w:adjustRightInd w:val="0"/>
      <w:spacing w:line="360" w:lineRule="auto"/>
      <w:ind w:right="-1" w:firstLine="360" w:firstLineChars="150"/>
    </w:pPr>
    <w:rPr>
      <w:rFonts w:hAnsi="宋体"/>
      <w:sz w:val="24"/>
    </w:rPr>
  </w:style>
  <w:style w:type="paragraph" w:customStyle="1" w:styleId="56">
    <w:name w:val="正文第"/>
    <w:basedOn w:val="14"/>
    <w:qFormat/>
    <w:uiPriority w:val="0"/>
    <w:pPr>
      <w:ind w:firstLine="460" w:firstLineChars="200"/>
    </w:pPr>
    <w:rPr>
      <w:bCs/>
      <w:szCs w:val="21"/>
    </w:rPr>
  </w:style>
  <w:style w:type="paragraph" w:customStyle="1" w:styleId="57">
    <w:name w:val="qq表格文字qq"/>
    <w:basedOn w:val="1"/>
    <w:qFormat/>
    <w:uiPriority w:val="0"/>
    <w:pPr>
      <w:jc w:val="center"/>
    </w:pPr>
  </w:style>
  <w:style w:type="paragraph" w:customStyle="1" w:styleId="58">
    <w:name w:val="小标题 qq"/>
    <w:basedOn w:val="14"/>
    <w:qFormat/>
    <w:uiPriority w:val="0"/>
    <w:pPr>
      <w:spacing w:line="360" w:lineRule="exact"/>
      <w:jc w:val="center"/>
    </w:pPr>
    <w:rPr>
      <w:b/>
      <w:szCs w:val="21"/>
    </w:rPr>
  </w:style>
  <w:style w:type="paragraph" w:customStyle="1" w:styleId="59">
    <w:name w:val="！正文"/>
    <w:next w:val="11"/>
    <w:qFormat/>
    <w:uiPriority w:val="0"/>
    <w:pPr>
      <w:widowControl w:val="0"/>
      <w:spacing w:line="360" w:lineRule="auto"/>
      <w:ind w:firstLine="200" w:firstLineChars="200"/>
      <w:jc w:val="both"/>
    </w:pPr>
    <w:rPr>
      <w:rFonts w:ascii="Times New Roman" w:hAnsi="Times New Roman" w:eastAsia="宋体" w:cs="Times New Roman"/>
      <w:bCs/>
      <w:color w:val="000000"/>
      <w:kern w:val="2"/>
      <w:sz w:val="24"/>
      <w:szCs w:val="28"/>
      <w:lang w:val="zh-CN" w:eastAsia="zh-CN" w:bidi="ar-SA"/>
    </w:rPr>
  </w:style>
  <w:style w:type="paragraph" w:customStyle="1" w:styleId="60">
    <w:name w:val="Table Paragraph"/>
    <w:basedOn w:val="1"/>
    <w:next w:val="1"/>
    <w:qFormat/>
    <w:uiPriority w:val="1"/>
    <w:rPr>
      <w:rFonts w:ascii="宋体" w:hAnsi="宋体" w:cs="宋体"/>
      <w:lang w:val="zh-CN" w:bidi="zh-CN"/>
    </w:rPr>
  </w:style>
  <w:style w:type="paragraph" w:customStyle="1" w:styleId="61">
    <w:name w:val="12345正文"/>
    <w:basedOn w:val="1"/>
    <w:qFormat/>
    <w:uiPriority w:val="0"/>
    <w:pPr>
      <w:autoSpaceDE w:val="0"/>
      <w:autoSpaceDN w:val="0"/>
      <w:adjustRightInd w:val="0"/>
      <w:spacing w:line="360" w:lineRule="auto"/>
      <w:ind w:firstLine="480" w:firstLineChars="200"/>
      <w:contextualSpacing/>
    </w:pPr>
    <w:rPr>
      <w:rFonts w:cs="宋体"/>
      <w:kern w:val="0"/>
      <w:sz w:val="24"/>
    </w:rPr>
  </w:style>
  <w:style w:type="paragraph" w:customStyle="1" w:styleId="62">
    <w:name w:val="正文qq"/>
    <w:basedOn w:val="1"/>
    <w:qFormat/>
    <w:uiPriority w:val="0"/>
    <w:pPr>
      <w:spacing w:line="360" w:lineRule="auto"/>
      <w:ind w:firstLine="480" w:firstLineChars="200"/>
    </w:pPr>
    <w:rPr>
      <w:bCs/>
      <w:sz w:val="24"/>
    </w:rPr>
  </w:style>
  <w:style w:type="character" w:customStyle="1" w:styleId="63">
    <w:name w:val="标题 4 Char"/>
    <w:link w:val="10"/>
    <w:qFormat/>
    <w:uiPriority w:val="0"/>
    <w:rPr>
      <w:rFonts w:ascii="Cambria" w:hAnsi="Cambria" w:eastAsia="宋体" w:cs="Times New Roman"/>
      <w:b/>
      <w:bCs/>
      <w:kern w:val="2"/>
      <w:sz w:val="28"/>
      <w:szCs w:val="28"/>
    </w:rPr>
  </w:style>
  <w:style w:type="paragraph" w:customStyle="1" w:styleId="64">
    <w:name w:val="Char Char1 Char Char Char Char Char Char Char Char Char Char Char Char Char Char Char Char Char Char Char Char1 Char"/>
    <w:basedOn w:val="1"/>
    <w:qFormat/>
    <w:uiPriority w:val="0"/>
    <w:pPr>
      <w:adjustRightInd w:val="0"/>
      <w:snapToGrid w:val="0"/>
      <w:spacing w:line="360" w:lineRule="auto"/>
      <w:ind w:firstLine="200" w:firstLineChars="200"/>
    </w:pPr>
    <w:rPr>
      <w:rFonts w:hint="eastAsia" w:ascii="宋体" w:hAnsi="宋体"/>
      <w:spacing w:val="-2"/>
      <w:kern w:val="0"/>
      <w:sz w:val="24"/>
    </w:rPr>
  </w:style>
  <w:style w:type="paragraph" w:customStyle="1" w:styleId="65">
    <w:name w:val="表中"/>
    <w:basedOn w:val="1"/>
    <w:qFormat/>
    <w:uiPriority w:val="0"/>
    <w:pPr>
      <w:adjustRightInd w:val="0"/>
      <w:snapToGrid w:val="0"/>
      <w:spacing w:line="240" w:lineRule="atLeast"/>
      <w:jc w:val="left"/>
    </w:pPr>
    <w:rPr>
      <w:szCs w:val="21"/>
    </w:rPr>
  </w:style>
  <w:style w:type="character" w:customStyle="1" w:styleId="66">
    <w:name w:val="font61"/>
    <w:qFormat/>
    <w:uiPriority w:val="0"/>
    <w:rPr>
      <w:rFonts w:hint="eastAsia" w:ascii="等线" w:hAnsi="等线" w:eastAsia="等线" w:cs="等线"/>
      <w:color w:val="000000"/>
      <w:spacing w:val="-2"/>
      <w:kern w:val="0"/>
      <w:sz w:val="24"/>
      <w:szCs w:val="24"/>
      <w:u w:val="none"/>
      <w:lang w:val="en-US" w:eastAsia="zh-CN" w:bidi="ar"/>
    </w:rPr>
  </w:style>
  <w:style w:type="character" w:customStyle="1" w:styleId="67">
    <w:name w:val="纯文本 Char"/>
    <w:link w:val="17"/>
    <w:qFormat/>
    <w:uiPriority w:val="0"/>
    <w:rPr>
      <w:rFonts w:ascii="宋体" w:hAnsi="Courier New"/>
      <w:kern w:val="2"/>
      <w:sz w:val="21"/>
      <w:szCs w:val="24"/>
    </w:rPr>
  </w:style>
  <w:style w:type="paragraph" w:customStyle="1" w:styleId="68">
    <w:name w:val="正文01"/>
    <w:basedOn w:val="1"/>
    <w:qFormat/>
    <w:uiPriority w:val="0"/>
    <w:pPr>
      <w:adjustRightInd w:val="0"/>
      <w:snapToGrid w:val="0"/>
      <w:spacing w:before="60" w:line="460" w:lineRule="exact"/>
      <w:ind w:firstLine="200" w:firstLineChars="200"/>
      <w:jc w:val="left"/>
    </w:pPr>
    <w:rPr>
      <w:rFonts w:ascii="Arial" w:hAnsi="Arial"/>
      <w:sz w:val="24"/>
    </w:rPr>
  </w:style>
  <w:style w:type="paragraph" w:customStyle="1" w:styleId="69">
    <w:name w:val="标准正文"/>
    <w:basedOn w:val="1"/>
    <w:qFormat/>
    <w:uiPriority w:val="0"/>
    <w:pPr>
      <w:spacing w:line="520" w:lineRule="atLeast"/>
      <w:ind w:firstLine="480" w:firstLineChars="200"/>
    </w:pPr>
    <w:rPr>
      <w:sz w:val="24"/>
      <w:szCs w:val="20"/>
    </w:rPr>
  </w:style>
  <w:style w:type="paragraph" w:customStyle="1" w:styleId="70">
    <w:name w:val="body"/>
    <w:basedOn w:val="1"/>
    <w:qFormat/>
    <w:uiPriority w:val="0"/>
    <w:pPr>
      <w:spacing w:line="360" w:lineRule="auto"/>
    </w:pPr>
    <w:rPr>
      <w:rFonts w:ascii="宋体" w:hAnsi="宋体"/>
      <w:sz w:val="24"/>
      <w:szCs w:val="20"/>
    </w:rPr>
  </w:style>
  <w:style w:type="paragraph" w:customStyle="1" w:styleId="71">
    <w:name w:val="表格内容"/>
    <w:basedOn w:val="12"/>
    <w:next w:val="1"/>
    <w:qFormat/>
    <w:uiPriority w:val="0"/>
    <w:pPr>
      <w:ind w:firstLine="0" w:firstLineChars="0"/>
      <w:jc w:val="center"/>
    </w:pPr>
    <w:rPr>
      <w:rFonts w:ascii="Calibri" w:hAnsi="Calibri" w:eastAsia="Calibri"/>
      <w:kern w:val="0"/>
      <w:szCs w:val="20"/>
      <w:lang w:eastAsia="en-US"/>
    </w:rPr>
  </w:style>
  <w:style w:type="paragraph" w:customStyle="1" w:styleId="72">
    <w:name w:val="表格2.0"/>
    <w:basedOn w:val="8"/>
    <w:next w:val="1"/>
    <w:qFormat/>
    <w:uiPriority w:val="0"/>
    <w:pPr>
      <w:spacing w:before="0" w:after="0" w:line="360" w:lineRule="auto"/>
    </w:pPr>
    <w:rPr>
      <w:rFonts w:eastAsia="宋体"/>
      <w:b w:val="0"/>
      <w:bCs w:val="0"/>
      <w:sz w:val="21"/>
      <w:szCs w:val="24"/>
    </w:rPr>
  </w:style>
  <w:style w:type="character" w:customStyle="1" w:styleId="73">
    <w:name w:val="0报告书正文 Char"/>
    <w:link w:val="74"/>
    <w:qFormat/>
    <w:uiPriority w:val="0"/>
    <w:rPr>
      <w:color w:val="000000"/>
      <w:kern w:val="2"/>
      <w:sz w:val="24"/>
      <w:szCs w:val="24"/>
    </w:rPr>
  </w:style>
  <w:style w:type="paragraph" w:customStyle="1" w:styleId="74">
    <w:name w:val="0报告书正文"/>
    <w:basedOn w:val="1"/>
    <w:link w:val="73"/>
    <w:qFormat/>
    <w:uiPriority w:val="0"/>
    <w:pPr>
      <w:spacing w:line="440" w:lineRule="exact"/>
      <w:ind w:firstLine="200" w:firstLineChars="200"/>
    </w:pPr>
    <w:rPr>
      <w:color w:val="000000"/>
      <w:sz w:val="24"/>
    </w:rPr>
  </w:style>
  <w:style w:type="character" w:customStyle="1" w:styleId="75">
    <w:name w:val="fontstyle01"/>
    <w:qFormat/>
    <w:uiPriority w:val="0"/>
    <w:rPr>
      <w:rFonts w:hint="eastAsia" w:ascii="宋体" w:hAnsi="宋体" w:eastAsia="宋体"/>
      <w:color w:val="000000"/>
      <w:sz w:val="24"/>
      <w:szCs w:val="24"/>
    </w:rPr>
  </w:style>
  <w:style w:type="character" w:customStyle="1" w:styleId="76">
    <w:name w:val="fontstyle11"/>
    <w:qFormat/>
    <w:uiPriority w:val="0"/>
    <w:rPr>
      <w:rFonts w:hint="eastAsia" w:ascii="宋体" w:hAnsi="宋体" w:eastAsia="宋体"/>
      <w:color w:val="000000"/>
      <w:sz w:val="24"/>
      <w:szCs w:val="24"/>
    </w:rPr>
  </w:style>
  <w:style w:type="character" w:customStyle="1" w:styleId="77">
    <w:name w:val="标题 3 Char"/>
    <w:link w:val="9"/>
    <w:qFormat/>
    <w:uiPriority w:val="9"/>
    <w:rPr>
      <w:b/>
      <w:bCs/>
      <w:kern w:val="2"/>
      <w:sz w:val="32"/>
      <w:szCs w:val="32"/>
    </w:rPr>
  </w:style>
  <w:style w:type="paragraph" w:customStyle="1" w:styleId="78">
    <w:name w:val="表格1"/>
    <w:basedOn w:val="16"/>
    <w:next w:val="1"/>
    <w:qFormat/>
    <w:uiPriority w:val="0"/>
    <w:pPr>
      <w:spacing w:before="0" w:after="0" w:line="240" w:lineRule="auto"/>
      <w:ind w:right="0"/>
      <w:jc w:val="center"/>
    </w:pPr>
    <w:rPr>
      <w:rFonts w:eastAsia="仿宋"/>
      <w:b/>
      <w:sz w:val="24"/>
    </w:rPr>
  </w:style>
  <w:style w:type="character" w:customStyle="1" w:styleId="79">
    <w:name w:val="标题 1 Char"/>
    <w:link w:val="7"/>
    <w:qFormat/>
    <w:uiPriority w:val="0"/>
    <w:rPr>
      <w:rFonts w:eastAsia="黑体"/>
      <w:b/>
      <w:bCs/>
      <w:color w:val="000000"/>
      <w:kern w:val="44"/>
      <w:sz w:val="30"/>
      <w:szCs w:val="30"/>
    </w:rPr>
  </w:style>
  <w:style w:type="character" w:customStyle="1" w:styleId="80">
    <w:name w:val="标题 2 Char"/>
    <w:link w:val="8"/>
    <w:qFormat/>
    <w:uiPriority w:val="0"/>
    <w:rPr>
      <w:rFonts w:ascii="Arial" w:hAnsi="Arial" w:eastAsia="黑体"/>
      <w:b/>
      <w:bCs/>
      <w:kern w:val="2"/>
      <w:sz w:val="32"/>
      <w:szCs w:val="32"/>
    </w:rPr>
  </w:style>
  <w:style w:type="paragraph" w:customStyle="1" w:styleId="81">
    <w:name w:val="msonormal"/>
    <w:basedOn w:val="1"/>
    <w:qFormat/>
    <w:uiPriority w:val="0"/>
    <w:pPr>
      <w:widowControl/>
      <w:spacing w:before="100" w:beforeAutospacing="1" w:after="100" w:afterAutospacing="1" w:line="360" w:lineRule="auto"/>
      <w:ind w:firstLine="720" w:firstLineChars="200"/>
      <w:jc w:val="left"/>
    </w:pPr>
    <w:rPr>
      <w:rFonts w:ascii="宋体" w:hAnsi="宋体"/>
      <w:kern w:val="0"/>
      <w:sz w:val="24"/>
    </w:rPr>
  </w:style>
  <w:style w:type="character" w:customStyle="1" w:styleId="82">
    <w:name w:val="正文首行缩进 2 Char"/>
    <w:link w:val="13"/>
    <w:qFormat/>
    <w:uiPriority w:val="0"/>
    <w:rPr>
      <w:rFonts w:ascii="Times New Roman" w:hAnsi="Times New Roman" w:eastAsia="宋体" w:cs="Times New Roman"/>
      <w:kern w:val="2"/>
      <w:sz w:val="24"/>
      <w:szCs w:val="24"/>
    </w:rPr>
  </w:style>
  <w:style w:type="character" w:customStyle="1" w:styleId="83">
    <w:name w:val="正文首行缩进 Char"/>
    <w:link w:val="29"/>
    <w:qFormat/>
    <w:uiPriority w:val="0"/>
    <w:rPr>
      <w:kern w:val="2"/>
      <w:sz w:val="21"/>
      <w:szCs w:val="24"/>
    </w:rPr>
  </w:style>
  <w:style w:type="character" w:customStyle="1" w:styleId="84">
    <w:name w:val="正文文本缩进 2 Char"/>
    <w:link w:val="19"/>
    <w:qFormat/>
    <w:uiPriority w:val="0"/>
    <w:rPr>
      <w:rFonts w:ascii="宋体"/>
      <w:kern w:val="2"/>
      <w:sz w:val="28"/>
      <w:szCs w:val="24"/>
    </w:rPr>
  </w:style>
  <w:style w:type="paragraph" w:customStyle="1" w:styleId="85">
    <w:name w:val="样式 正文缩进正文缩进2正文缩进 Char Char正文缩进 Char Char Char Char正文缩进 Char ..."/>
    <w:basedOn w:val="12"/>
    <w:qFormat/>
    <w:uiPriority w:val="0"/>
    <w:pPr>
      <w:spacing w:line="360" w:lineRule="auto"/>
      <w:ind w:firstLine="200"/>
    </w:pPr>
    <w:rPr>
      <w:rFonts w:cs="宋体"/>
      <w:sz w:val="24"/>
    </w:rPr>
  </w:style>
  <w:style w:type="paragraph" w:customStyle="1" w:styleId="86">
    <w:name w:val="正文（标准）"/>
    <w:basedOn w:val="1"/>
    <w:qFormat/>
    <w:uiPriority w:val="0"/>
    <w:pPr>
      <w:adjustRightInd w:val="0"/>
      <w:spacing w:line="360" w:lineRule="auto"/>
      <w:ind w:firstLine="200" w:firstLineChars="200"/>
    </w:pPr>
    <w:rPr>
      <w:sz w:val="24"/>
      <w:szCs w:val="30"/>
    </w:rPr>
  </w:style>
  <w:style w:type="paragraph" w:customStyle="1" w:styleId="87">
    <w:name w:val="表头"/>
    <w:basedOn w:val="24"/>
    <w:next w:val="1"/>
    <w:qFormat/>
    <w:uiPriority w:val="0"/>
    <w:pPr>
      <w:tabs>
        <w:tab w:val="left" w:pos="2040"/>
        <w:tab w:val="left" w:pos="2600"/>
      </w:tabs>
      <w:adjustRightInd w:val="0"/>
      <w:snapToGrid w:val="0"/>
      <w:ind w:left="0" w:firstLine="0"/>
      <w:jc w:val="center"/>
    </w:pPr>
    <w:rPr>
      <w:b/>
      <w:sz w:val="21"/>
    </w:rPr>
  </w:style>
  <w:style w:type="paragraph" w:customStyle="1" w:styleId="88">
    <w:name w:val="表格正文"/>
    <w:basedOn w:val="44"/>
    <w:qFormat/>
    <w:uiPriority w:val="0"/>
    <w:pPr>
      <w:spacing w:line="360" w:lineRule="auto"/>
    </w:pPr>
    <w:rPr>
      <w:rFonts w:hint="eastAsia" w:hAnsi="宋体"/>
      <w:sz w:val="21"/>
      <w:szCs w:val="20"/>
    </w:rPr>
  </w:style>
  <w:style w:type="paragraph" w:customStyle="1" w:styleId="89">
    <w:name w:val="正文样式1"/>
    <w:basedOn w:val="1"/>
    <w:qFormat/>
    <w:uiPriority w:val="0"/>
    <w:pPr>
      <w:spacing w:line="360" w:lineRule="auto"/>
      <w:ind w:firstLine="200" w:firstLineChars="200"/>
    </w:pPr>
    <w:rPr>
      <w:rFonts w:ascii="宋体"/>
      <w:kern w:val="0"/>
      <w:sz w:val="24"/>
      <w:szCs w:val="20"/>
    </w:rPr>
  </w:style>
  <w:style w:type="paragraph" w:customStyle="1" w:styleId="90">
    <w:name w:val="段落 Char Char Char1"/>
    <w:basedOn w:val="1"/>
    <w:qFormat/>
    <w:uiPriority w:val="0"/>
    <w:pPr>
      <w:topLinePunct/>
      <w:adjustRightInd w:val="0"/>
      <w:snapToGrid w:val="0"/>
      <w:spacing w:line="360" w:lineRule="auto"/>
      <w:ind w:firstLine="200" w:firstLineChars="200"/>
    </w:pPr>
    <w:rPr>
      <w:sz w:val="24"/>
    </w:rPr>
  </w:style>
  <w:style w:type="paragraph" w:customStyle="1" w:styleId="91">
    <w:name w:val="样式 表头 + 小四"/>
    <w:basedOn w:val="25"/>
    <w:qFormat/>
    <w:uiPriority w:val="0"/>
    <w:pPr>
      <w:spacing w:line="360" w:lineRule="auto"/>
      <w:ind w:left="420" w:leftChars="0" w:hanging="420" w:firstLineChars="200"/>
      <w:jc w:val="center"/>
    </w:pPr>
    <w:rPr>
      <w:b/>
      <w:sz w:val="24"/>
    </w:rPr>
  </w:style>
  <w:style w:type="paragraph" w:customStyle="1" w:styleId="92">
    <w:name w:val="！表格"/>
    <w:basedOn w:val="25"/>
    <w:next w:val="59"/>
    <w:qFormat/>
    <w:uiPriority w:val="0"/>
    <w:pPr>
      <w:spacing w:line="320" w:lineRule="exact"/>
      <w:ind w:left="0" w:leftChars="0" w:firstLine="0" w:firstLineChars="200"/>
      <w:jc w:val="center"/>
    </w:pPr>
  </w:style>
  <w:style w:type="paragraph" w:customStyle="1" w:styleId="93">
    <w:name w:val="Body text|1"/>
    <w:basedOn w:val="1"/>
    <w:qFormat/>
    <w:uiPriority w:val="0"/>
    <w:pPr>
      <w:spacing w:after="240" w:line="360" w:lineRule="auto"/>
      <w:ind w:firstLine="720" w:firstLineChars="200"/>
      <w:jc w:val="center"/>
    </w:pPr>
    <w:rPr>
      <w:rFonts w:ascii="宋体" w:hAnsi="宋体" w:cs="宋体"/>
      <w:sz w:val="36"/>
      <w:szCs w:val="36"/>
      <w:lang w:val="zh-TW" w:eastAsia="zh-TW" w:bidi="zh-TW"/>
    </w:rPr>
  </w:style>
  <w:style w:type="paragraph" w:customStyle="1" w:styleId="94">
    <w:name w:val="Other|2"/>
    <w:basedOn w:val="1"/>
    <w:qFormat/>
    <w:uiPriority w:val="0"/>
    <w:pPr>
      <w:spacing w:line="360" w:lineRule="auto"/>
      <w:ind w:firstLine="720" w:firstLineChars="200"/>
    </w:pPr>
    <w:rPr>
      <w:rFonts w:ascii="宋体" w:hAnsi="宋体" w:cs="宋体"/>
      <w:sz w:val="20"/>
      <w:szCs w:val="20"/>
      <w:lang w:val="zh-TW" w:eastAsia="zh-TW" w:bidi="zh-TW"/>
    </w:rPr>
  </w:style>
  <w:style w:type="paragraph" w:customStyle="1" w:styleId="95">
    <w:name w:val="Other|1"/>
    <w:basedOn w:val="1"/>
    <w:qFormat/>
    <w:uiPriority w:val="0"/>
    <w:pPr>
      <w:spacing w:line="360" w:lineRule="auto"/>
      <w:ind w:firstLine="720" w:firstLineChars="200"/>
    </w:pPr>
    <w:rPr>
      <w:sz w:val="18"/>
      <w:szCs w:val="18"/>
      <w:lang w:val="zh-TW" w:eastAsia="zh-TW" w:bidi="zh-TW"/>
    </w:rPr>
  </w:style>
  <w:style w:type="paragraph" w:customStyle="1" w:styleId="96">
    <w:name w:val="正文缩近"/>
    <w:basedOn w:val="1"/>
    <w:qFormat/>
    <w:uiPriority w:val="99"/>
    <w:pPr>
      <w:spacing w:line="360" w:lineRule="auto"/>
      <w:ind w:firstLine="560" w:firstLineChars="200"/>
    </w:pPr>
    <w:rPr>
      <w:sz w:val="28"/>
      <w:szCs w:val="28"/>
    </w:rPr>
  </w:style>
  <w:style w:type="paragraph" w:customStyle="1" w:styleId="97">
    <w:name w:val="4正文"/>
    <w:basedOn w:val="1"/>
    <w:qFormat/>
    <w:uiPriority w:val="0"/>
    <w:pPr>
      <w:spacing w:line="360" w:lineRule="auto"/>
      <w:ind w:firstLine="200" w:firstLineChars="200"/>
    </w:pPr>
    <w:rPr>
      <w:sz w:val="24"/>
    </w:rPr>
  </w:style>
  <w:style w:type="paragraph" w:customStyle="1" w:styleId="98">
    <w:name w:val="+正文"/>
    <w:basedOn w:val="1"/>
    <w:qFormat/>
    <w:uiPriority w:val="0"/>
    <w:pPr>
      <w:adjustRightInd w:val="0"/>
      <w:snapToGrid w:val="0"/>
      <w:spacing w:line="360" w:lineRule="auto"/>
      <w:ind w:firstLine="200" w:firstLineChars="200"/>
    </w:pPr>
    <w:rPr>
      <w:sz w:val="24"/>
    </w:rPr>
  </w:style>
  <w:style w:type="paragraph" w:customStyle="1" w:styleId="99">
    <w:name w:val="正文！"/>
    <w:basedOn w:val="1"/>
    <w:qFormat/>
    <w:uiPriority w:val="0"/>
    <w:pPr>
      <w:spacing w:line="360" w:lineRule="auto"/>
      <w:ind w:firstLine="400" w:firstLineChars="200"/>
    </w:pPr>
    <w:rPr>
      <w:kern w:val="0"/>
      <w:sz w:val="24"/>
      <w:szCs w:val="20"/>
    </w:rPr>
  </w:style>
  <w:style w:type="paragraph" w:customStyle="1" w:styleId="100">
    <w:name w:val="道路表头"/>
    <w:basedOn w:val="1"/>
    <w:qFormat/>
    <w:uiPriority w:val="99"/>
    <w:pPr>
      <w:jc w:val="center"/>
    </w:pPr>
    <w:rPr>
      <w:rFonts w:eastAsia="黑体"/>
      <w:spacing w:val="10"/>
      <w:sz w:val="24"/>
      <w:szCs w:val="21"/>
    </w:rPr>
  </w:style>
  <w:style w:type="paragraph" w:customStyle="1" w:styleId="101">
    <w:name w:val="道路正文"/>
    <w:basedOn w:val="1"/>
    <w:qFormat/>
    <w:uiPriority w:val="99"/>
    <w:pPr>
      <w:snapToGrid w:val="0"/>
      <w:spacing w:line="300" w:lineRule="auto"/>
      <w:ind w:firstLine="600" w:firstLineChars="200"/>
    </w:pPr>
    <w:rPr>
      <w:spacing w:val="10"/>
      <w:sz w:val="28"/>
      <w:szCs w:val="28"/>
    </w:rPr>
  </w:style>
  <w:style w:type="paragraph" w:customStyle="1" w:styleId="102">
    <w:name w:val="民武正文"/>
    <w:basedOn w:val="17"/>
    <w:qFormat/>
    <w:uiPriority w:val="99"/>
    <w:pPr>
      <w:spacing w:line="300" w:lineRule="auto"/>
      <w:ind w:firstLine="200" w:firstLineChars="200"/>
    </w:pPr>
  </w:style>
  <w:style w:type="paragraph" w:customStyle="1" w:styleId="103">
    <w:name w:val="样式4"/>
    <w:basedOn w:val="16"/>
    <w:qFormat/>
    <w:uiPriority w:val="0"/>
    <w:pPr>
      <w:spacing w:line="600" w:lineRule="exact"/>
      <w:ind w:firstLine="200" w:firstLineChars="200"/>
    </w:pPr>
    <w:rPr>
      <w:rFonts w:eastAsia="Times New Roman"/>
      <w:szCs w:val="20"/>
    </w:rPr>
  </w:style>
  <w:style w:type="table" w:customStyle="1" w:styleId="104">
    <w:name w:val="Table Normal"/>
    <w:unhideWhenUsed/>
    <w:qFormat/>
    <w:uiPriority w:val="0"/>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050B62-1A6A-47ED-97A8-AE463FBC688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108</Pages>
  <Words>59407</Words>
  <Characters>65536</Characters>
  <Lines>441</Lines>
  <Paragraphs>124</Paragraphs>
  <TotalTime>2</TotalTime>
  <ScaleCrop>false</ScaleCrop>
  <LinksUpToDate>false</LinksUpToDate>
  <CharactersWithSpaces>66121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2021-08-30T01:35:00Z</dcterms:created>
  <dc:creator>lhj</dc:creator>
  <cp:lastModifiedBy>WPS_1660046246</cp:lastModifiedBy>
  <cp:lastPrinted>2020-12-24T01:50:00Z</cp:lastPrinted>
  <dcterms:modified xsi:type="dcterms:W3CDTF">2023-06-01T08:01:34Z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8742436093B24689B44DDB2F4F374DB9</vt:lpwstr>
  </property>
</Properties>
</file>