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14:textFill>
            <w14:solidFill>
              <w14:schemeClr w14:val="tx1"/>
            </w14:solidFill>
          </w14:textFill>
        </w:rPr>
      </w:pPr>
      <w:bookmarkStart w:id="0" w:name="_Hlk57883707"/>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bookmarkEnd w:id="0"/>
    <w:p>
      <w:pPr>
        <w:adjustRightInd w:val="0"/>
        <w:snapToGrid w:val="0"/>
        <w:jc w:val="center"/>
        <w:outlineLvl w:val="0"/>
        <w:rPr>
          <w:rFonts w:hint="eastAsia"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hint="eastAsia"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（生态影响类）</w:t>
      </w:r>
    </w:p>
    <w:p>
      <w:pPr>
        <w:adjustRightInd w:val="0"/>
        <w:snapToGrid w:val="0"/>
        <w:spacing w:line="288" w:lineRule="auto"/>
        <w:jc w:val="center"/>
        <w:outlineLvl w:val="0"/>
        <w:rPr>
          <w:rFonts w:ascii="华文仿宋" w:hAnsi="华文仿宋" w:eastAsia="华文仿宋" w:cs="华文仿宋"/>
          <w:color w:val="000000" w:themeColor="text1"/>
          <w:kern w:val="44"/>
          <w:sz w:val="44"/>
          <w:szCs w:val="44"/>
          <w14:textFill>
            <w14:solidFill>
              <w14:schemeClr w14:val="tx1"/>
            </w14:solidFill>
          </w14:textFill>
        </w:rPr>
      </w:pPr>
      <w:bookmarkStart w:id="1" w:name="_Hlk57883728"/>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bookmarkEnd w:id="1"/>
    <w:p>
      <w:pPr>
        <w:adjustRightInd w:val="0"/>
        <w:snapToGrid w:val="0"/>
        <w:spacing w:line="288" w:lineRule="auto"/>
        <w:rPr>
          <w:rFonts w:hint="default" w:ascii="仿宋_GB2312" w:eastAsia="仿宋_GB2312"/>
          <w:i w:val="0"/>
          <w:iCs w:val="0"/>
          <w:color w:val="000000" w:themeColor="text1"/>
          <w:sz w:val="36"/>
          <w:szCs w:val="36"/>
          <w:u w:val="single"/>
          <w:lang w:val="en-US"/>
          <w14:textFill>
            <w14:solidFill>
              <w14:schemeClr w14:val="tx1"/>
            </w14:solidFill>
          </w14:textFill>
        </w:rPr>
      </w:pPr>
      <w:r>
        <w:rPr>
          <w:rFonts w:hint="eastAsia" w:ascii="仿宋_GB2312" w:eastAsia="仿宋_GB2312"/>
          <w:i w:val="0"/>
          <w:iCs w:val="0"/>
          <w:color w:val="000000" w:themeColor="text1"/>
          <w:sz w:val="36"/>
          <w:szCs w:val="36"/>
          <w14:textFill>
            <w14:solidFill>
              <w14:schemeClr w14:val="tx1"/>
            </w14:solidFill>
          </w14:textFill>
        </w:rPr>
        <w:t>项目名称：</w:t>
      </w:r>
      <w:r>
        <w:rPr>
          <w:rFonts w:hint="eastAsia" w:ascii="仿宋_GB2312" w:eastAsia="仿宋_GB2312"/>
          <w:i w:val="0"/>
          <w:iCs w:val="0"/>
          <w:color w:val="000000" w:themeColor="text1"/>
          <w:sz w:val="36"/>
          <w:szCs w:val="36"/>
          <w:u w:val="single"/>
          <w:lang w:eastAsia="zh-CN"/>
          <w14:textFill>
            <w14:solidFill>
              <w14:schemeClr w14:val="tx1"/>
            </w14:solidFill>
          </w14:textFill>
        </w:rPr>
        <w:t>宁县城北河重点流域水环境综合治理工程</w:t>
      </w:r>
      <w:r>
        <w:rPr>
          <w:rFonts w:hint="eastAsia" w:ascii="仿宋_GB2312" w:eastAsia="仿宋_GB2312"/>
          <w:i w:val="0"/>
          <w:iCs w:val="0"/>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rPr>
          <w:rFonts w:hint="default" w:ascii="仿宋_GB2312" w:eastAsia="仿宋_GB2312"/>
          <w:i w:val="0"/>
          <w:iCs w:val="0"/>
          <w:color w:val="000000" w:themeColor="text1"/>
          <w:sz w:val="36"/>
          <w:szCs w:val="36"/>
          <w:u w:val="single"/>
          <w:lang w:val="en-US" w:eastAsia="zh-CN"/>
          <w14:textFill>
            <w14:solidFill>
              <w14:schemeClr w14:val="tx1"/>
            </w14:solidFill>
          </w14:textFill>
        </w:rPr>
      </w:pPr>
      <w:r>
        <w:rPr>
          <w:rFonts w:hint="eastAsia" w:ascii="仿宋_GB2312" w:eastAsia="仿宋_GB2312"/>
          <w:i w:val="0"/>
          <w:iCs w:val="0"/>
          <w:color w:val="000000" w:themeColor="text1"/>
          <w:sz w:val="36"/>
          <w:szCs w:val="36"/>
          <w14:textFill>
            <w14:solidFill>
              <w14:schemeClr w14:val="tx1"/>
            </w14:solidFill>
          </w14:textFill>
        </w:rPr>
        <w:t>建设单位（盖章）：</w:t>
      </w:r>
      <w:r>
        <w:rPr>
          <w:rFonts w:hint="eastAsia" w:ascii="仿宋_GB2312" w:eastAsia="仿宋_GB2312"/>
          <w:i w:val="0"/>
          <w:iCs w:val="0"/>
          <w:color w:val="000000" w:themeColor="text1"/>
          <w:sz w:val="36"/>
          <w:szCs w:val="36"/>
          <w:u w:val="single"/>
          <w:lang w:eastAsia="zh-CN"/>
          <w14:textFill>
            <w14:solidFill>
              <w14:schemeClr w14:val="tx1"/>
            </w14:solidFill>
          </w14:textFill>
        </w:rPr>
        <w:t>宁县水利建设管理站</w:t>
      </w:r>
      <w:r>
        <w:rPr>
          <w:rFonts w:hint="eastAsia" w:ascii="仿宋_GB2312" w:eastAsia="仿宋_GB2312"/>
          <w:i w:val="0"/>
          <w:iCs w:val="0"/>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rPr>
          <w:rFonts w:hint="eastAsia" w:ascii="仿宋_GB2312" w:eastAsia="仿宋_GB2312"/>
          <w:i w:val="0"/>
          <w:iCs w:val="0"/>
          <w:color w:val="000000" w:themeColor="text1"/>
          <w:sz w:val="36"/>
          <w:szCs w:val="36"/>
          <w:u w:val="single"/>
          <w:lang w:val="en-US" w:eastAsia="zh-CN"/>
          <w14:textFill>
            <w14:solidFill>
              <w14:schemeClr w14:val="tx1"/>
            </w14:solidFill>
          </w14:textFill>
        </w:rPr>
      </w:pPr>
      <w:r>
        <w:rPr>
          <w:rFonts w:hint="eastAsia" w:ascii="仿宋_GB2312" w:eastAsia="仿宋_GB2312"/>
          <w:i w:val="0"/>
          <w:iCs w:val="0"/>
          <w:color w:val="000000" w:themeColor="text1"/>
          <w:sz w:val="36"/>
          <w:szCs w:val="36"/>
          <w14:textFill>
            <w14:solidFill>
              <w14:schemeClr w14:val="tx1"/>
            </w14:solidFill>
          </w14:textFill>
        </w:rPr>
        <w:t>编制日期：</w:t>
      </w:r>
      <w:r>
        <w:rPr>
          <w:rFonts w:hint="eastAsia" w:ascii="仿宋_GB2312" w:eastAsia="仿宋_GB2312"/>
          <w:i w:val="0"/>
          <w:iCs w:val="0"/>
          <w:color w:val="000000" w:themeColor="text1"/>
          <w:sz w:val="36"/>
          <w:szCs w:val="36"/>
          <w:u w:val="single"/>
          <w:lang w:val="en-US" w:eastAsia="zh-CN"/>
          <w14:textFill>
            <w14:solidFill>
              <w14:schemeClr w14:val="tx1"/>
            </w14:solidFill>
          </w14:textFill>
        </w:rPr>
        <w:t xml:space="preserve">        </w:t>
      </w:r>
      <w:r>
        <w:rPr>
          <w:rFonts w:hint="eastAsia" w:ascii="仿宋_GB2312" w:eastAsia="仿宋_GB2312"/>
          <w:i w:val="0"/>
          <w:iCs w:val="0"/>
          <w:color w:val="000000" w:themeColor="text1"/>
          <w:sz w:val="36"/>
          <w:szCs w:val="36"/>
          <w:u w:val="single"/>
          <w:lang w:eastAsia="zh-CN"/>
          <w14:textFill>
            <w14:solidFill>
              <w14:schemeClr w14:val="tx1"/>
            </w14:solidFill>
          </w14:textFill>
        </w:rPr>
        <w:t>二零二二年六月</w:t>
      </w:r>
      <w:r>
        <w:rPr>
          <w:rFonts w:hint="eastAsia" w:ascii="仿宋_GB2312" w:eastAsia="仿宋_GB2312"/>
          <w:i w:val="0"/>
          <w:iCs w:val="0"/>
          <w:color w:val="000000" w:themeColor="text1"/>
          <w:sz w:val="36"/>
          <w:szCs w:val="36"/>
          <w:u w:val="single"/>
          <w14:textFill>
            <w14:solidFill>
              <w14:schemeClr w14:val="tx1"/>
            </w14:solidFill>
          </w14:textFill>
        </w:rPr>
        <w:t xml:space="preserve"> </w:t>
      </w:r>
      <w:r>
        <w:rPr>
          <w:rFonts w:ascii="仿宋_GB2312" w:eastAsia="仿宋_GB2312"/>
          <w:i w:val="0"/>
          <w:iCs w:val="0"/>
          <w:color w:val="000000" w:themeColor="text1"/>
          <w:sz w:val="36"/>
          <w:szCs w:val="36"/>
          <w:u w:val="single"/>
          <w14:textFill>
            <w14:solidFill>
              <w14:schemeClr w14:val="tx1"/>
            </w14:solidFill>
          </w14:textFill>
        </w:rPr>
        <w:t xml:space="preserve">  </w:t>
      </w:r>
      <w:r>
        <w:rPr>
          <w:rFonts w:hint="eastAsia" w:ascii="仿宋_GB2312" w:eastAsia="仿宋_GB2312"/>
          <w:i w:val="0"/>
          <w:iCs w:val="0"/>
          <w:color w:val="000000" w:themeColor="text1"/>
          <w:sz w:val="36"/>
          <w:szCs w:val="36"/>
          <w:u w:val="single"/>
          <w:lang w:val="en-US" w:eastAsia="zh-CN"/>
          <w14:textFill>
            <w14:solidFill>
              <w14:schemeClr w14:val="tx1"/>
            </w14:solidFill>
          </w14:textFill>
        </w:rPr>
        <w:t xml:space="preserve">          </w:t>
      </w:r>
      <w:r>
        <w:rPr>
          <w:rFonts w:ascii="仿宋_GB2312" w:eastAsia="仿宋_GB2312"/>
          <w:i w:val="0"/>
          <w:iCs w:val="0"/>
          <w:color w:val="000000" w:themeColor="text1"/>
          <w:sz w:val="36"/>
          <w:szCs w:val="36"/>
          <w:u w:val="single"/>
          <w14:textFill>
            <w14:solidFill>
              <w14:schemeClr w14:val="tx1"/>
            </w14:solidFill>
          </w14:textFill>
        </w:rPr>
        <w:t xml:space="preserve">    </w:t>
      </w:r>
    </w:p>
    <w:p>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pPr>
        <w:adjustRightInd w:val="0"/>
        <w:snapToGrid w:val="0"/>
        <w:spacing w:line="288" w:lineRule="auto"/>
        <w:jc w:val="center"/>
        <w:rPr>
          <w:rFonts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hint="eastAsia" w:ascii="仿宋_GB2312" w:eastAsia="仿宋_GB2312"/>
          <w:color w:val="000000" w:themeColor="text1"/>
          <w:sz w:val="36"/>
          <w:szCs w:val="36"/>
          <w:lang w:eastAsia="zh-CN"/>
          <w14:textFill>
            <w14:solidFill>
              <w14:schemeClr w14:val="tx1"/>
            </w14:solidFill>
          </w14:textFill>
        </w:rPr>
      </w:pPr>
    </w:p>
    <w:p>
      <w:pPr>
        <w:pStyle w:val="8"/>
        <w:rPr>
          <w:rFonts w:hint="eastAsia"/>
          <w:color w:val="000000" w:themeColor="text1"/>
          <w:lang w:eastAsia="zh-CN"/>
          <w14:textFill>
            <w14:solidFill>
              <w14:schemeClr w14:val="tx1"/>
            </w14:solidFill>
          </w14:textFill>
        </w:rPr>
      </w:pPr>
    </w:p>
    <w:p>
      <w:pPr>
        <w:rPr>
          <w:rFonts w:ascii="仿宋_GB2312" w:eastAsia="仿宋_GB2312"/>
          <w:color w:val="000000" w:themeColor="text1"/>
          <w:sz w:val="36"/>
          <w:szCs w:val="36"/>
          <w14:textFill>
            <w14:solidFill>
              <w14:schemeClr w14:val="tx1"/>
            </w14:solidFill>
          </w14:textFill>
        </w:rPr>
      </w:pPr>
      <w:r>
        <w:rPr>
          <w:rFonts w:ascii="仿宋_GB2312" w:eastAsia="仿宋_GB2312"/>
          <w:color w:val="000000" w:themeColor="text1"/>
          <w:sz w:val="36"/>
          <w:szCs w:val="36"/>
          <w14:textFill>
            <w14:solidFill>
              <w14:schemeClr w14:val="tx1"/>
            </w14:solidFill>
          </w14:textFill>
        </w:rPr>
        <w:br w:type="page"/>
      </w:r>
    </w:p>
    <w:p>
      <w:pPr>
        <w:pStyle w:val="8"/>
        <w:rPr>
          <w:color w:val="000000" w:themeColor="text1"/>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17"/>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1"/>
        <w:tblW w:w="4989" w:type="pct"/>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1"/>
        <w:gridCol w:w="2208"/>
        <w:gridCol w:w="2172"/>
        <w:gridCol w:w="10"/>
        <w:gridCol w:w="24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973"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建设项目名称</w:t>
            </w:r>
          </w:p>
        </w:tc>
        <w:tc>
          <w:tcPr>
            <w:tcW w:w="6884" w:type="dxa"/>
            <w:gridSpan w:val="4"/>
            <w:noWrap w:val="0"/>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color w:val="000000" w:themeColor="text1"/>
                <w:spacing w:val="10"/>
                <w:sz w:val="24"/>
                <w:szCs w:val="21"/>
                <w:lang w:eastAsia="zh-CN"/>
                <w14:textFill>
                  <w14:solidFill>
                    <w14:schemeClr w14:val="tx1"/>
                  </w14:solidFill>
                </w14:textFill>
              </w:rPr>
              <w:t>宁县城北河重点流域水环境综合治理工程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973"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项目代码</w:t>
            </w:r>
          </w:p>
        </w:tc>
        <w:tc>
          <w:tcPr>
            <w:tcW w:w="6884" w:type="dxa"/>
            <w:gridSpan w:val="4"/>
            <w:noWrap w:val="0"/>
            <w:vAlign w:val="center"/>
          </w:tcPr>
          <w:p>
            <w:pPr>
              <w:adjustRightInd w:val="0"/>
              <w:snapToGrid w:val="0"/>
              <w:jc w:val="center"/>
              <w:rPr>
                <w:rFonts w:hint="eastAsia" w:ascii="宋体" w:hAnsi="宋体" w:eastAsia="宋体" w:cs="宋体"/>
                <w:color w:val="000000" w:themeColor="text1"/>
                <w:sz w:val="24"/>
                <w:szCs w:val="21"/>
                <w:lang w:eastAsia="zh-CN"/>
                <w14:textFill>
                  <w14:solidFill>
                    <w14:schemeClr w14:val="tx1"/>
                  </w14:solidFill>
                </w14:textFill>
              </w:rPr>
            </w:pPr>
            <w:r>
              <w:rPr>
                <w:rFonts w:hint="eastAsia" w:ascii="宋体" w:hAnsi="宋体" w:cs="宋体"/>
                <w:color w:val="000000" w:themeColor="text1"/>
                <w:sz w:val="24"/>
                <w:szCs w:val="21"/>
                <w:lang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973"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建设单位联系人</w:t>
            </w:r>
          </w:p>
        </w:tc>
        <w:tc>
          <w:tcPr>
            <w:tcW w:w="2210" w:type="dxa"/>
            <w:noWrap w:val="0"/>
            <w:vAlign w:val="center"/>
          </w:tcPr>
          <w:p>
            <w:pPr>
              <w:adjustRightInd w:val="0"/>
              <w:snapToGrid w:val="0"/>
              <w:jc w:val="center"/>
              <w:rPr>
                <w:rFonts w:hint="eastAsia" w:ascii="宋体" w:hAnsi="宋体" w:eastAsia="宋体" w:cs="宋体"/>
                <w:color w:val="000000" w:themeColor="text1"/>
                <w:sz w:val="24"/>
                <w:szCs w:val="21"/>
                <w:lang w:eastAsia="zh-CN"/>
                <w14:textFill>
                  <w14:solidFill>
                    <w14:schemeClr w14:val="tx1"/>
                  </w14:solidFill>
                </w14:textFill>
              </w:rPr>
            </w:pPr>
            <w:r>
              <w:rPr>
                <w:rFonts w:hint="eastAsia" w:ascii="宋体" w:hAnsi="宋体" w:cs="宋体"/>
                <w:color w:val="000000" w:themeColor="text1"/>
                <w:sz w:val="24"/>
                <w:szCs w:val="21"/>
                <w:lang w:eastAsia="zh-CN"/>
                <w14:textFill>
                  <w14:solidFill>
                    <w14:schemeClr w14:val="tx1"/>
                  </w14:solidFill>
                </w14:textFill>
              </w:rPr>
              <w:t>李克</w:t>
            </w:r>
          </w:p>
        </w:tc>
        <w:tc>
          <w:tcPr>
            <w:tcW w:w="2184" w:type="dxa"/>
            <w:gridSpan w:val="2"/>
            <w:noWrap w:val="0"/>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联系方式</w:t>
            </w:r>
          </w:p>
        </w:tc>
        <w:tc>
          <w:tcPr>
            <w:tcW w:w="2490" w:type="dxa"/>
            <w:noWrap w:val="0"/>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Times New Roman" w:hAnsi="Times New Roman" w:eastAsia="宋体"/>
                <w:color w:val="000000" w:themeColor="text1"/>
                <w:spacing w:val="10"/>
                <w:sz w:val="24"/>
                <w:szCs w:val="21"/>
                <w14:textFill>
                  <w14:solidFill>
                    <w14:schemeClr w14:val="tx1"/>
                  </w14:solidFill>
                </w14:textFill>
              </w:rPr>
              <w:t>18293088355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973"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建设地点</w:t>
            </w:r>
          </w:p>
        </w:tc>
        <w:tc>
          <w:tcPr>
            <w:tcW w:w="6884" w:type="dxa"/>
            <w:gridSpan w:val="4"/>
            <w:noWrap w:val="0"/>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u w:val="single"/>
                <w:lang w:eastAsia="zh-CN"/>
                <w14:textFill>
                  <w14:solidFill>
                    <w14:schemeClr w14:val="tx1"/>
                  </w14:solidFill>
                </w14:textFill>
              </w:rPr>
              <w:t>甘肃</w:t>
            </w:r>
            <w:r>
              <w:rPr>
                <w:rFonts w:hint="eastAsia" w:ascii="宋体" w:hAnsi="宋体" w:cs="宋体"/>
                <w:color w:val="000000" w:themeColor="text1"/>
                <w:sz w:val="24"/>
                <w:szCs w:val="21"/>
                <w14:textFill>
                  <w14:solidFill>
                    <w14:schemeClr w14:val="tx1"/>
                  </w14:solidFill>
                </w14:textFill>
              </w:rPr>
              <w:t>省</w:t>
            </w:r>
            <w:r>
              <w:rPr>
                <w:rFonts w:hint="eastAsia" w:ascii="宋体" w:hAnsi="宋体" w:cs="宋体"/>
                <w:color w:val="000000" w:themeColor="text1"/>
                <w:sz w:val="24"/>
                <w:szCs w:val="21"/>
                <w:u w:val="single"/>
                <w:lang w:eastAsia="zh-CN"/>
                <w14:textFill>
                  <w14:solidFill>
                    <w14:schemeClr w14:val="tx1"/>
                  </w14:solidFill>
                </w14:textFill>
              </w:rPr>
              <w:t>庆阳</w:t>
            </w:r>
            <w:r>
              <w:rPr>
                <w:rFonts w:hint="eastAsia" w:ascii="宋体" w:hAnsi="宋体" w:cs="宋体"/>
                <w:color w:val="000000" w:themeColor="text1"/>
                <w:sz w:val="24"/>
                <w:szCs w:val="21"/>
                <w14:textFill>
                  <w14:solidFill>
                    <w14:schemeClr w14:val="tx1"/>
                  </w14:solidFill>
                </w14:textFill>
              </w:rPr>
              <w:t>市</w:t>
            </w:r>
            <w:r>
              <w:rPr>
                <w:rFonts w:hint="eastAsia" w:ascii="宋体" w:hAnsi="宋体" w:cs="宋体"/>
                <w:color w:val="000000" w:themeColor="text1"/>
                <w:sz w:val="24"/>
                <w:szCs w:val="21"/>
                <w:u w:val="single"/>
                <w:lang w:eastAsia="zh-CN"/>
                <w14:textFill>
                  <w14:solidFill>
                    <w14:schemeClr w14:val="tx1"/>
                  </w14:solidFill>
                </w14:textFill>
              </w:rPr>
              <w:t>宁县</w:t>
            </w:r>
            <w:r>
              <w:rPr>
                <w:rFonts w:hint="eastAsia" w:ascii="宋体" w:hAnsi="宋体" w:cs="宋体"/>
                <w:color w:val="000000" w:themeColor="text1"/>
                <w:sz w:val="24"/>
                <w:szCs w:val="21"/>
                <w:lang w:eastAsia="zh-CN"/>
                <w14:textFill>
                  <w14:solidFill>
                    <w14:schemeClr w14:val="tx1"/>
                  </w14:solidFill>
                </w14:textFill>
              </w:rPr>
              <w:t>城北河流域段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973"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地理坐标</w:t>
            </w:r>
          </w:p>
        </w:tc>
        <w:tc>
          <w:tcPr>
            <w:tcW w:w="6884" w:type="dxa"/>
            <w:gridSpan w:val="4"/>
            <w:noWrap w:val="0"/>
            <w:vAlign w:val="center"/>
          </w:tcPr>
          <w:p>
            <w:pPr>
              <w:pStyle w:val="10"/>
              <w:jc w:val="center"/>
              <w:rPr>
                <w:rFonts w:hint="eastAsia" w:ascii="宋体" w:hAnsi="宋体" w:cs="宋体"/>
                <w:color w:val="000000" w:themeColor="text1"/>
                <w:sz w:val="24"/>
                <w:szCs w:val="21"/>
                <w:lang w:eastAsia="zh-CN"/>
                <w14:textFill>
                  <w14:solidFill>
                    <w14:schemeClr w14:val="tx1"/>
                  </w14:solidFill>
                </w14:textFill>
              </w:rPr>
            </w:pPr>
            <w:r>
              <w:rPr>
                <w:rFonts w:hint="eastAsia" w:ascii="宋体" w:hAnsi="宋体" w:cs="宋体"/>
                <w:color w:val="000000" w:themeColor="text1"/>
                <w:sz w:val="24"/>
                <w:szCs w:val="21"/>
                <w:lang w:eastAsia="zh-CN"/>
                <w14:textFill>
                  <w14:solidFill>
                    <w14:schemeClr w14:val="tx1"/>
                  </w14:solidFill>
                </w14:textFill>
              </w:rPr>
              <w:t>城北河流域</w:t>
            </w:r>
          </w:p>
          <w:p>
            <w:pPr>
              <w:pStyle w:val="10"/>
              <w:rPr>
                <w:rFonts w:hint="eastAsia" w:ascii="宋体" w:hAnsi="宋体" w:cs="宋体"/>
                <w:color w:val="000000" w:themeColor="text1"/>
                <w:sz w:val="24"/>
                <w:szCs w:val="21"/>
                <w:lang w:eastAsia="zh-CN"/>
                <w14:textFill>
                  <w14:solidFill>
                    <w14:schemeClr w14:val="tx1"/>
                  </w14:solidFill>
                </w14:textFill>
              </w:rPr>
            </w:pPr>
            <w:r>
              <w:rPr>
                <w:rFonts w:hint="eastAsia" w:ascii="宋体" w:hAnsi="宋体" w:cs="宋体"/>
                <w:color w:val="000000" w:themeColor="text1"/>
                <w:sz w:val="24"/>
                <w:szCs w:val="21"/>
                <w:lang w:eastAsia="zh-CN"/>
                <w14:textFill>
                  <w14:solidFill>
                    <w14:schemeClr w14:val="tx1"/>
                  </w14:solidFill>
                </w14:textFill>
              </w:rPr>
              <w:t>起点：</w:t>
            </w:r>
            <w:r>
              <w:rPr>
                <w:rFonts w:hint="eastAsia"/>
                <w:color w:val="000000" w:themeColor="text1"/>
                <w:sz w:val="24"/>
                <w:szCs w:val="36"/>
                <w:lang w:eastAsia="zh-CN"/>
                <w14:textFill>
                  <w14:solidFill>
                    <w14:schemeClr w14:val="tx1"/>
                  </w14:solidFill>
                </w14:textFill>
              </w:rPr>
              <w:t>东经</w:t>
            </w:r>
            <w:r>
              <w:rPr>
                <w:rFonts w:hint="eastAsia" w:ascii="宋体" w:hAnsi="宋体" w:cs="宋体"/>
                <w:color w:val="000000" w:themeColor="text1"/>
                <w:sz w:val="24"/>
                <w:szCs w:val="21"/>
                <w:u w:val="single"/>
                <w14:textFill>
                  <w14:solidFill>
                    <w14:schemeClr w14:val="tx1"/>
                  </w14:solidFill>
                </w14:textFill>
              </w:rPr>
              <w:t>10</w:t>
            </w:r>
            <w:r>
              <w:rPr>
                <w:rFonts w:hint="eastAsia" w:ascii="宋体" w:hAnsi="宋体" w:cs="宋体"/>
                <w:color w:val="000000" w:themeColor="text1"/>
                <w:sz w:val="24"/>
                <w:szCs w:val="21"/>
                <w:u w:val="single"/>
                <w:lang w:val="en-US" w:eastAsia="zh-CN"/>
                <w14:textFill>
                  <w14:solidFill>
                    <w14:schemeClr w14:val="tx1"/>
                  </w14:solidFill>
                </w14:textFill>
              </w:rPr>
              <w:t>7</w:t>
            </w:r>
            <w:r>
              <w:rPr>
                <w:rFonts w:hint="eastAsia" w:ascii="宋体" w:hAnsi="宋体" w:cs="宋体"/>
                <w:color w:val="000000" w:themeColor="text1"/>
                <w:sz w:val="24"/>
                <w:szCs w:val="21"/>
                <w14:textFill>
                  <w14:solidFill>
                    <w14:schemeClr w14:val="tx1"/>
                  </w14:solidFill>
                </w14:textFill>
              </w:rPr>
              <w:t>度</w:t>
            </w:r>
            <w:r>
              <w:rPr>
                <w:rFonts w:hint="eastAsia" w:ascii="宋体" w:hAnsi="宋体" w:cs="宋体"/>
                <w:color w:val="000000" w:themeColor="text1"/>
                <w:sz w:val="24"/>
                <w:szCs w:val="21"/>
                <w:u w:val="single"/>
                <w:lang w:val="en-US" w:eastAsia="zh-CN"/>
                <w14:textFill>
                  <w14:solidFill>
                    <w14:schemeClr w14:val="tx1"/>
                  </w14:solidFill>
                </w14:textFill>
              </w:rPr>
              <w:t>59</w:t>
            </w:r>
            <w:r>
              <w:rPr>
                <w:rFonts w:hint="eastAsia" w:ascii="宋体" w:hAnsi="宋体" w:cs="宋体"/>
                <w:color w:val="000000" w:themeColor="text1"/>
                <w:sz w:val="24"/>
                <w:szCs w:val="21"/>
                <w14:textFill>
                  <w14:solidFill>
                    <w14:schemeClr w14:val="tx1"/>
                  </w14:solidFill>
                </w14:textFill>
              </w:rPr>
              <w:t>分</w:t>
            </w:r>
            <w:r>
              <w:rPr>
                <w:rFonts w:hint="eastAsia" w:ascii="宋体" w:hAnsi="宋体" w:cs="宋体"/>
                <w:color w:val="000000" w:themeColor="text1"/>
                <w:sz w:val="24"/>
                <w:szCs w:val="21"/>
                <w:u w:val="single"/>
                <w:lang w:val="en-US" w:eastAsia="zh-CN"/>
                <w14:textFill>
                  <w14:solidFill>
                    <w14:schemeClr w14:val="tx1"/>
                  </w14:solidFill>
                </w14:textFill>
              </w:rPr>
              <w:t>19.963</w:t>
            </w:r>
            <w:r>
              <w:rPr>
                <w:rFonts w:hint="eastAsia" w:ascii="宋体" w:hAnsi="宋体" w:cs="宋体"/>
                <w:color w:val="000000" w:themeColor="text1"/>
                <w:sz w:val="24"/>
                <w:szCs w:val="21"/>
                <w14:textFill>
                  <w14:solidFill>
                    <w14:schemeClr w14:val="tx1"/>
                  </w14:solidFill>
                </w14:textFill>
              </w:rPr>
              <w:t>秒，</w:t>
            </w:r>
            <w:r>
              <w:rPr>
                <w:rFonts w:hint="eastAsia" w:ascii="宋体" w:hAnsi="宋体" w:cs="宋体"/>
                <w:color w:val="000000" w:themeColor="text1"/>
                <w:sz w:val="24"/>
                <w:szCs w:val="21"/>
                <w:lang w:eastAsia="zh-CN"/>
                <w14:textFill>
                  <w14:solidFill>
                    <w14:schemeClr w14:val="tx1"/>
                  </w14:solidFill>
                </w14:textFill>
              </w:rPr>
              <w:t>北纬</w:t>
            </w:r>
            <w:r>
              <w:rPr>
                <w:rFonts w:hint="eastAsia" w:ascii="宋体" w:hAnsi="宋体" w:cs="宋体"/>
                <w:color w:val="000000" w:themeColor="text1"/>
                <w:sz w:val="24"/>
                <w:szCs w:val="21"/>
                <w:u w:val="single"/>
                <w14:textFill>
                  <w14:solidFill>
                    <w14:schemeClr w14:val="tx1"/>
                  </w14:solidFill>
                </w14:textFill>
              </w:rPr>
              <w:t>3</w:t>
            </w:r>
            <w:r>
              <w:rPr>
                <w:rFonts w:hint="eastAsia" w:ascii="宋体" w:hAnsi="宋体" w:cs="宋体"/>
                <w:color w:val="000000" w:themeColor="text1"/>
                <w:sz w:val="24"/>
                <w:szCs w:val="21"/>
                <w:u w:val="single"/>
                <w:lang w:val="en-US" w:eastAsia="zh-CN"/>
                <w14:textFill>
                  <w14:solidFill>
                    <w14:schemeClr w14:val="tx1"/>
                  </w14:solidFill>
                </w14:textFill>
              </w:rPr>
              <w:t>5</w:t>
            </w:r>
            <w:r>
              <w:rPr>
                <w:rFonts w:hint="eastAsia" w:ascii="宋体" w:hAnsi="宋体" w:cs="宋体"/>
                <w:color w:val="000000" w:themeColor="text1"/>
                <w:sz w:val="24"/>
                <w:szCs w:val="21"/>
                <w14:textFill>
                  <w14:solidFill>
                    <w14:schemeClr w14:val="tx1"/>
                  </w14:solidFill>
                </w14:textFill>
              </w:rPr>
              <w:t>度</w:t>
            </w:r>
            <w:r>
              <w:rPr>
                <w:rFonts w:hint="eastAsia" w:ascii="宋体" w:hAnsi="宋体" w:cs="宋体"/>
                <w:color w:val="000000" w:themeColor="text1"/>
                <w:sz w:val="24"/>
                <w:szCs w:val="21"/>
                <w:lang w:val="en-US" w:eastAsia="zh-CN"/>
                <w14:textFill>
                  <w14:solidFill>
                    <w14:schemeClr w14:val="tx1"/>
                  </w14:solidFill>
                </w14:textFill>
              </w:rPr>
              <w:t>37</w:t>
            </w:r>
            <w:r>
              <w:rPr>
                <w:rFonts w:hint="eastAsia" w:ascii="宋体" w:hAnsi="宋体" w:cs="宋体"/>
                <w:color w:val="000000" w:themeColor="text1"/>
                <w:sz w:val="24"/>
                <w:szCs w:val="21"/>
                <w14:textFill>
                  <w14:solidFill>
                    <w14:schemeClr w14:val="tx1"/>
                  </w14:solidFill>
                </w14:textFill>
              </w:rPr>
              <w:t>分</w:t>
            </w:r>
            <w:r>
              <w:rPr>
                <w:rFonts w:hint="eastAsia" w:ascii="宋体" w:hAnsi="宋体" w:cs="宋体"/>
                <w:color w:val="000000" w:themeColor="text1"/>
                <w:sz w:val="24"/>
                <w:szCs w:val="21"/>
                <w:u w:val="single"/>
                <w:lang w:val="en-US" w:eastAsia="zh-CN"/>
                <w14:textFill>
                  <w14:solidFill>
                    <w14:schemeClr w14:val="tx1"/>
                  </w14:solidFill>
                </w14:textFill>
              </w:rPr>
              <w:t>7.66</w:t>
            </w:r>
            <w:r>
              <w:rPr>
                <w:rFonts w:hint="eastAsia" w:ascii="宋体" w:hAnsi="宋体" w:cs="宋体"/>
                <w:color w:val="000000" w:themeColor="text1"/>
                <w:sz w:val="24"/>
                <w:szCs w:val="21"/>
                <w14:textFill>
                  <w14:solidFill>
                    <w14:schemeClr w14:val="tx1"/>
                  </w14:solidFill>
                </w14:textFill>
              </w:rPr>
              <w:t>秒</w:t>
            </w:r>
            <w:r>
              <w:rPr>
                <w:rFonts w:hint="eastAsia" w:ascii="宋体" w:hAnsi="宋体" w:cs="宋体"/>
                <w:color w:val="000000" w:themeColor="text1"/>
                <w:sz w:val="24"/>
                <w:szCs w:val="21"/>
                <w:lang w:eastAsia="zh-CN"/>
                <w14:textFill>
                  <w14:solidFill>
                    <w14:schemeClr w14:val="tx1"/>
                  </w14:solidFill>
                </w14:textFill>
              </w:rPr>
              <w:t>；</w:t>
            </w:r>
          </w:p>
          <w:p>
            <w:pPr>
              <w:pStyle w:val="10"/>
              <w:rPr>
                <w:rFonts w:hint="eastAsia" w:ascii="宋体" w:hAnsi="宋体" w:cs="宋体"/>
                <w:color w:val="000000" w:themeColor="text1"/>
                <w:sz w:val="24"/>
                <w:szCs w:val="21"/>
                <w:lang w:eastAsia="zh-CN"/>
                <w14:textFill>
                  <w14:solidFill>
                    <w14:schemeClr w14:val="tx1"/>
                  </w14:solidFill>
                </w14:textFill>
              </w:rPr>
            </w:pPr>
            <w:r>
              <w:rPr>
                <w:rFonts w:hint="eastAsia" w:ascii="宋体" w:hAnsi="宋体" w:cs="宋体"/>
                <w:color w:val="000000" w:themeColor="text1"/>
                <w:sz w:val="24"/>
                <w:szCs w:val="21"/>
                <w:lang w:eastAsia="zh-CN"/>
                <w14:textFill>
                  <w14:solidFill>
                    <w14:schemeClr w14:val="tx1"/>
                  </w14:solidFill>
                </w14:textFill>
              </w:rPr>
              <w:t>终点：</w:t>
            </w:r>
            <w:r>
              <w:rPr>
                <w:rFonts w:hint="eastAsia"/>
                <w:color w:val="000000" w:themeColor="text1"/>
                <w:sz w:val="24"/>
                <w:szCs w:val="36"/>
                <w:lang w:eastAsia="zh-CN"/>
                <w14:textFill>
                  <w14:solidFill>
                    <w14:schemeClr w14:val="tx1"/>
                  </w14:solidFill>
                </w14:textFill>
              </w:rPr>
              <w:t>东经</w:t>
            </w:r>
            <w:r>
              <w:rPr>
                <w:rFonts w:hint="eastAsia"/>
                <w:color w:val="000000" w:themeColor="text1"/>
                <w:sz w:val="24"/>
                <w:szCs w:val="36"/>
                <w:u w:val="single"/>
                <w:lang w:eastAsia="zh-CN"/>
                <w14:textFill>
                  <w14:solidFill>
                    <w14:schemeClr w14:val="tx1"/>
                  </w14:solidFill>
                </w14:textFill>
              </w:rPr>
              <w:t>10</w:t>
            </w:r>
            <w:r>
              <w:rPr>
                <w:rFonts w:hint="eastAsia"/>
                <w:color w:val="000000" w:themeColor="text1"/>
                <w:sz w:val="24"/>
                <w:szCs w:val="36"/>
                <w:u w:val="single"/>
                <w:lang w:val="en-US" w:eastAsia="zh-CN"/>
                <w14:textFill>
                  <w14:solidFill>
                    <w14:schemeClr w14:val="tx1"/>
                  </w14:solidFill>
                </w14:textFill>
              </w:rPr>
              <w:t>7</w:t>
            </w:r>
            <w:r>
              <w:rPr>
                <w:rFonts w:hint="eastAsia"/>
                <w:color w:val="000000" w:themeColor="text1"/>
                <w:sz w:val="24"/>
                <w:szCs w:val="36"/>
                <w:lang w:eastAsia="zh-CN"/>
                <w14:textFill>
                  <w14:solidFill>
                    <w14:schemeClr w14:val="tx1"/>
                  </w14:solidFill>
                </w14:textFill>
              </w:rPr>
              <w:t>度</w:t>
            </w:r>
            <w:r>
              <w:rPr>
                <w:rFonts w:hint="eastAsia"/>
                <w:color w:val="000000" w:themeColor="text1"/>
                <w:sz w:val="24"/>
                <w:szCs w:val="36"/>
                <w:u w:val="single"/>
                <w:lang w:val="en-US" w:eastAsia="zh-CN"/>
                <w14:textFill>
                  <w14:solidFill>
                    <w14:schemeClr w14:val="tx1"/>
                  </w14:solidFill>
                </w14:textFill>
              </w:rPr>
              <w:t>5</w:t>
            </w:r>
            <w:r>
              <w:rPr>
                <w:rFonts w:hint="eastAsia"/>
                <w:color w:val="000000" w:themeColor="text1"/>
                <w:sz w:val="24"/>
                <w:szCs w:val="36"/>
                <w:u w:val="single"/>
                <w:lang w:eastAsia="zh-CN"/>
                <w14:textFill>
                  <w14:solidFill>
                    <w14:schemeClr w14:val="tx1"/>
                  </w14:solidFill>
                </w14:textFill>
              </w:rPr>
              <w:t>4</w:t>
            </w:r>
            <w:r>
              <w:rPr>
                <w:rFonts w:hint="eastAsia"/>
                <w:color w:val="000000" w:themeColor="text1"/>
                <w:sz w:val="24"/>
                <w:szCs w:val="36"/>
                <w:lang w:eastAsia="zh-CN"/>
                <w14:textFill>
                  <w14:solidFill>
                    <w14:schemeClr w14:val="tx1"/>
                  </w14:solidFill>
                </w14:textFill>
              </w:rPr>
              <w:t>分</w:t>
            </w:r>
            <w:r>
              <w:rPr>
                <w:rFonts w:hint="eastAsia"/>
                <w:color w:val="000000" w:themeColor="text1"/>
                <w:sz w:val="24"/>
                <w:szCs w:val="36"/>
                <w:u w:val="single"/>
                <w:lang w:val="en-US" w:eastAsia="zh-CN"/>
                <w14:textFill>
                  <w14:solidFill>
                    <w14:schemeClr w14:val="tx1"/>
                  </w14:solidFill>
                </w14:textFill>
              </w:rPr>
              <w:t>59.754</w:t>
            </w:r>
            <w:r>
              <w:rPr>
                <w:rFonts w:hint="eastAsia"/>
                <w:color w:val="000000" w:themeColor="text1"/>
                <w:sz w:val="24"/>
                <w:szCs w:val="36"/>
                <w:lang w:eastAsia="zh-CN"/>
                <w14:textFill>
                  <w14:solidFill>
                    <w14:schemeClr w14:val="tx1"/>
                  </w14:solidFill>
                </w14:textFill>
              </w:rPr>
              <w:t>秒，北纬</w:t>
            </w:r>
            <w:r>
              <w:rPr>
                <w:rFonts w:hint="eastAsia"/>
                <w:color w:val="000000" w:themeColor="text1"/>
                <w:sz w:val="24"/>
                <w:szCs w:val="36"/>
                <w:u w:val="single"/>
                <w:lang w:eastAsia="zh-CN"/>
                <w14:textFill>
                  <w14:solidFill>
                    <w14:schemeClr w14:val="tx1"/>
                  </w14:solidFill>
                </w14:textFill>
              </w:rPr>
              <w:t>35</w:t>
            </w:r>
            <w:r>
              <w:rPr>
                <w:rFonts w:hint="eastAsia"/>
                <w:color w:val="000000" w:themeColor="text1"/>
                <w:sz w:val="24"/>
                <w:szCs w:val="36"/>
                <w:lang w:eastAsia="zh-CN"/>
                <w14:textFill>
                  <w14:solidFill>
                    <w14:schemeClr w14:val="tx1"/>
                  </w14:solidFill>
                </w14:textFill>
              </w:rPr>
              <w:t>度</w:t>
            </w:r>
            <w:r>
              <w:rPr>
                <w:rFonts w:hint="eastAsia"/>
                <w:color w:val="000000" w:themeColor="text1"/>
                <w:sz w:val="24"/>
                <w:szCs w:val="36"/>
                <w:u w:val="single"/>
                <w:lang w:eastAsia="zh-CN"/>
                <w14:textFill>
                  <w14:solidFill>
                    <w14:schemeClr w14:val="tx1"/>
                  </w14:solidFill>
                </w14:textFill>
              </w:rPr>
              <w:t>3</w:t>
            </w:r>
            <w:r>
              <w:rPr>
                <w:rFonts w:hint="eastAsia"/>
                <w:color w:val="000000" w:themeColor="text1"/>
                <w:sz w:val="24"/>
                <w:szCs w:val="36"/>
                <w:u w:val="single"/>
                <w:lang w:val="en-US" w:eastAsia="zh-CN"/>
                <w14:textFill>
                  <w14:solidFill>
                    <w14:schemeClr w14:val="tx1"/>
                  </w14:solidFill>
                </w14:textFill>
              </w:rPr>
              <w:t>0</w:t>
            </w:r>
            <w:r>
              <w:rPr>
                <w:rFonts w:hint="eastAsia"/>
                <w:color w:val="000000" w:themeColor="text1"/>
                <w:sz w:val="24"/>
                <w:szCs w:val="36"/>
                <w:lang w:eastAsia="zh-CN"/>
                <w14:textFill>
                  <w14:solidFill>
                    <w14:schemeClr w14:val="tx1"/>
                  </w14:solidFill>
                </w14:textFill>
              </w:rPr>
              <w:t>分</w:t>
            </w:r>
            <w:r>
              <w:rPr>
                <w:rFonts w:hint="eastAsia"/>
                <w:color w:val="000000" w:themeColor="text1"/>
                <w:sz w:val="24"/>
                <w:szCs w:val="36"/>
                <w:u w:val="single"/>
                <w:lang w:val="en-US" w:eastAsia="zh-CN"/>
                <w14:textFill>
                  <w14:solidFill>
                    <w14:schemeClr w14:val="tx1"/>
                  </w14:solidFill>
                </w14:textFill>
              </w:rPr>
              <w:t>18.160</w:t>
            </w:r>
            <w:r>
              <w:rPr>
                <w:rFonts w:hint="eastAsia"/>
                <w:color w:val="000000" w:themeColor="text1"/>
                <w:sz w:val="24"/>
                <w:szCs w:val="36"/>
                <w:lang w:eastAsia="zh-CN"/>
                <w14:textFill>
                  <w14:solidFill>
                    <w14:schemeClr w14:val="tx1"/>
                  </w14:solidFill>
                </w14:textFill>
              </w:rPr>
              <w:t>秒</w:t>
            </w:r>
            <w:r>
              <w:rPr>
                <w:rFonts w:hint="eastAsia" w:ascii="宋体" w:hAnsi="宋体" w:cs="宋体"/>
                <w:color w:val="000000" w:themeColor="text1"/>
                <w:sz w:val="24"/>
                <w:szCs w:val="21"/>
                <w:lang w:eastAsia="zh-CN"/>
                <w14:textFill>
                  <w14:solidFill>
                    <w14:schemeClr w14:val="tx1"/>
                  </w14:solidFill>
                </w14:textFill>
              </w:rPr>
              <w:t>。</w:t>
            </w:r>
          </w:p>
          <w:p>
            <w:pPr>
              <w:pStyle w:val="10"/>
              <w:jc w:val="center"/>
              <w:rPr>
                <w:rFonts w:hint="eastAsia" w:ascii="宋体" w:hAnsi="宋体" w:cs="宋体"/>
                <w:color w:val="000000" w:themeColor="text1"/>
                <w:sz w:val="24"/>
                <w:szCs w:val="21"/>
                <w:lang w:eastAsia="zh-CN"/>
                <w14:textFill>
                  <w14:solidFill>
                    <w14:schemeClr w14:val="tx1"/>
                  </w14:solidFill>
                </w14:textFill>
              </w:rPr>
            </w:pPr>
            <w:r>
              <w:rPr>
                <w:rFonts w:hint="eastAsia" w:ascii="宋体" w:hAnsi="宋体" w:cs="宋体"/>
                <w:color w:val="000000" w:themeColor="text1"/>
                <w:sz w:val="24"/>
                <w:szCs w:val="21"/>
                <w:lang w:eastAsia="zh-CN"/>
                <w14:textFill>
                  <w14:solidFill>
                    <w14:schemeClr w14:val="tx1"/>
                  </w14:solidFill>
                </w14:textFill>
              </w:rPr>
              <w:t>湘乐川流域</w:t>
            </w:r>
          </w:p>
          <w:p>
            <w:pPr>
              <w:pStyle w:val="10"/>
              <w:rPr>
                <w:rFonts w:hint="eastAsia" w:ascii="宋体" w:hAnsi="宋体" w:cs="宋体"/>
                <w:color w:val="000000" w:themeColor="text1"/>
                <w:sz w:val="24"/>
                <w:szCs w:val="21"/>
                <w:lang w:eastAsia="zh-CN"/>
                <w14:textFill>
                  <w14:solidFill>
                    <w14:schemeClr w14:val="tx1"/>
                  </w14:solidFill>
                </w14:textFill>
              </w:rPr>
            </w:pPr>
            <w:r>
              <w:rPr>
                <w:rFonts w:hint="eastAsia" w:ascii="宋体" w:hAnsi="宋体" w:cs="宋体"/>
                <w:color w:val="000000" w:themeColor="text1"/>
                <w:sz w:val="24"/>
                <w:szCs w:val="21"/>
                <w:lang w:eastAsia="zh-CN"/>
                <w14:textFill>
                  <w14:solidFill>
                    <w14:schemeClr w14:val="tx1"/>
                  </w14:solidFill>
                </w14:textFill>
              </w:rPr>
              <w:t>起点：</w:t>
            </w:r>
            <w:r>
              <w:rPr>
                <w:rFonts w:hint="eastAsia"/>
                <w:color w:val="000000" w:themeColor="text1"/>
                <w:sz w:val="24"/>
                <w:szCs w:val="36"/>
                <w:lang w:eastAsia="zh-CN"/>
                <w14:textFill>
                  <w14:solidFill>
                    <w14:schemeClr w14:val="tx1"/>
                  </w14:solidFill>
                </w14:textFill>
              </w:rPr>
              <w:t>东经</w:t>
            </w:r>
            <w:r>
              <w:rPr>
                <w:rFonts w:hint="eastAsia" w:ascii="宋体" w:hAnsi="宋体" w:cs="宋体"/>
                <w:color w:val="000000" w:themeColor="text1"/>
                <w:sz w:val="24"/>
                <w:szCs w:val="21"/>
                <w:u w:val="single"/>
                <w14:textFill>
                  <w14:solidFill>
                    <w14:schemeClr w14:val="tx1"/>
                  </w14:solidFill>
                </w14:textFill>
              </w:rPr>
              <w:t>10</w:t>
            </w:r>
            <w:r>
              <w:rPr>
                <w:rFonts w:hint="eastAsia" w:ascii="宋体" w:hAnsi="宋体" w:cs="宋体"/>
                <w:color w:val="000000" w:themeColor="text1"/>
                <w:sz w:val="24"/>
                <w:szCs w:val="21"/>
                <w:u w:val="single"/>
                <w:lang w:val="en-US" w:eastAsia="zh-CN"/>
                <w14:textFill>
                  <w14:solidFill>
                    <w14:schemeClr w14:val="tx1"/>
                  </w14:solidFill>
                </w14:textFill>
              </w:rPr>
              <w:t>8</w:t>
            </w:r>
            <w:r>
              <w:rPr>
                <w:rFonts w:hint="eastAsia" w:ascii="宋体" w:hAnsi="宋体" w:cs="宋体"/>
                <w:color w:val="000000" w:themeColor="text1"/>
                <w:sz w:val="24"/>
                <w:szCs w:val="21"/>
                <w14:textFill>
                  <w14:solidFill>
                    <w14:schemeClr w14:val="tx1"/>
                  </w14:solidFill>
                </w14:textFill>
              </w:rPr>
              <w:t>度</w:t>
            </w:r>
            <w:r>
              <w:rPr>
                <w:rFonts w:hint="eastAsia" w:ascii="宋体" w:hAnsi="宋体" w:cs="宋体"/>
                <w:color w:val="000000" w:themeColor="text1"/>
                <w:sz w:val="24"/>
                <w:szCs w:val="21"/>
                <w:u w:val="single"/>
                <w:lang w:val="en-US" w:eastAsia="zh-CN"/>
                <w14:textFill>
                  <w14:solidFill>
                    <w14:schemeClr w14:val="tx1"/>
                  </w14:solidFill>
                </w14:textFill>
              </w:rPr>
              <w:t>05</w:t>
            </w:r>
            <w:r>
              <w:rPr>
                <w:rFonts w:hint="eastAsia" w:ascii="宋体" w:hAnsi="宋体" w:cs="宋体"/>
                <w:color w:val="000000" w:themeColor="text1"/>
                <w:sz w:val="24"/>
                <w:szCs w:val="21"/>
                <w14:textFill>
                  <w14:solidFill>
                    <w14:schemeClr w14:val="tx1"/>
                  </w14:solidFill>
                </w14:textFill>
              </w:rPr>
              <w:t>分</w:t>
            </w:r>
            <w:r>
              <w:rPr>
                <w:rFonts w:hint="eastAsia" w:ascii="宋体" w:hAnsi="宋体" w:cs="宋体"/>
                <w:color w:val="000000" w:themeColor="text1"/>
                <w:sz w:val="24"/>
                <w:szCs w:val="21"/>
                <w:u w:val="single"/>
                <w:lang w:val="en-US" w:eastAsia="zh-CN"/>
                <w14:textFill>
                  <w14:solidFill>
                    <w14:schemeClr w14:val="tx1"/>
                  </w14:solidFill>
                </w14:textFill>
              </w:rPr>
              <w:t>24.494</w:t>
            </w:r>
            <w:r>
              <w:rPr>
                <w:rFonts w:hint="eastAsia" w:ascii="宋体" w:hAnsi="宋体" w:cs="宋体"/>
                <w:color w:val="000000" w:themeColor="text1"/>
                <w:sz w:val="24"/>
                <w:szCs w:val="21"/>
                <w14:textFill>
                  <w14:solidFill>
                    <w14:schemeClr w14:val="tx1"/>
                  </w14:solidFill>
                </w14:textFill>
              </w:rPr>
              <w:t>秒，</w:t>
            </w:r>
            <w:r>
              <w:rPr>
                <w:rFonts w:hint="eastAsia" w:ascii="宋体" w:hAnsi="宋体" w:cs="宋体"/>
                <w:color w:val="000000" w:themeColor="text1"/>
                <w:sz w:val="24"/>
                <w:szCs w:val="21"/>
                <w:lang w:eastAsia="zh-CN"/>
                <w14:textFill>
                  <w14:solidFill>
                    <w14:schemeClr w14:val="tx1"/>
                  </w14:solidFill>
                </w14:textFill>
              </w:rPr>
              <w:t>北纬</w:t>
            </w:r>
            <w:r>
              <w:rPr>
                <w:rFonts w:hint="eastAsia" w:ascii="宋体" w:hAnsi="宋体" w:cs="宋体"/>
                <w:color w:val="000000" w:themeColor="text1"/>
                <w:sz w:val="24"/>
                <w:szCs w:val="21"/>
                <w:u w:val="single"/>
                <w14:textFill>
                  <w14:solidFill>
                    <w14:schemeClr w14:val="tx1"/>
                  </w14:solidFill>
                </w14:textFill>
              </w:rPr>
              <w:t>3</w:t>
            </w:r>
            <w:r>
              <w:rPr>
                <w:rFonts w:hint="eastAsia" w:ascii="宋体" w:hAnsi="宋体" w:cs="宋体"/>
                <w:color w:val="000000" w:themeColor="text1"/>
                <w:sz w:val="24"/>
                <w:szCs w:val="21"/>
                <w:u w:val="single"/>
                <w:lang w:val="en-US" w:eastAsia="zh-CN"/>
                <w14:textFill>
                  <w14:solidFill>
                    <w14:schemeClr w14:val="tx1"/>
                  </w14:solidFill>
                </w14:textFill>
              </w:rPr>
              <w:t>5</w:t>
            </w:r>
            <w:r>
              <w:rPr>
                <w:rFonts w:hint="eastAsia" w:ascii="宋体" w:hAnsi="宋体" w:cs="宋体"/>
                <w:color w:val="000000" w:themeColor="text1"/>
                <w:sz w:val="24"/>
                <w:szCs w:val="21"/>
                <w14:textFill>
                  <w14:solidFill>
                    <w14:schemeClr w14:val="tx1"/>
                  </w14:solidFill>
                </w14:textFill>
              </w:rPr>
              <w:t>度</w:t>
            </w:r>
            <w:r>
              <w:rPr>
                <w:rFonts w:hint="eastAsia" w:ascii="宋体" w:hAnsi="宋体" w:cs="宋体"/>
                <w:color w:val="000000" w:themeColor="text1"/>
                <w:sz w:val="24"/>
                <w:szCs w:val="21"/>
                <w:u w:val="single"/>
                <w:lang w:val="en-US" w:eastAsia="zh-CN"/>
                <w14:textFill>
                  <w14:solidFill>
                    <w14:schemeClr w14:val="tx1"/>
                  </w14:solidFill>
                </w14:textFill>
              </w:rPr>
              <w:t>35</w:t>
            </w:r>
            <w:r>
              <w:rPr>
                <w:rFonts w:hint="eastAsia" w:ascii="宋体" w:hAnsi="宋体" w:cs="宋体"/>
                <w:color w:val="000000" w:themeColor="text1"/>
                <w:sz w:val="24"/>
                <w:szCs w:val="21"/>
                <w14:textFill>
                  <w14:solidFill>
                    <w14:schemeClr w14:val="tx1"/>
                  </w14:solidFill>
                </w14:textFill>
              </w:rPr>
              <w:t>分</w:t>
            </w:r>
            <w:r>
              <w:rPr>
                <w:rFonts w:hint="eastAsia" w:ascii="宋体" w:hAnsi="宋体" w:cs="宋体"/>
                <w:color w:val="000000" w:themeColor="text1"/>
                <w:sz w:val="24"/>
                <w:szCs w:val="21"/>
                <w:u w:val="single"/>
                <w:lang w:val="en-US" w:eastAsia="zh-CN"/>
                <w14:textFill>
                  <w14:solidFill>
                    <w14:schemeClr w14:val="tx1"/>
                  </w14:solidFill>
                </w14:textFill>
              </w:rPr>
              <w:t>15.602</w:t>
            </w:r>
            <w:r>
              <w:rPr>
                <w:rFonts w:hint="eastAsia" w:ascii="宋体" w:hAnsi="宋体" w:cs="宋体"/>
                <w:color w:val="000000" w:themeColor="text1"/>
                <w:sz w:val="24"/>
                <w:szCs w:val="21"/>
                <w14:textFill>
                  <w14:solidFill>
                    <w14:schemeClr w14:val="tx1"/>
                  </w14:solidFill>
                </w14:textFill>
              </w:rPr>
              <w:t>秒</w:t>
            </w:r>
            <w:r>
              <w:rPr>
                <w:rFonts w:hint="eastAsia" w:ascii="宋体" w:hAnsi="宋体" w:cs="宋体"/>
                <w:color w:val="000000" w:themeColor="text1"/>
                <w:sz w:val="24"/>
                <w:szCs w:val="21"/>
                <w:lang w:eastAsia="zh-CN"/>
                <w14:textFill>
                  <w14:solidFill>
                    <w14:schemeClr w14:val="tx1"/>
                  </w14:solidFill>
                </w14:textFill>
              </w:rPr>
              <w:t>；</w:t>
            </w:r>
          </w:p>
          <w:p>
            <w:pPr>
              <w:pStyle w:val="10"/>
              <w:rPr>
                <w:rFonts w:hint="eastAsia" w:ascii="宋体" w:hAnsi="宋体" w:cs="宋体"/>
                <w:color w:val="000000" w:themeColor="text1"/>
                <w:sz w:val="24"/>
                <w:szCs w:val="21"/>
                <w:lang w:eastAsia="zh-CN"/>
                <w14:textFill>
                  <w14:solidFill>
                    <w14:schemeClr w14:val="tx1"/>
                  </w14:solidFill>
                </w14:textFill>
              </w:rPr>
            </w:pPr>
            <w:r>
              <w:rPr>
                <w:rFonts w:hint="eastAsia" w:ascii="宋体" w:hAnsi="宋体" w:cs="宋体"/>
                <w:color w:val="000000" w:themeColor="text1"/>
                <w:sz w:val="24"/>
                <w:szCs w:val="21"/>
                <w:lang w:eastAsia="zh-CN"/>
                <w14:textFill>
                  <w14:solidFill>
                    <w14:schemeClr w14:val="tx1"/>
                  </w14:solidFill>
                </w14:textFill>
              </w:rPr>
              <w:t>终点：</w:t>
            </w:r>
            <w:r>
              <w:rPr>
                <w:rFonts w:hint="eastAsia"/>
                <w:color w:val="000000" w:themeColor="text1"/>
                <w:sz w:val="24"/>
                <w:szCs w:val="36"/>
                <w:lang w:eastAsia="zh-CN"/>
                <w14:textFill>
                  <w14:solidFill>
                    <w14:schemeClr w14:val="tx1"/>
                  </w14:solidFill>
                </w14:textFill>
              </w:rPr>
              <w:t>东经</w:t>
            </w:r>
            <w:r>
              <w:rPr>
                <w:rFonts w:hint="eastAsia"/>
                <w:color w:val="000000" w:themeColor="text1"/>
                <w:sz w:val="24"/>
                <w:szCs w:val="36"/>
                <w:u w:val="single"/>
                <w:lang w:eastAsia="zh-CN"/>
                <w14:textFill>
                  <w14:solidFill>
                    <w14:schemeClr w14:val="tx1"/>
                  </w14:solidFill>
                </w14:textFill>
              </w:rPr>
              <w:t>10</w:t>
            </w:r>
            <w:r>
              <w:rPr>
                <w:rFonts w:hint="eastAsia"/>
                <w:color w:val="000000" w:themeColor="text1"/>
                <w:sz w:val="24"/>
                <w:szCs w:val="36"/>
                <w:u w:val="single"/>
                <w:lang w:val="en-US" w:eastAsia="zh-CN"/>
                <w14:textFill>
                  <w14:solidFill>
                    <w14:schemeClr w14:val="tx1"/>
                  </w14:solidFill>
                </w14:textFill>
              </w:rPr>
              <w:t>7</w:t>
            </w:r>
            <w:r>
              <w:rPr>
                <w:rFonts w:hint="eastAsia"/>
                <w:color w:val="000000" w:themeColor="text1"/>
                <w:sz w:val="24"/>
                <w:szCs w:val="36"/>
                <w:lang w:eastAsia="zh-CN"/>
                <w14:textFill>
                  <w14:solidFill>
                    <w14:schemeClr w14:val="tx1"/>
                  </w14:solidFill>
                </w14:textFill>
              </w:rPr>
              <w:t>度</w:t>
            </w:r>
            <w:r>
              <w:rPr>
                <w:rFonts w:hint="eastAsia"/>
                <w:color w:val="000000" w:themeColor="text1"/>
                <w:sz w:val="24"/>
                <w:szCs w:val="36"/>
                <w:u w:val="single"/>
                <w:lang w:val="en-US" w:eastAsia="zh-CN"/>
                <w14:textFill>
                  <w14:solidFill>
                    <w14:schemeClr w14:val="tx1"/>
                  </w14:solidFill>
                </w14:textFill>
              </w:rPr>
              <w:t>58</w:t>
            </w:r>
            <w:r>
              <w:rPr>
                <w:rFonts w:hint="eastAsia"/>
                <w:color w:val="000000" w:themeColor="text1"/>
                <w:sz w:val="24"/>
                <w:szCs w:val="36"/>
                <w:lang w:eastAsia="zh-CN"/>
                <w14:textFill>
                  <w14:solidFill>
                    <w14:schemeClr w14:val="tx1"/>
                  </w14:solidFill>
                </w14:textFill>
              </w:rPr>
              <w:t>分</w:t>
            </w:r>
            <w:r>
              <w:rPr>
                <w:rFonts w:hint="eastAsia"/>
                <w:color w:val="000000" w:themeColor="text1"/>
                <w:sz w:val="24"/>
                <w:szCs w:val="36"/>
                <w:u w:val="single"/>
                <w:lang w:val="en-US" w:eastAsia="zh-CN"/>
                <w14:textFill>
                  <w14:solidFill>
                    <w14:schemeClr w14:val="tx1"/>
                  </w14:solidFill>
                </w14:textFill>
              </w:rPr>
              <w:t>57.213</w:t>
            </w:r>
            <w:r>
              <w:rPr>
                <w:rFonts w:hint="eastAsia"/>
                <w:color w:val="000000" w:themeColor="text1"/>
                <w:sz w:val="24"/>
                <w:szCs w:val="36"/>
                <w:lang w:eastAsia="zh-CN"/>
                <w14:textFill>
                  <w14:solidFill>
                    <w14:schemeClr w14:val="tx1"/>
                  </w14:solidFill>
                </w14:textFill>
              </w:rPr>
              <w:t>秒，北纬</w:t>
            </w:r>
            <w:r>
              <w:rPr>
                <w:rFonts w:hint="eastAsia"/>
                <w:color w:val="000000" w:themeColor="text1"/>
                <w:sz w:val="24"/>
                <w:szCs w:val="36"/>
                <w:u w:val="single"/>
                <w:lang w:eastAsia="zh-CN"/>
                <w14:textFill>
                  <w14:solidFill>
                    <w14:schemeClr w14:val="tx1"/>
                  </w14:solidFill>
                </w14:textFill>
              </w:rPr>
              <w:t>35</w:t>
            </w:r>
            <w:r>
              <w:rPr>
                <w:rFonts w:hint="eastAsia"/>
                <w:color w:val="000000" w:themeColor="text1"/>
                <w:sz w:val="24"/>
                <w:szCs w:val="36"/>
                <w:lang w:eastAsia="zh-CN"/>
                <w14:textFill>
                  <w14:solidFill>
                    <w14:schemeClr w14:val="tx1"/>
                  </w14:solidFill>
                </w14:textFill>
              </w:rPr>
              <w:t>度</w:t>
            </w:r>
            <w:r>
              <w:rPr>
                <w:rFonts w:hint="eastAsia"/>
                <w:color w:val="000000" w:themeColor="text1"/>
                <w:sz w:val="24"/>
                <w:szCs w:val="36"/>
                <w:u w:val="single"/>
                <w:lang w:eastAsia="zh-CN"/>
                <w14:textFill>
                  <w14:solidFill>
                    <w14:schemeClr w14:val="tx1"/>
                  </w14:solidFill>
                </w14:textFill>
              </w:rPr>
              <w:t>3</w:t>
            </w:r>
            <w:r>
              <w:rPr>
                <w:rFonts w:hint="eastAsia"/>
                <w:color w:val="000000" w:themeColor="text1"/>
                <w:sz w:val="24"/>
                <w:szCs w:val="36"/>
                <w:u w:val="single"/>
                <w:lang w:val="en-US" w:eastAsia="zh-CN"/>
                <w14:textFill>
                  <w14:solidFill>
                    <w14:schemeClr w14:val="tx1"/>
                  </w14:solidFill>
                </w14:textFill>
              </w:rPr>
              <w:t>4</w:t>
            </w:r>
            <w:r>
              <w:rPr>
                <w:rFonts w:hint="eastAsia"/>
                <w:color w:val="000000" w:themeColor="text1"/>
                <w:sz w:val="24"/>
                <w:szCs w:val="36"/>
                <w:lang w:eastAsia="zh-CN"/>
                <w14:textFill>
                  <w14:solidFill>
                    <w14:schemeClr w14:val="tx1"/>
                  </w14:solidFill>
                </w14:textFill>
              </w:rPr>
              <w:t>分</w:t>
            </w:r>
            <w:r>
              <w:rPr>
                <w:rFonts w:hint="eastAsia"/>
                <w:color w:val="000000" w:themeColor="text1"/>
                <w:sz w:val="24"/>
                <w:szCs w:val="36"/>
                <w:u w:val="single"/>
                <w:lang w:val="en-US" w:eastAsia="zh-CN"/>
                <w14:textFill>
                  <w14:solidFill>
                    <w14:schemeClr w14:val="tx1"/>
                  </w14:solidFill>
                </w14:textFill>
              </w:rPr>
              <w:t>58.183</w:t>
            </w:r>
            <w:r>
              <w:rPr>
                <w:rFonts w:hint="eastAsia"/>
                <w:color w:val="000000" w:themeColor="text1"/>
                <w:sz w:val="24"/>
                <w:szCs w:val="36"/>
                <w:lang w:eastAsia="zh-CN"/>
                <w14:textFill>
                  <w14:solidFill>
                    <w14:schemeClr w14:val="tx1"/>
                  </w14:solidFill>
                </w14:textFill>
              </w:rPr>
              <w:t>秒</w:t>
            </w:r>
            <w:r>
              <w:rPr>
                <w:rFonts w:hint="eastAsia" w:ascii="宋体" w:hAnsi="宋体" w:cs="宋体"/>
                <w:color w:val="000000" w:themeColor="text1"/>
                <w:sz w:val="24"/>
                <w:szCs w:val="2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973"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建设项目</w:t>
            </w:r>
          </w:p>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行业类别</w:t>
            </w:r>
          </w:p>
        </w:tc>
        <w:tc>
          <w:tcPr>
            <w:tcW w:w="2210" w:type="dxa"/>
            <w:noWrap w:val="0"/>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ascii="宋体" w:hAnsi="宋体" w:eastAsia="宋体" w:cs="宋体"/>
                <w:color w:val="000000" w:themeColor="text1"/>
                <w:sz w:val="24"/>
                <w:szCs w:val="21"/>
                <w14:textFill>
                  <w14:solidFill>
                    <w14:schemeClr w14:val="tx1"/>
                  </w14:solidFill>
                </w14:textFill>
              </w:rPr>
              <w:t>127.防洪除涝工程</w:t>
            </w:r>
          </w:p>
        </w:tc>
        <w:tc>
          <w:tcPr>
            <w:tcW w:w="2174" w:type="dxa"/>
            <w:noWrap w:val="0"/>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用地（用海）面积（</w:t>
            </w:r>
            <w:r>
              <w:rPr>
                <w:rFonts w:ascii="宋体" w:hAnsi="宋体" w:cs="宋体"/>
                <w:color w:val="000000" w:themeColor="text1"/>
                <w:sz w:val="24"/>
                <w:szCs w:val="21"/>
                <w14:textFill>
                  <w14:solidFill>
                    <w14:schemeClr w14:val="tx1"/>
                  </w14:solidFill>
                </w14:textFill>
              </w:rPr>
              <w:t>m</w:t>
            </w:r>
            <w:r>
              <w:rPr>
                <w:rFonts w:ascii="宋体" w:hAnsi="宋体" w:cs="宋体"/>
                <w:color w:val="000000" w:themeColor="text1"/>
                <w:sz w:val="24"/>
                <w:szCs w:val="21"/>
                <w:vertAlign w:val="superscript"/>
                <w14:textFill>
                  <w14:solidFill>
                    <w14:schemeClr w14:val="tx1"/>
                  </w14:solidFill>
                </w14:textFill>
              </w:rPr>
              <w:t>2</w:t>
            </w:r>
            <w:r>
              <w:rPr>
                <w:rFonts w:hint="eastAsia" w:ascii="宋体" w:hAnsi="宋体" w:cs="宋体"/>
                <w:color w:val="000000" w:themeColor="text1"/>
                <w:sz w:val="24"/>
                <w:szCs w:val="21"/>
                <w14:textFill>
                  <w14:solidFill>
                    <w14:schemeClr w14:val="tx1"/>
                  </w14:solidFill>
                </w14:textFill>
              </w:rPr>
              <w:t>）</w:t>
            </w:r>
            <w:r>
              <w:rPr>
                <w:rFonts w:ascii="宋体" w:hAnsi="宋体" w:cs="宋体"/>
                <w:color w:val="000000" w:themeColor="text1"/>
                <w:sz w:val="24"/>
                <w:szCs w:val="21"/>
                <w14:textFill>
                  <w14:solidFill>
                    <w14:schemeClr w14:val="tx1"/>
                  </w14:solidFill>
                </w14:textFill>
              </w:rPr>
              <w:t>/</w:t>
            </w:r>
            <w:r>
              <w:rPr>
                <w:rFonts w:hint="eastAsia" w:ascii="宋体" w:hAnsi="宋体" w:cs="宋体"/>
                <w:color w:val="000000" w:themeColor="text1"/>
                <w:sz w:val="24"/>
                <w:szCs w:val="21"/>
                <w14:textFill>
                  <w14:solidFill>
                    <w14:schemeClr w14:val="tx1"/>
                  </w14:solidFill>
                </w14:textFill>
              </w:rPr>
              <w:t>长度（</w:t>
            </w:r>
            <w:r>
              <w:rPr>
                <w:rFonts w:ascii="宋体" w:hAnsi="宋体" w:cs="宋体"/>
                <w:color w:val="000000" w:themeColor="text1"/>
                <w:sz w:val="24"/>
                <w:szCs w:val="21"/>
                <w14:textFill>
                  <w14:solidFill>
                    <w14:schemeClr w14:val="tx1"/>
                  </w14:solidFill>
                </w14:textFill>
              </w:rPr>
              <w:t>km</w:t>
            </w:r>
            <w:r>
              <w:rPr>
                <w:rFonts w:hint="eastAsia" w:ascii="宋体" w:hAnsi="宋体" w:cs="宋体"/>
                <w:color w:val="000000" w:themeColor="text1"/>
                <w:sz w:val="24"/>
                <w:szCs w:val="21"/>
                <w14:textFill>
                  <w14:solidFill>
                    <w14:schemeClr w14:val="tx1"/>
                  </w14:solidFill>
                </w14:textFill>
              </w:rPr>
              <w:t>）</w:t>
            </w:r>
          </w:p>
        </w:tc>
        <w:tc>
          <w:tcPr>
            <w:tcW w:w="2500" w:type="dxa"/>
            <w:gridSpan w:val="2"/>
            <w:noWrap w:val="0"/>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Times New Roman" w:hAnsi="Times New Roman" w:eastAsia="宋体"/>
                <w:color w:val="000000" w:themeColor="text1"/>
                <w:spacing w:val="10"/>
                <w:sz w:val="24"/>
                <w:szCs w:val="21"/>
                <w:lang w:eastAsia="zh-CN"/>
                <w14:textFill>
                  <w14:solidFill>
                    <w14:schemeClr w14:val="tx1"/>
                  </w14:solidFill>
                </w14:textFill>
              </w:rPr>
              <w:t>河道治理长度</w:t>
            </w:r>
            <w:r>
              <w:rPr>
                <w:rFonts w:hint="eastAsia"/>
                <w:color w:val="000000" w:themeColor="text1"/>
                <w:spacing w:val="10"/>
                <w:sz w:val="24"/>
                <w:szCs w:val="21"/>
                <w:lang w:val="en-US" w:eastAsia="zh-CN"/>
                <w14:textFill>
                  <w14:solidFill>
                    <w14:schemeClr w14:val="tx1"/>
                  </w14:solidFill>
                </w14:textFill>
              </w:rPr>
              <w:t>34.36</w:t>
            </w:r>
            <w:r>
              <w:rPr>
                <w:rFonts w:hint="eastAsia" w:ascii="Times New Roman" w:hAnsi="Times New Roman" w:eastAsia="宋体"/>
                <w:color w:val="000000" w:themeColor="text1"/>
                <w:spacing w:val="10"/>
                <w:sz w:val="24"/>
                <w:szCs w:val="21"/>
                <w:lang w:val="en-US" w:eastAsia="zh-CN"/>
                <w14:textFill>
                  <w14:solidFill>
                    <w14:schemeClr w14:val="tx1"/>
                  </w14:solidFill>
                </w14:textFill>
              </w:rPr>
              <w:t>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973"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建设性质</w:t>
            </w:r>
          </w:p>
        </w:tc>
        <w:tc>
          <w:tcPr>
            <w:tcW w:w="2210" w:type="dxa"/>
            <w:noWrap w:val="0"/>
            <w:vAlign w:val="center"/>
          </w:tcPr>
          <w:p>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sym w:font="Wingdings 2" w:char="0052"/>
            </w:r>
            <w:r>
              <w:rPr>
                <w:rFonts w:hint="eastAsia" w:ascii="宋体" w:hAnsi="宋体" w:cs="宋体"/>
                <w:color w:val="000000" w:themeColor="text1"/>
                <w:sz w:val="24"/>
                <w:szCs w:val="21"/>
                <w14:textFill>
                  <w14:solidFill>
                    <w14:schemeClr w14:val="tx1"/>
                  </w14:solidFill>
                </w14:textFill>
              </w:rPr>
              <w:t>新建（迁建）</w:t>
            </w:r>
          </w:p>
          <w:p>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□改建</w:t>
            </w:r>
          </w:p>
          <w:p>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□扩建</w:t>
            </w:r>
          </w:p>
          <w:p>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□技术改造</w:t>
            </w:r>
          </w:p>
        </w:tc>
        <w:tc>
          <w:tcPr>
            <w:tcW w:w="2174" w:type="dxa"/>
            <w:noWrap w:val="0"/>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建设项目</w:t>
            </w:r>
          </w:p>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申报情形</w:t>
            </w:r>
          </w:p>
        </w:tc>
        <w:tc>
          <w:tcPr>
            <w:tcW w:w="2500" w:type="dxa"/>
            <w:gridSpan w:val="2"/>
            <w:noWrap w:val="0"/>
            <w:vAlign w:val="center"/>
          </w:tcPr>
          <w:p>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sym w:font="Wingdings 2" w:char="0052"/>
            </w:r>
            <w:r>
              <w:rPr>
                <w:rFonts w:hint="eastAsia" w:ascii="宋体" w:hAnsi="宋体" w:cs="宋体"/>
                <w:color w:val="000000" w:themeColor="text1"/>
                <w:sz w:val="24"/>
                <w:szCs w:val="21"/>
                <w14:textFill>
                  <w14:solidFill>
                    <w14:schemeClr w14:val="tx1"/>
                  </w14:solidFill>
                </w14:textFill>
              </w:rPr>
              <w:t>首次申报项目</w:t>
            </w:r>
          </w:p>
          <w:p>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□不予批准后再次申报项目</w:t>
            </w:r>
          </w:p>
          <w:p>
            <w:pPr>
              <w:adjustRightInd w:val="0"/>
              <w:snapToGrid w:val="0"/>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□超五年重新审核项目</w:t>
            </w:r>
          </w:p>
          <w:p>
            <w:pPr>
              <w:adjustRightInd w:val="0"/>
              <w:snapToGrid w:val="0"/>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973"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项目审批（核准</w:t>
            </w:r>
            <w:r>
              <w:rPr>
                <w:rFonts w:ascii="宋体" w:hAnsi="宋体" w:cs="宋体"/>
                <w:color w:val="000000" w:themeColor="text1"/>
                <w:sz w:val="24"/>
                <w:szCs w:val="21"/>
                <w14:textFill>
                  <w14:solidFill>
                    <w14:schemeClr w14:val="tx1"/>
                  </w14:solidFill>
                </w14:textFill>
              </w:rPr>
              <w:t>/</w:t>
            </w:r>
          </w:p>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备案）部门（选填）</w:t>
            </w:r>
          </w:p>
        </w:tc>
        <w:tc>
          <w:tcPr>
            <w:tcW w:w="2210" w:type="dxa"/>
            <w:noWrap w:val="0"/>
            <w:vAlign w:val="center"/>
          </w:tcPr>
          <w:p>
            <w:pPr>
              <w:adjustRightInd w:val="0"/>
              <w:snapToGrid w:val="0"/>
              <w:jc w:val="center"/>
              <w:rPr>
                <w:rFonts w:hint="eastAsia" w:ascii="宋体" w:hAnsi="宋体" w:eastAsia="宋体" w:cs="宋体"/>
                <w:color w:val="000000" w:themeColor="text1"/>
                <w:sz w:val="24"/>
                <w:szCs w:val="21"/>
                <w:lang w:eastAsia="zh-CN"/>
                <w14:textFill>
                  <w14:solidFill>
                    <w14:schemeClr w14:val="tx1"/>
                  </w14:solidFill>
                </w14:textFill>
              </w:rPr>
            </w:pPr>
          </w:p>
        </w:tc>
        <w:tc>
          <w:tcPr>
            <w:tcW w:w="2174" w:type="dxa"/>
            <w:noWrap w:val="0"/>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项目审批（核准</w:t>
            </w:r>
            <w:r>
              <w:rPr>
                <w:rFonts w:ascii="宋体" w:hAnsi="宋体" w:cs="宋体"/>
                <w:color w:val="000000" w:themeColor="text1"/>
                <w:sz w:val="24"/>
                <w:szCs w:val="21"/>
                <w14:textFill>
                  <w14:solidFill>
                    <w14:schemeClr w14:val="tx1"/>
                  </w14:solidFill>
                </w14:textFill>
              </w:rPr>
              <w:t>/</w:t>
            </w:r>
          </w:p>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备案）文号（选填）</w:t>
            </w:r>
          </w:p>
        </w:tc>
        <w:tc>
          <w:tcPr>
            <w:tcW w:w="2500" w:type="dxa"/>
            <w:gridSpan w:val="2"/>
            <w:noWrap w:val="0"/>
            <w:vAlign w:val="center"/>
          </w:tcPr>
          <w:p>
            <w:pPr>
              <w:adjustRightInd w:val="0"/>
              <w:snapToGrid w:val="0"/>
              <w:jc w:val="center"/>
              <w:rPr>
                <w:rFonts w:hint="default" w:ascii="宋体" w:hAnsi="宋体" w:eastAsia="宋体" w:cs="宋体"/>
                <w:color w:val="000000" w:themeColor="text1"/>
                <w:sz w:val="24"/>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973"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总投资（万元）</w:t>
            </w:r>
          </w:p>
        </w:tc>
        <w:tc>
          <w:tcPr>
            <w:tcW w:w="2210" w:type="dxa"/>
            <w:noWrap w:val="0"/>
            <w:vAlign w:val="center"/>
          </w:tcPr>
          <w:p>
            <w:pPr>
              <w:adjustRightInd w:val="0"/>
              <w:snapToGrid w:val="0"/>
              <w:jc w:val="center"/>
              <w:rPr>
                <w:rFonts w:hint="default" w:ascii="宋体" w:hAnsi="宋体" w:cs="宋体"/>
                <w:color w:val="000000" w:themeColor="text1"/>
                <w:sz w:val="24"/>
                <w:szCs w:val="21"/>
                <w:lang w:val="en-US"/>
                <w14:textFill>
                  <w14:solidFill>
                    <w14:schemeClr w14:val="tx1"/>
                  </w14:solidFill>
                </w14:textFill>
              </w:rPr>
            </w:pPr>
            <w:r>
              <w:rPr>
                <w:rFonts w:hint="eastAsia"/>
                <w:color w:val="000000" w:themeColor="text1"/>
                <w:spacing w:val="10"/>
                <w:sz w:val="24"/>
                <w:szCs w:val="21"/>
                <w:lang w:val="en-US" w:eastAsia="zh-CN"/>
                <w14:textFill>
                  <w14:solidFill>
                    <w14:schemeClr w14:val="tx1"/>
                  </w14:solidFill>
                </w14:textFill>
              </w:rPr>
              <w:t>9932.32</w:t>
            </w:r>
          </w:p>
        </w:tc>
        <w:tc>
          <w:tcPr>
            <w:tcW w:w="2174"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环保投资（万元）</w:t>
            </w:r>
          </w:p>
        </w:tc>
        <w:tc>
          <w:tcPr>
            <w:tcW w:w="2500" w:type="dxa"/>
            <w:gridSpan w:val="2"/>
            <w:noWrap w:val="0"/>
            <w:vAlign w:val="center"/>
          </w:tcPr>
          <w:p>
            <w:pPr>
              <w:adjustRightInd w:val="0"/>
              <w:snapToGrid w:val="0"/>
              <w:jc w:val="center"/>
              <w:rPr>
                <w:rFonts w:hint="default" w:ascii="宋体" w:hAnsi="宋体" w:cs="宋体"/>
                <w:color w:val="000000" w:themeColor="text1"/>
                <w:sz w:val="24"/>
                <w:szCs w:val="21"/>
                <w:lang w:val="en-US"/>
                <w14:textFill>
                  <w14:solidFill>
                    <w14:schemeClr w14:val="tx1"/>
                  </w14:solidFill>
                </w14:textFill>
              </w:rPr>
            </w:pPr>
            <w:r>
              <w:rPr>
                <w:rFonts w:hint="eastAsia"/>
                <w:color w:val="000000" w:themeColor="text1"/>
                <w:spacing w:val="10"/>
                <w:sz w:val="24"/>
                <w:szCs w:val="21"/>
                <w:highlight w:val="none"/>
                <w:lang w:val="en-US" w:eastAsia="zh-CN"/>
                <w14:textFill>
                  <w14:solidFill>
                    <w14:schemeClr w14:val="tx1"/>
                  </w14:solidFill>
                </w14:textFill>
              </w:rPr>
              <w:t>53.6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973"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环保投资占比（</w:t>
            </w:r>
            <w:r>
              <w:rPr>
                <w:rFonts w:ascii="宋体" w:hAnsi="宋体" w:cs="宋体"/>
                <w:color w:val="000000" w:themeColor="text1"/>
                <w:sz w:val="24"/>
                <w:szCs w:val="21"/>
                <w14:textFill>
                  <w14:solidFill>
                    <w14:schemeClr w14:val="tx1"/>
                  </w14:solidFill>
                </w14:textFill>
              </w:rPr>
              <w:t>%</w:t>
            </w:r>
            <w:r>
              <w:rPr>
                <w:rFonts w:hint="eastAsia" w:ascii="宋体" w:hAnsi="宋体" w:cs="宋体"/>
                <w:color w:val="000000" w:themeColor="text1"/>
                <w:sz w:val="24"/>
                <w:szCs w:val="21"/>
                <w14:textFill>
                  <w14:solidFill>
                    <w14:schemeClr w14:val="tx1"/>
                  </w14:solidFill>
                </w14:textFill>
              </w:rPr>
              <w:t>）</w:t>
            </w:r>
          </w:p>
        </w:tc>
        <w:tc>
          <w:tcPr>
            <w:tcW w:w="2210" w:type="dxa"/>
            <w:noWrap w:val="0"/>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color w:val="000000" w:themeColor="text1"/>
                <w:spacing w:val="10"/>
                <w:sz w:val="24"/>
                <w:szCs w:val="21"/>
                <w:highlight w:val="none"/>
                <w:lang w:val="en-US" w:eastAsia="zh-CN"/>
                <w14:textFill>
                  <w14:solidFill>
                    <w14:schemeClr w14:val="tx1"/>
                  </w14:solidFill>
                </w14:textFill>
              </w:rPr>
              <w:t>0.54</w:t>
            </w:r>
            <w:r>
              <w:rPr>
                <w:rFonts w:hint="eastAsia"/>
                <w:color w:val="000000" w:themeColor="text1"/>
                <w:spacing w:val="10"/>
                <w:sz w:val="24"/>
                <w:szCs w:val="21"/>
                <w:highlight w:val="none"/>
                <w:lang w:eastAsia="zh-CN"/>
                <w14:textFill>
                  <w14:solidFill>
                    <w14:schemeClr w14:val="tx1"/>
                  </w14:solidFill>
                </w14:textFill>
              </w:rPr>
              <w:t>%</w:t>
            </w:r>
          </w:p>
        </w:tc>
        <w:tc>
          <w:tcPr>
            <w:tcW w:w="2174"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施工工期</w:t>
            </w:r>
          </w:p>
        </w:tc>
        <w:tc>
          <w:tcPr>
            <w:tcW w:w="2500" w:type="dxa"/>
            <w:gridSpan w:val="2"/>
            <w:noWrap w:val="0"/>
            <w:vAlign w:val="center"/>
          </w:tcPr>
          <w:p>
            <w:pPr>
              <w:adjustRightInd w:val="0"/>
              <w:snapToGrid w:val="0"/>
              <w:jc w:val="center"/>
              <w:rPr>
                <w:rFonts w:hint="default" w:ascii="宋体" w:hAnsi="宋体" w:eastAsia="宋体" w:cs="宋体"/>
                <w:color w:val="000000" w:themeColor="text1"/>
                <w:sz w:val="24"/>
                <w:szCs w:val="21"/>
                <w:lang w:val="en-US" w:eastAsia="zh-CN"/>
                <w14:textFill>
                  <w14:solidFill>
                    <w14:schemeClr w14:val="tx1"/>
                  </w14:solidFill>
                </w14:textFill>
              </w:rPr>
            </w:pPr>
            <w:r>
              <w:rPr>
                <w:rFonts w:hint="default" w:ascii="宋体" w:hAnsi="宋体" w:eastAsia="宋体" w:cs="宋体"/>
                <w:color w:val="000000" w:themeColor="text1"/>
                <w:sz w:val="24"/>
                <w:szCs w:val="21"/>
                <w:lang w:val="en-US" w:eastAsia="zh-CN"/>
                <w14:textFill>
                  <w14:solidFill>
                    <w14:schemeClr w14:val="tx1"/>
                  </w14:solidFill>
                </w14:textFill>
              </w:rPr>
              <w:t>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8" w:hRule="atLeast"/>
        </w:trPr>
        <w:tc>
          <w:tcPr>
            <w:tcW w:w="1973" w:type="dxa"/>
            <w:noWrap w:val="0"/>
            <w:tcMar>
              <w:top w:w="16" w:type="dxa"/>
              <w:left w:w="16" w:type="dxa"/>
              <w:right w:w="16" w:type="dxa"/>
            </w:tcMar>
            <w:vAlign w:val="center"/>
          </w:tcPr>
          <w:p>
            <w:pPr>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是否开工建设</w:t>
            </w:r>
          </w:p>
        </w:tc>
        <w:tc>
          <w:tcPr>
            <w:tcW w:w="6884" w:type="dxa"/>
            <w:gridSpan w:val="4"/>
            <w:noWrap w:val="0"/>
            <w:vAlign w:val="center"/>
          </w:tcPr>
          <w:p>
            <w:pPr>
              <w:adjustRightInd w:val="0"/>
              <w:snapToGrid w:val="0"/>
              <w:ind w:firstLine="105"/>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sym w:font="Wingdings 2" w:char="0052"/>
            </w:r>
            <w:r>
              <w:rPr>
                <w:rFonts w:hint="eastAsia" w:ascii="宋体" w:hAnsi="宋体" w:cs="宋体"/>
                <w:color w:val="000000" w:themeColor="text1"/>
                <w:sz w:val="24"/>
                <w:szCs w:val="21"/>
                <w14:textFill>
                  <w14:solidFill>
                    <w14:schemeClr w14:val="tx1"/>
                  </w14:solidFill>
                </w14:textFill>
              </w:rPr>
              <w:t>否</w:t>
            </w:r>
          </w:p>
          <w:p>
            <w:pPr>
              <w:adjustRightInd w:val="0"/>
              <w:snapToGrid w:val="0"/>
              <w:ind w:firstLine="92"/>
              <w:jc w:val="left"/>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□是：</w:t>
            </w:r>
            <w:r>
              <w:rPr>
                <w:rFonts w:ascii="宋体" w:hAnsi="宋体" w:cs="宋体"/>
                <w:color w:val="000000" w:themeColor="text1"/>
                <w:sz w:val="24"/>
                <w:szCs w:val="21"/>
                <w:u w:val="single"/>
                <w14:textFill>
                  <w14:solidFill>
                    <w14:schemeClr w14:val="tx1"/>
                  </w14:solidFill>
                </w14:textFill>
              </w:rPr>
              <w:t xml:space="preserve"> </w:t>
            </w:r>
            <w:r>
              <w:rPr>
                <w:rFonts w:hint="eastAsia" w:ascii="宋体" w:hAnsi="宋体" w:cs="宋体"/>
                <w:color w:val="000000" w:themeColor="text1"/>
                <w:sz w:val="24"/>
                <w:szCs w:val="21"/>
                <w:u w:val="single"/>
                <w14:textFill>
                  <w14:solidFill>
                    <w14:schemeClr w14:val="tx1"/>
                  </w14:solidFill>
                </w14:textFill>
              </w:rPr>
              <w:t xml:space="preserve">                     </w:t>
            </w:r>
            <w:r>
              <w:rPr>
                <w:rFonts w:ascii="宋体" w:hAnsi="宋体" w:cs="宋体"/>
                <w:color w:val="000000" w:themeColor="text1"/>
                <w:sz w:val="24"/>
                <w:szCs w:val="21"/>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1973"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kern w:val="0"/>
                <w:sz w:val="24"/>
                <w:szCs w:val="21"/>
                <w14:textFill>
                  <w14:solidFill>
                    <w14:schemeClr w14:val="tx1"/>
                  </w14:solidFill>
                </w14:textFill>
              </w:rPr>
            </w:pPr>
            <w:r>
              <w:rPr>
                <w:rFonts w:hint="eastAsia" w:ascii="宋体" w:hAnsi="宋体" w:cs="宋体"/>
                <w:color w:val="000000" w:themeColor="text1"/>
                <w:kern w:val="0"/>
                <w:sz w:val="24"/>
                <w:szCs w:val="21"/>
                <w14:textFill>
                  <w14:solidFill>
                    <w14:schemeClr w14:val="tx1"/>
                  </w14:solidFill>
                </w14:textFill>
              </w:rPr>
              <w:t>专项评价设置情况</w:t>
            </w:r>
          </w:p>
        </w:tc>
        <w:tc>
          <w:tcPr>
            <w:tcW w:w="6884" w:type="dxa"/>
            <w:gridSpan w:val="4"/>
            <w:noWrap w:val="0"/>
            <w:tcMar>
              <w:top w:w="16" w:type="dxa"/>
              <w:left w:w="16" w:type="dxa"/>
              <w:right w:w="16" w:type="dxa"/>
            </w:tcMar>
            <w:vAlign w:val="center"/>
          </w:tcPr>
          <w:tbl>
            <w:tblPr>
              <w:tblStyle w:val="21"/>
              <w:tblW w:w="691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90"/>
              <w:gridCol w:w="3133"/>
              <w:gridCol w:w="239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7" w:hRule="atLeast"/>
                <w:jc w:val="center"/>
              </w:trPr>
              <w:tc>
                <w:tcPr>
                  <w:tcW w:w="1390" w:type="dxa"/>
                  <w:tcBorders>
                    <w:tl2br w:val="nil"/>
                    <w:tr2bl w:val="nil"/>
                  </w:tcBorders>
                  <w:vAlign w:val="center"/>
                </w:tcPr>
                <w:p>
                  <w:pPr>
                    <w:pStyle w:val="6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专项评价类别</w:t>
                  </w:r>
                </w:p>
              </w:tc>
              <w:tc>
                <w:tcPr>
                  <w:tcW w:w="3133"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涉及项目类别</w:t>
                  </w:r>
                </w:p>
              </w:tc>
              <w:tc>
                <w:tcPr>
                  <w:tcW w:w="2396" w:type="dxa"/>
                  <w:tcBorders>
                    <w:tl2br w:val="nil"/>
                    <w:tr2bl w:val="nil"/>
                  </w:tcBorders>
                  <w:vAlign w:val="center"/>
                </w:tcPr>
                <w:p>
                  <w:pPr>
                    <w:pStyle w:val="6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项目实际情况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67" w:hRule="atLeast"/>
                <w:jc w:val="center"/>
              </w:trPr>
              <w:tc>
                <w:tcPr>
                  <w:tcW w:w="1390"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地表水</w:t>
                  </w:r>
                </w:p>
              </w:tc>
              <w:tc>
                <w:tcPr>
                  <w:tcW w:w="3133" w:type="dxa"/>
                  <w:tcBorders>
                    <w:tl2br w:val="nil"/>
                    <w:tr2bl w:val="nil"/>
                  </w:tcBorders>
                  <w:vAlign w:val="center"/>
                </w:tcPr>
                <w:p>
                  <w:pPr>
                    <w:pStyle w:val="60"/>
                    <w:jc w:val="left"/>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水力发电：引水式发电、涉及调峰发电的项目；人工湖、人工湿地：全部；</w:t>
                  </w:r>
                </w:p>
                <w:p>
                  <w:pPr>
                    <w:pStyle w:val="60"/>
                    <w:jc w:val="left"/>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水库：全部；</w:t>
                  </w:r>
                </w:p>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引水工程：全部（配套的管线工程等除外）；防洪除涝工程：包含水库的项目；</w:t>
                  </w:r>
                </w:p>
                <w:p>
                  <w:pPr>
                    <w:pStyle w:val="60"/>
                    <w:jc w:val="left"/>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河湖整治：涉及清淤且底泥存在重金属污染的项目</w:t>
                  </w:r>
                </w:p>
              </w:tc>
              <w:tc>
                <w:tcPr>
                  <w:tcW w:w="2396"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本项目为河道治理，工程内容主要为为清淤疏浚、河道护岸，根据底泥监测结果，项目区不存在重金属污染，因此本项目不涉及专项评价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5" w:hRule="atLeast"/>
                <w:jc w:val="center"/>
              </w:trPr>
              <w:tc>
                <w:tcPr>
                  <w:tcW w:w="1390"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地下水</w:t>
                  </w:r>
                </w:p>
              </w:tc>
              <w:tc>
                <w:tcPr>
                  <w:tcW w:w="3133"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陆地石油和天然气开采：全部；</w:t>
                  </w:r>
                </w:p>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地下水（含矿泉水）开采：全部；</w:t>
                  </w:r>
                </w:p>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水利、水电、交通等：含穿越可溶岩地层隧道的项目</w:t>
                  </w:r>
                </w:p>
              </w:tc>
              <w:tc>
                <w:tcPr>
                  <w:tcW w:w="2396"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69" w:hRule="atLeast"/>
                <w:jc w:val="center"/>
              </w:trPr>
              <w:tc>
                <w:tcPr>
                  <w:tcW w:w="1390" w:type="dxa"/>
                  <w:tcBorders>
                    <w:tl2br w:val="nil"/>
                    <w:tr2bl w:val="nil"/>
                  </w:tcBorders>
                  <w:vAlign w:val="center"/>
                </w:tcPr>
                <w:p>
                  <w:pPr>
                    <w:pStyle w:val="60"/>
                    <w:rPr>
                      <w:rFonts w:ascii="Times New Roman" w:hAnsi="Times New Roman" w:eastAsia="宋体"/>
                      <w:color w:val="FF0000"/>
                      <w:szCs w:val="21"/>
                      <w:lang w:eastAsia="zh-CN"/>
                    </w:rPr>
                  </w:pPr>
                  <w:r>
                    <w:rPr>
                      <w:rFonts w:ascii="Times New Roman" w:hAnsi="Times New Roman" w:eastAsia="宋体"/>
                      <w:color w:val="FF0000"/>
                      <w:szCs w:val="21"/>
                      <w:lang w:eastAsia="zh-CN"/>
                    </w:rPr>
                    <w:t>生态</w:t>
                  </w:r>
                </w:p>
              </w:tc>
              <w:tc>
                <w:tcPr>
                  <w:tcW w:w="3133" w:type="dxa"/>
                  <w:tcBorders>
                    <w:tl2br w:val="nil"/>
                    <w:tr2bl w:val="nil"/>
                  </w:tcBorders>
                  <w:vAlign w:val="center"/>
                </w:tcPr>
                <w:p>
                  <w:pPr>
                    <w:pStyle w:val="60"/>
                    <w:rPr>
                      <w:rFonts w:ascii="Times New Roman" w:hAnsi="Times New Roman" w:eastAsia="宋体"/>
                      <w:color w:val="FF0000"/>
                      <w:szCs w:val="21"/>
                      <w:lang w:eastAsia="zh-CN"/>
                    </w:rPr>
                  </w:pPr>
                  <w:r>
                    <w:rPr>
                      <w:rFonts w:ascii="Times New Roman" w:hAnsi="Times New Roman" w:eastAsia="宋体"/>
                      <w:color w:val="FF0000"/>
                      <w:szCs w:val="21"/>
                      <w:lang w:eastAsia="zh-CN"/>
                    </w:rPr>
                    <w:t>涉及环境敏感区（不包括饮用水水源保护区，以居住、医疗卫生、文化教育、科研、行政办公为主要功能的区域，以及文物保护单位）的项目</w:t>
                  </w:r>
                </w:p>
              </w:tc>
              <w:tc>
                <w:tcPr>
                  <w:tcW w:w="2396" w:type="dxa"/>
                  <w:tcBorders>
                    <w:tl2br w:val="nil"/>
                    <w:tr2bl w:val="nil"/>
                  </w:tcBorders>
                  <w:vAlign w:val="center"/>
                </w:tcPr>
                <w:p>
                  <w:pPr>
                    <w:pStyle w:val="60"/>
                    <w:rPr>
                      <w:rFonts w:ascii="Times New Roman" w:hAnsi="Times New Roman" w:eastAsia="宋体"/>
                      <w:color w:val="FF0000"/>
                      <w:szCs w:val="21"/>
                      <w:lang w:eastAsia="zh-CN"/>
                    </w:rPr>
                  </w:pPr>
                  <w:r>
                    <w:rPr>
                      <w:rFonts w:hint="eastAsia" w:ascii="Times New Roman" w:hAnsi="Times New Roman" w:eastAsia="宋体"/>
                      <w:color w:val="FF0000"/>
                      <w:szCs w:val="21"/>
                      <w:lang w:eastAsia="zh-CN"/>
                    </w:rPr>
                    <w:t>不</w:t>
                  </w:r>
                  <w:r>
                    <w:rPr>
                      <w:rFonts w:ascii="Times New Roman" w:hAnsi="Times New Roman" w:eastAsia="宋体"/>
                      <w:color w:val="FF0000"/>
                      <w:szCs w:val="21"/>
                      <w:lang w:eastAsia="zh-CN"/>
                    </w:rPr>
                    <w:t>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3" w:hRule="atLeast"/>
                <w:jc w:val="center"/>
              </w:trPr>
              <w:tc>
                <w:tcPr>
                  <w:tcW w:w="1390"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大气</w:t>
                  </w:r>
                </w:p>
              </w:tc>
              <w:tc>
                <w:tcPr>
                  <w:tcW w:w="3133"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油气、液体化工码头：全部；干散货（含煤炭、矿石）、件杂、多用途、通用码头：涉及粉尘、挥发性有机物排放的项目</w:t>
                  </w:r>
                </w:p>
              </w:tc>
              <w:tc>
                <w:tcPr>
                  <w:tcW w:w="2396"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35" w:hRule="atLeast"/>
                <w:jc w:val="center"/>
              </w:trPr>
              <w:tc>
                <w:tcPr>
                  <w:tcW w:w="1390"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噪声</w:t>
                  </w:r>
                </w:p>
              </w:tc>
              <w:tc>
                <w:tcPr>
                  <w:tcW w:w="3133"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公路、铁路、机场等交通运输业涉及环境敏感区（以居住、医疗卫生、文化教育、科研、行政办公为主要功能的区域）的项目；城市道路（不含维护，不含支路、人行天桥、人行地道）：全部</w:t>
                  </w:r>
                </w:p>
              </w:tc>
              <w:tc>
                <w:tcPr>
                  <w:tcW w:w="2396"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40" w:hRule="atLeast"/>
                <w:jc w:val="center"/>
              </w:trPr>
              <w:tc>
                <w:tcPr>
                  <w:tcW w:w="1390"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环境风险</w:t>
                  </w:r>
                </w:p>
              </w:tc>
              <w:tc>
                <w:tcPr>
                  <w:tcW w:w="3133"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石油和天然气开采：全部；油气、液体化工码头：全部；原油、 成品油、天然气管线（不含城镇天然气管线、企业厂区内管线），危 险化学品输送管线（不含企业厂区内管线）：全部</w:t>
                  </w:r>
                </w:p>
              </w:tc>
              <w:tc>
                <w:tcPr>
                  <w:tcW w:w="2396" w:type="dxa"/>
                  <w:tcBorders>
                    <w:tl2br w:val="nil"/>
                    <w:tr2bl w:val="nil"/>
                  </w:tcBorders>
                  <w:vAlign w:val="center"/>
                </w:tcPr>
                <w:p>
                  <w:pPr>
                    <w:pStyle w:val="60"/>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bl>
          <w:p>
            <w:pPr>
              <w:autoSpaceDE w:val="0"/>
              <w:autoSpaceDN w:val="0"/>
              <w:adjustRightInd w:val="0"/>
              <w:snapToGrid w:val="0"/>
              <w:rPr>
                <w:rFonts w:hint="eastAsia" w:ascii="宋体" w:hAnsi="宋体" w:eastAsia="宋体" w:cs="宋体"/>
                <w:color w:val="000000" w:themeColor="text1"/>
                <w:kern w:val="0"/>
                <w:sz w:val="24"/>
                <w:szCs w:val="2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973"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kern w:val="0"/>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规划情况</w:t>
            </w:r>
          </w:p>
        </w:tc>
        <w:tc>
          <w:tcPr>
            <w:tcW w:w="6884" w:type="dxa"/>
            <w:gridSpan w:val="4"/>
            <w:noWrap w:val="0"/>
            <w:tcMar>
              <w:top w:w="16" w:type="dxa"/>
              <w:left w:w="16" w:type="dxa"/>
              <w:right w:w="16" w:type="dxa"/>
            </w:tcMar>
            <w:vAlign w:val="center"/>
          </w:tcPr>
          <w:p>
            <w:pPr>
              <w:autoSpaceDE w:val="0"/>
              <w:autoSpaceDN w:val="0"/>
              <w:adjustRightInd w:val="0"/>
              <w:snapToGrid w:val="0"/>
              <w:rPr>
                <w:rFonts w:hint="default" w:ascii="宋体" w:hAnsi="宋体" w:cs="宋体"/>
                <w:color w:val="000000" w:themeColor="text1"/>
                <w:kern w:val="0"/>
                <w:sz w:val="24"/>
                <w:szCs w:val="21"/>
                <w:lang w:val="en-US"/>
                <w14:textFill>
                  <w14:solidFill>
                    <w14:schemeClr w14:val="tx1"/>
                  </w14:solidFill>
                </w14:textFill>
              </w:rPr>
            </w:pPr>
            <w:r>
              <w:rPr>
                <w:rFonts w:hint="eastAsia" w:ascii="宋体" w:hAnsi="宋体" w:cs="宋体"/>
                <w:color w:val="000000" w:themeColor="text1"/>
                <w:kern w:val="0"/>
                <w:sz w:val="24"/>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1973"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规划环境影响</w:t>
            </w:r>
          </w:p>
          <w:p>
            <w:pPr>
              <w:autoSpaceDE w:val="0"/>
              <w:autoSpaceDN w:val="0"/>
              <w:adjustRightInd w:val="0"/>
              <w:snapToGrid w:val="0"/>
              <w:jc w:val="center"/>
              <w:rPr>
                <w:rFonts w:ascii="宋体" w:hAnsi="宋体" w:cs="宋体"/>
                <w:color w:val="000000" w:themeColor="text1"/>
                <w:kern w:val="0"/>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评价情况</w:t>
            </w:r>
          </w:p>
        </w:tc>
        <w:tc>
          <w:tcPr>
            <w:tcW w:w="6884" w:type="dxa"/>
            <w:gridSpan w:val="4"/>
            <w:noWrap w:val="0"/>
            <w:tcMar>
              <w:top w:w="16" w:type="dxa"/>
              <w:left w:w="16" w:type="dxa"/>
              <w:right w:w="16" w:type="dxa"/>
            </w:tcMar>
            <w:vAlign w:val="center"/>
          </w:tcPr>
          <w:p>
            <w:pPr>
              <w:adjustRightInd w:val="0"/>
              <w:snapToGrid w:val="0"/>
              <w:jc w:val="left"/>
              <w:rPr>
                <w:rFonts w:ascii="宋体" w:hAnsi="宋体" w:cs="宋体"/>
                <w:color w:val="000000" w:themeColor="text1"/>
                <w:kern w:val="0"/>
                <w:sz w:val="24"/>
                <w:szCs w:val="21"/>
                <w14:textFill>
                  <w14:solidFill>
                    <w14:schemeClr w14:val="tx1"/>
                  </w14:solidFill>
                </w14:textFill>
              </w:rPr>
            </w:pPr>
            <w:r>
              <w:rPr>
                <w:rFonts w:hint="eastAsia" w:ascii="宋体" w:hAnsi="宋体" w:cs="宋体"/>
                <w:color w:val="000000" w:themeColor="text1"/>
                <w:kern w:val="0"/>
                <w:sz w:val="24"/>
                <w:szCs w:val="21"/>
                <w:lang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0" w:hRule="atLeast"/>
        </w:trPr>
        <w:tc>
          <w:tcPr>
            <w:tcW w:w="1973"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kern w:val="0"/>
                <w:sz w:val="24"/>
                <w:szCs w:val="21"/>
                <w14:textFill>
                  <w14:solidFill>
                    <w14:schemeClr w14:val="tx1"/>
                  </w14:solidFill>
                </w14:textFill>
              </w:rPr>
            </w:pPr>
            <w:r>
              <w:rPr>
                <w:rFonts w:hint="eastAsia" w:ascii="宋体" w:hAnsi="宋体" w:cs="宋体"/>
                <w:color w:val="000000" w:themeColor="text1"/>
                <w:kern w:val="0"/>
                <w:sz w:val="24"/>
                <w:szCs w:val="21"/>
                <w14:textFill>
                  <w14:solidFill>
                    <w14:schemeClr w14:val="tx1"/>
                  </w14:solidFill>
                </w14:textFill>
              </w:rPr>
              <w:t>规划及</w:t>
            </w:r>
            <w:r>
              <w:rPr>
                <w:rFonts w:hint="eastAsia" w:ascii="宋体" w:hAnsi="宋体" w:cs="宋体"/>
                <w:color w:val="000000" w:themeColor="text1"/>
                <w:sz w:val="24"/>
                <w:szCs w:val="21"/>
                <w14:textFill>
                  <w14:solidFill>
                    <w14:schemeClr w14:val="tx1"/>
                  </w14:solidFill>
                </w14:textFill>
              </w:rPr>
              <w:t>规划环境影响评价</w:t>
            </w:r>
            <w:r>
              <w:rPr>
                <w:rFonts w:hint="eastAsia" w:ascii="宋体" w:hAnsi="宋体" w:cs="宋体"/>
                <w:color w:val="000000" w:themeColor="text1"/>
                <w:kern w:val="0"/>
                <w:sz w:val="24"/>
                <w:szCs w:val="21"/>
                <w14:textFill>
                  <w14:solidFill>
                    <w14:schemeClr w14:val="tx1"/>
                  </w14:solidFill>
                </w14:textFill>
              </w:rPr>
              <w:t>符合性分析</w:t>
            </w:r>
          </w:p>
        </w:tc>
        <w:tc>
          <w:tcPr>
            <w:tcW w:w="6884" w:type="dxa"/>
            <w:gridSpan w:val="4"/>
            <w:noWrap w:val="0"/>
            <w:tcMar>
              <w:top w:w="16" w:type="dxa"/>
              <w:left w:w="16" w:type="dxa"/>
              <w:right w:w="16" w:type="dxa"/>
            </w:tcMar>
            <w:vAlign w:val="center"/>
          </w:tcPr>
          <w:p>
            <w:pPr>
              <w:pStyle w:val="44"/>
              <w:bidi w:val="0"/>
              <w:ind w:left="0" w:leftChars="0" w:firstLine="0" w:firstLineChars="0"/>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宋体" w:hAnsi="宋体" w:eastAsia="宋体" w:cs="宋体"/>
                <w:color w:val="000000" w:themeColor="text1"/>
                <w:kern w:val="0"/>
                <w:sz w:val="24"/>
                <w:szCs w:val="21"/>
                <w:lang w:val="en-US" w:eastAsia="zh-CN" w:bidi="ar-SA"/>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39" w:hRule="atLeast"/>
        </w:trPr>
        <w:tc>
          <w:tcPr>
            <w:tcW w:w="1973" w:type="dxa"/>
            <w:noWrap w:val="0"/>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kern w:val="0"/>
                <w:sz w:val="24"/>
                <w:szCs w:val="24"/>
                <w14:textFill>
                  <w14:solidFill>
                    <w14:schemeClr w14:val="tx1"/>
                  </w14:solidFill>
                </w14:textFill>
              </w:rPr>
            </w:pPr>
            <w:bookmarkStart w:id="2" w:name="_Hlk56690880"/>
            <w:r>
              <w:rPr>
                <w:rFonts w:hint="eastAsia" w:ascii="宋体" w:hAnsi="宋体" w:cs="宋体"/>
                <w:color w:val="000000" w:themeColor="text1"/>
                <w:kern w:val="0"/>
                <w:sz w:val="24"/>
                <w:szCs w:val="24"/>
                <w14:textFill>
                  <w14:solidFill>
                    <w14:schemeClr w14:val="tx1"/>
                  </w14:solidFill>
                </w14:textFill>
              </w:rPr>
              <w:t>其他符合性分析</w:t>
            </w:r>
            <w:bookmarkEnd w:id="2"/>
          </w:p>
        </w:tc>
        <w:tc>
          <w:tcPr>
            <w:tcW w:w="6884" w:type="dxa"/>
            <w:gridSpan w:val="4"/>
            <w:noWrap w:val="0"/>
            <w:tcMar>
              <w:top w:w="16" w:type="dxa"/>
              <w:left w:w="16" w:type="dxa"/>
              <w:right w:w="16" w:type="dxa"/>
            </w:tcMar>
            <w:vAlign w:val="top"/>
          </w:tcPr>
          <w:p>
            <w:pPr>
              <w:spacing w:line="360" w:lineRule="auto"/>
              <w:ind w:left="0" w:leftChars="0" w:firstLine="0" w:firstLineChars="0"/>
              <w:jc w:val="both"/>
              <w:outlineLvl w:val="2"/>
              <w:rPr>
                <w:rFonts w:hint="eastAsia" w:ascii="Times New Roman" w:hAnsi="Times New Roman" w:eastAsia="宋体"/>
                <w:b/>
                <w:color w:val="000000" w:themeColor="text1"/>
                <w:sz w:val="24"/>
                <w:szCs w:val="24"/>
                <w:lang w:val="en-US" w:eastAsia="zh-CN"/>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产业政策</w:t>
            </w:r>
            <w:r>
              <w:rPr>
                <w:rFonts w:hint="eastAsia" w:ascii="Times New Roman" w:hAnsi="Times New Roman" w:eastAsia="宋体"/>
                <w:b/>
                <w:color w:val="000000" w:themeColor="text1"/>
                <w:sz w:val="24"/>
                <w:szCs w:val="24"/>
                <w:lang w:val="en-US" w:eastAsia="zh-CN"/>
                <w14:textFill>
                  <w14:solidFill>
                    <w14:schemeClr w14:val="tx1"/>
                  </w14:solidFill>
                </w14:textFill>
              </w:rPr>
              <w:t>符合性分析</w:t>
            </w:r>
          </w:p>
          <w:p>
            <w:pPr>
              <w:spacing w:line="360" w:lineRule="auto"/>
              <w:ind w:right="-1" w:firstLine="480" w:firstLineChars="200"/>
              <w:contextualSpacing/>
              <w:jc w:val="both"/>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本</w:t>
            </w:r>
            <w:r>
              <w:rPr>
                <w:color w:val="000000" w:themeColor="text1"/>
                <w:sz w:val="24"/>
                <w:szCs w:val="24"/>
                <w14:textFill>
                  <w14:solidFill>
                    <w14:schemeClr w14:val="tx1"/>
                  </w14:solidFill>
                </w14:textFill>
              </w:rPr>
              <w:t>项目属于《产业结构调整指导目录（</w:t>
            </w:r>
            <w:r>
              <w:rPr>
                <w:rFonts w:hint="eastAsia"/>
                <w:color w:val="000000" w:themeColor="text1"/>
                <w:sz w:val="24"/>
                <w:szCs w:val="24"/>
                <w14:textFill>
                  <w14:solidFill>
                    <w14:schemeClr w14:val="tx1"/>
                  </w14:solidFill>
                </w14:textFill>
              </w:rPr>
              <w:t>2019</w:t>
            </w:r>
            <w:r>
              <w:rPr>
                <w:color w:val="000000" w:themeColor="text1"/>
                <w:sz w:val="24"/>
                <w:szCs w:val="24"/>
                <w14:textFill>
                  <w14:solidFill>
                    <w14:schemeClr w14:val="tx1"/>
                  </w14:solidFill>
                </w14:textFill>
              </w:rPr>
              <w:t>年本）》鼓励类中“</w:t>
            </w:r>
            <w:r>
              <w:rPr>
                <w:rFonts w:hint="eastAsia"/>
                <w:color w:val="000000" w:themeColor="text1"/>
                <w:sz w:val="24"/>
                <w:szCs w:val="24"/>
                <w14:textFill>
                  <w14:solidFill>
                    <w14:schemeClr w14:val="tx1"/>
                  </w14:solidFill>
                </w14:textFill>
              </w:rPr>
              <w:t>二</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水利</w:t>
            </w:r>
            <w:r>
              <w:rPr>
                <w:color w:val="000000" w:themeColor="text1"/>
                <w:sz w:val="24"/>
                <w:szCs w:val="24"/>
                <w14:textFill>
                  <w14:solidFill>
                    <w14:schemeClr w14:val="tx1"/>
                  </w14:solidFill>
                </w14:textFill>
              </w:rPr>
              <w:t>：第</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条－</w:t>
            </w:r>
            <w:r>
              <w:rPr>
                <w:rFonts w:hint="eastAsia"/>
                <w:color w:val="000000" w:themeColor="text1"/>
                <w:sz w:val="24"/>
                <w:szCs w:val="24"/>
                <w:lang w:val="en-US" w:eastAsia="zh-CN"/>
                <w14:textFill>
                  <w14:solidFill>
                    <w14:schemeClr w14:val="tx1"/>
                  </w14:solidFill>
                </w14:textFill>
              </w:rPr>
              <w:t>江河湖海堤防建设及河道治理工程</w:t>
            </w:r>
            <w:r>
              <w:rPr>
                <w:color w:val="000000" w:themeColor="text1"/>
                <w:sz w:val="24"/>
                <w:szCs w:val="24"/>
                <w14:textFill>
                  <w14:solidFill>
                    <w14:schemeClr w14:val="tx1"/>
                  </w14:solidFill>
                </w14:textFill>
              </w:rPr>
              <w:t>”的范畴，符合国家和地方产业政策。</w:t>
            </w:r>
          </w:p>
          <w:p>
            <w:pPr>
              <w:spacing w:line="360" w:lineRule="auto"/>
              <w:ind w:left="0" w:leftChars="0" w:firstLine="0" w:firstLineChars="0"/>
              <w:jc w:val="both"/>
              <w:outlineLvl w:val="2"/>
              <w:rPr>
                <w:rFonts w:hint="eastAsia"/>
                <w:b/>
                <w:color w:val="000000" w:themeColor="text1"/>
                <w:sz w:val="24"/>
                <w:szCs w:val="24"/>
                <w:lang w:val="en-US" w:eastAsia="zh-CN"/>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与《建设项目环境影响评价分类管理名录》符合性分析</w:t>
            </w:r>
          </w:p>
          <w:p>
            <w:pPr>
              <w:spacing w:line="360" w:lineRule="auto"/>
              <w:ind w:right="-1" w:firstLine="480" w:firstLineChars="200"/>
              <w:contextualSpacing/>
              <w:jc w:val="both"/>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根据《建设项目环境影响评价分类管理名录》，四十六类水利项目，第</w:t>
            </w:r>
            <w:r>
              <w:rPr>
                <w:rFonts w:hint="eastAsia"/>
                <w:color w:val="000000" w:themeColor="text1"/>
                <w:sz w:val="24"/>
                <w:szCs w:val="24"/>
                <w:lang w:val="en-US" w:eastAsia="zh-CN"/>
                <w14:textFill>
                  <w14:solidFill>
                    <w14:schemeClr w14:val="tx1"/>
                  </w14:solidFill>
                </w14:textFill>
              </w:rPr>
              <w:t>128</w:t>
            </w:r>
            <w:r>
              <w:rPr>
                <w:rFonts w:hint="eastAsia"/>
                <w:color w:val="000000" w:themeColor="text1"/>
                <w:sz w:val="24"/>
                <w:szCs w:val="24"/>
                <w:lang w:eastAsia="zh-CN"/>
                <w14:textFill>
                  <w14:solidFill>
                    <w14:schemeClr w14:val="tx1"/>
                  </w14:solidFill>
                </w14:textFill>
              </w:rPr>
              <w:t>条，河湖整治工程中，“涉及环境敏感区的”项目需要编制环境影响报告书，“其他”类项目需要编制环境影响报告表。本项目不涉及环境敏感区，因此，本工程需编制环境影响报告表。</w:t>
            </w:r>
          </w:p>
          <w:p>
            <w:pPr>
              <w:pStyle w:val="8"/>
              <w:spacing w:after="0" w:line="360" w:lineRule="auto"/>
              <w:ind w:left="0" w:leftChars="0" w:firstLine="0" w:firstLineChars="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与“三线一单”符合性分析</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甘肃省人民政府关于实施“三线一单”生态环境分区管控的意见》（甘政发〔2020〕68号）及《庆阳市人民政府关于印发庆阳市“三线一单”生态环境分区管控实施方案的通知》（庆政发〔2021〕29号）和《庆阳市区域空间生态环境评价“三线一单”研究报告》相关要求</w:t>
            </w:r>
            <w:r>
              <w:rPr>
                <w:rFonts w:hint="default" w:ascii="Times New Roman" w:hAnsi="Times New Roman" w:eastAsia="宋体" w:cs="Times New Roman"/>
                <w:color w:val="000000" w:themeColor="text1"/>
                <w:kern w:val="0"/>
                <w:sz w:val="24"/>
                <w:szCs w:val="24"/>
                <w14:textFill>
                  <w14:solidFill>
                    <w14:schemeClr w14:val="tx1"/>
                  </w14:solidFill>
                </w14:textFill>
              </w:rPr>
              <w:t>，项目相符性分析如下：</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⑴生态保护红线</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庆阳市人民政府关于印发庆阳市“三线一单”生态环境分区管控实施方案的通知》（庆政发〔2021〕29号），全市共划定环境管控单元72个，分为优先保护单元、重点管控单元和一般管控单元三类，实施分类管控。</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优先保护单元。共42个，主要包括生态保护红线、自然保护地、集中式饮用水水源保护区等生态功能重要区和生态环境敏感区。该区域严格按照国家生态保护红线和省级生态空间管控区域管理规定进行管控。依法禁止或限制大规模、高强度的工业开发和城镇建设，严禁不符合国家有关规定的各类开发活动，确保生态环境功能不降低。</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重点管控单元。共22个，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般管控单元。共8个，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生态环境分区管控单元根据生态保护红线和相关生态功能区域评估调整进行优化。</w:t>
            </w:r>
          </w:p>
          <w:p>
            <w:pPr>
              <w:pStyle w:val="61"/>
              <w:ind w:firstLine="480"/>
              <w:rPr>
                <w:rFonts w:hint="eastAsia" w:cs="Times New Roman"/>
                <w:color w:val="FF0000"/>
                <w:sz w:val="24"/>
                <w:szCs w:val="24"/>
                <w:u w:val="none" w:color="auto"/>
                <w:lang w:eastAsia="zh-CN"/>
              </w:rPr>
            </w:pPr>
            <w:r>
              <w:rPr>
                <w:rFonts w:hint="default" w:ascii="Times New Roman" w:hAnsi="Times New Roman" w:eastAsia="宋体" w:cs="Times New Roman"/>
                <w:color w:val="FF0000"/>
                <w:sz w:val="24"/>
                <w:szCs w:val="24"/>
                <w:u w:val="none" w:color="auto"/>
              </w:rPr>
              <w:t>本项目属于</w:t>
            </w:r>
            <w:r>
              <w:rPr>
                <w:rFonts w:hint="eastAsia" w:cs="Times New Roman"/>
                <w:color w:val="FF0000"/>
                <w:sz w:val="24"/>
                <w:szCs w:val="24"/>
                <w:u w:val="none" w:color="auto"/>
                <w:lang w:eastAsia="zh-CN"/>
              </w:rPr>
              <w:t>宁县</w:t>
            </w:r>
            <w:r>
              <w:rPr>
                <w:rFonts w:hint="default" w:ascii="Times New Roman" w:hAnsi="Times New Roman" w:eastAsia="宋体" w:cs="Times New Roman"/>
                <w:color w:val="FF0000"/>
                <w:sz w:val="24"/>
                <w:szCs w:val="24"/>
                <w:u w:val="none" w:color="auto"/>
              </w:rPr>
              <w:t>“三线一单”环境管控单元中的</w:t>
            </w:r>
            <w:r>
              <w:rPr>
                <w:rFonts w:hint="eastAsia" w:cs="Times New Roman"/>
                <w:color w:val="FF0000"/>
                <w:sz w:val="24"/>
                <w:szCs w:val="24"/>
                <w:u w:val="none" w:color="auto"/>
                <w:lang w:eastAsia="zh-CN"/>
              </w:rPr>
              <w:t>一般生态空间中的优先保护单元、</w:t>
            </w:r>
            <w:r>
              <w:rPr>
                <w:rFonts w:hint="eastAsia" w:eastAsia="宋体" w:cs="Times New Roman"/>
                <w:color w:val="FF0000"/>
                <w:sz w:val="24"/>
                <w:szCs w:val="24"/>
                <w:u w:val="none" w:color="auto"/>
                <w:lang w:eastAsia="zh-CN"/>
              </w:rPr>
              <w:t>重点</w:t>
            </w:r>
            <w:r>
              <w:rPr>
                <w:rFonts w:hint="default" w:ascii="Times New Roman" w:hAnsi="Times New Roman" w:eastAsia="宋体" w:cs="Times New Roman"/>
                <w:color w:val="FF0000"/>
                <w:sz w:val="24"/>
                <w:szCs w:val="24"/>
                <w:u w:val="none" w:color="auto"/>
              </w:rPr>
              <w:t>管控单元</w:t>
            </w:r>
            <w:r>
              <w:rPr>
                <w:rFonts w:hint="eastAsia" w:cs="Times New Roman"/>
                <w:color w:val="FF0000"/>
                <w:sz w:val="24"/>
                <w:szCs w:val="24"/>
                <w:u w:val="none" w:color="auto"/>
                <w:lang w:eastAsia="zh-CN"/>
              </w:rPr>
              <w:t>和宁县城镇空间中的重点管控单元</w:t>
            </w:r>
            <w:r>
              <w:rPr>
                <w:rFonts w:hint="default" w:ascii="Times New Roman" w:hAnsi="Times New Roman" w:eastAsia="宋体" w:cs="Times New Roman"/>
                <w:color w:val="FF0000"/>
                <w:sz w:val="24"/>
                <w:szCs w:val="24"/>
                <w:u w:val="none" w:color="auto"/>
              </w:rPr>
              <w:t>，根据要求，</w:t>
            </w:r>
            <w:r>
              <w:rPr>
                <w:rFonts w:hint="eastAsia" w:cs="Times New Roman"/>
                <w:color w:val="FF0000"/>
                <w:sz w:val="24"/>
                <w:szCs w:val="24"/>
                <w:u w:val="none" w:color="auto"/>
                <w:lang w:eastAsia="zh-CN"/>
              </w:rPr>
              <w:t>一般生态空间中优先保护单元管控要求要优化空间布局，主动避让，确实无法避让的，应采取无害化方式，本项目为防洪除涝工程，主要治理城北河和湘乐川，为天然河道，无法进行避让，项目实施后不会影响区域环境质量，不排放污染，可以优化生态环境，项目实施符合一般生态空间要求；</w:t>
            </w:r>
          </w:p>
          <w:p>
            <w:pPr>
              <w:pStyle w:val="61"/>
              <w:ind w:firstLine="480"/>
              <w:rPr>
                <w:rFonts w:hint="eastAsia" w:cs="Times New Roman"/>
                <w:color w:val="FF0000"/>
                <w:sz w:val="24"/>
                <w:szCs w:val="24"/>
                <w:u w:val="none" w:color="auto"/>
                <w:lang w:eastAsia="zh-CN"/>
              </w:rPr>
            </w:pPr>
            <w:r>
              <w:rPr>
                <w:rFonts w:hint="eastAsia" w:eastAsia="宋体" w:cs="Times New Roman"/>
                <w:color w:val="FF0000"/>
                <w:sz w:val="24"/>
                <w:szCs w:val="24"/>
                <w:u w:val="none" w:color="auto"/>
                <w:lang w:eastAsia="zh-CN"/>
              </w:rPr>
              <w:t>重点</w:t>
            </w:r>
            <w:r>
              <w:rPr>
                <w:rFonts w:hint="default" w:ascii="Times New Roman" w:hAnsi="Times New Roman" w:eastAsia="宋体" w:cs="Times New Roman"/>
                <w:color w:val="FF0000"/>
                <w:sz w:val="24"/>
                <w:szCs w:val="24"/>
                <w:u w:val="none" w:color="auto"/>
              </w:rPr>
              <w:t>管控单元主要推进产业结构和能源结构调整，优化交通结构和用地结构，不断提高资源能源利用效率，加强污染物排放控制和环境风险防控，解决突出生态环境问题。本项目</w:t>
            </w:r>
            <w:r>
              <w:rPr>
                <w:rFonts w:hint="eastAsia" w:eastAsia="宋体" w:cs="Times New Roman"/>
                <w:color w:val="FF0000"/>
                <w:sz w:val="24"/>
                <w:szCs w:val="24"/>
                <w:u w:val="none" w:color="auto"/>
                <w:lang w:eastAsia="zh-CN"/>
              </w:rPr>
              <w:t>为防洪除涝工程</w:t>
            </w:r>
            <w:r>
              <w:rPr>
                <w:rFonts w:hint="default" w:ascii="Times New Roman" w:hAnsi="Times New Roman" w:eastAsia="宋体" w:cs="Times New Roman"/>
                <w:color w:val="FF0000"/>
                <w:sz w:val="24"/>
                <w:szCs w:val="24"/>
                <w:u w:val="none" w:color="auto"/>
              </w:rPr>
              <w:t>，</w:t>
            </w:r>
            <w:r>
              <w:rPr>
                <w:rFonts w:hint="default" w:ascii="Times New Roman" w:hAnsi="Times New Roman" w:eastAsia="宋体" w:cs="Times New Roman"/>
                <w:color w:val="FF0000"/>
                <w:sz w:val="24"/>
                <w:szCs w:val="24"/>
                <w:u w:val="none" w:color="auto"/>
                <w:lang w:eastAsia="zh-CN"/>
              </w:rPr>
              <w:t>项目的建设</w:t>
            </w:r>
            <w:r>
              <w:rPr>
                <w:rFonts w:hint="default" w:ascii="Times New Roman" w:hAnsi="Times New Roman" w:eastAsia="宋体" w:cs="Times New Roman"/>
                <w:color w:val="FF0000"/>
                <w:sz w:val="24"/>
                <w:szCs w:val="24"/>
                <w:u w:val="none" w:color="auto"/>
              </w:rPr>
              <w:t>符合</w:t>
            </w:r>
            <w:r>
              <w:rPr>
                <w:rFonts w:hint="eastAsia" w:eastAsia="宋体" w:cs="Times New Roman"/>
                <w:color w:val="FF0000"/>
                <w:sz w:val="24"/>
                <w:szCs w:val="24"/>
                <w:u w:val="none" w:color="auto"/>
                <w:lang w:eastAsia="zh-CN"/>
              </w:rPr>
              <w:t>重点</w:t>
            </w:r>
            <w:r>
              <w:rPr>
                <w:rFonts w:hint="default" w:ascii="Times New Roman" w:hAnsi="Times New Roman" w:eastAsia="宋体" w:cs="Times New Roman"/>
                <w:color w:val="FF0000"/>
                <w:sz w:val="24"/>
                <w:szCs w:val="24"/>
                <w:u w:val="none" w:color="auto"/>
              </w:rPr>
              <w:t>管控单元要求</w:t>
            </w:r>
            <w:r>
              <w:rPr>
                <w:rFonts w:hint="eastAsia" w:cs="Times New Roman"/>
                <w:color w:val="FF0000"/>
                <w:sz w:val="24"/>
                <w:szCs w:val="24"/>
                <w:u w:val="none" w:color="auto"/>
                <w:lang w:eastAsia="zh-CN"/>
              </w:rPr>
              <w:t>；</w:t>
            </w:r>
          </w:p>
          <w:p>
            <w:pPr>
              <w:pStyle w:val="61"/>
              <w:ind w:firstLine="480"/>
              <w:rPr>
                <w:rFonts w:hint="eastAsia" w:cs="Times New Roman"/>
                <w:color w:val="FF0000"/>
                <w:sz w:val="24"/>
                <w:szCs w:val="24"/>
                <w:u w:val="none" w:color="auto"/>
                <w:lang w:eastAsia="zh-CN"/>
              </w:rPr>
            </w:pPr>
            <w:r>
              <w:rPr>
                <w:rFonts w:hint="eastAsia" w:cs="Times New Roman"/>
                <w:color w:val="FF0000"/>
                <w:sz w:val="24"/>
                <w:szCs w:val="24"/>
                <w:u w:val="none" w:color="auto"/>
                <w:lang w:eastAsia="zh-CN"/>
              </w:rPr>
              <w:t>本项目城北河县城段位于宁县城镇空间，项目主要为防洪除涝工程，不占用宁县县城建设空间，不影响国土空间规划。</w:t>
            </w:r>
          </w:p>
          <w:p>
            <w:pPr>
              <w:pStyle w:val="61"/>
              <w:ind w:firstLine="480"/>
              <w:rPr>
                <w:rFonts w:hint="eastAsia"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本项目在</w:t>
            </w:r>
            <w:r>
              <w:rPr>
                <w:rFonts w:hint="eastAsia" w:ascii="Times New Roman" w:hAnsi="Times New Roman" w:eastAsia="宋体" w:cs="Times New Roman"/>
                <w:color w:val="000000" w:themeColor="text1"/>
                <w:sz w:val="24"/>
                <w:szCs w:val="24"/>
                <w:lang w:eastAsia="zh-CN"/>
                <w14:textFill>
                  <w14:solidFill>
                    <w14:schemeClr w14:val="tx1"/>
                  </w14:solidFill>
                </w14:textFill>
              </w:rPr>
              <w:t>庆阳市</w:t>
            </w:r>
            <w:r>
              <w:rPr>
                <w:rFonts w:hint="default" w:ascii="Times New Roman" w:hAnsi="Times New Roman" w:eastAsia="宋体" w:cs="Times New Roman"/>
                <w:color w:val="000000" w:themeColor="text1"/>
                <w:sz w:val="24"/>
                <w:szCs w:val="24"/>
                <w:lang w:eastAsia="zh-CN"/>
                <w14:textFill>
                  <w14:solidFill>
                    <w14:schemeClr w14:val="tx1"/>
                  </w14:solidFill>
                </w14:textFill>
              </w:rPr>
              <w:t>生态环境管控单元分布图中位置见</w:t>
            </w:r>
            <w:r>
              <w:rPr>
                <w:rFonts w:hint="eastAsia" w:cs="Times New Roman"/>
                <w:color w:val="000000" w:themeColor="text1"/>
                <w:sz w:val="24"/>
                <w:szCs w:val="24"/>
                <w:lang w:eastAsia="zh-CN"/>
                <w14:textFill>
                  <w14:solidFill>
                    <w14:schemeClr w14:val="tx1"/>
                  </w14:solidFill>
                </w14:textFill>
              </w:rPr>
              <w:t>下图。</w:t>
            </w:r>
          </w:p>
          <w:p>
            <w:pPr>
              <w:pStyle w:val="61"/>
              <w:ind w:left="0" w:leftChars="0"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drawing>
                <wp:inline distT="0" distB="0" distL="114300" distR="114300">
                  <wp:extent cx="4341495" cy="2783205"/>
                  <wp:effectExtent l="0" t="0" r="1905"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4341495" cy="2783205"/>
                          </a:xfrm>
                          <a:prstGeom prst="rect">
                            <a:avLst/>
                          </a:prstGeom>
                          <a:noFill/>
                          <a:ln>
                            <a:noFill/>
                          </a:ln>
                        </pic:spPr>
                      </pic:pic>
                    </a:graphicData>
                  </a:graphic>
                </wp:inline>
              </w:drawing>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⑵环境质量底线</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1）大气环境质量底线</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w:t>
            </w:r>
            <w:r>
              <w:rPr>
                <w:rFonts w:hint="eastAsia" w:eastAsia="宋体" w:cs="Times New Roman"/>
                <w:color w:val="000000" w:themeColor="text1"/>
                <w:sz w:val="24"/>
                <w:szCs w:val="24"/>
                <w:lang w:eastAsia="zh-CN"/>
                <w14:textFill>
                  <w14:solidFill>
                    <w14:schemeClr w14:val="tx1"/>
                  </w14:solidFill>
                </w14:textFill>
              </w:rPr>
              <w:t>宁县城北河</w:t>
            </w:r>
            <w:r>
              <w:rPr>
                <w:rFonts w:hint="default" w:ascii="Times New Roman" w:hAnsi="Times New Roman" w:eastAsia="宋体" w:cs="Times New Roman"/>
                <w:color w:val="000000" w:themeColor="text1"/>
                <w:sz w:val="24"/>
                <w:szCs w:val="24"/>
                <w14:textFill>
                  <w14:solidFill>
                    <w14:schemeClr w14:val="tx1"/>
                  </w14:solidFill>
                </w14:textFill>
              </w:rPr>
              <w:t>，根据《庆阳市202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年环境空气质量月报》</w:t>
            </w:r>
            <w:r>
              <w:rPr>
                <w:rFonts w:hint="eastAsia" w:eastAsia="宋体" w:cs="Times New Roman"/>
                <w:color w:val="000000" w:themeColor="text1"/>
                <w:sz w:val="24"/>
                <w:szCs w:val="24"/>
                <w:lang w:eastAsia="zh-CN"/>
                <w14:textFill>
                  <w14:solidFill>
                    <w14:schemeClr w14:val="tx1"/>
                  </w14:solidFill>
                </w14:textFill>
              </w:rPr>
              <w:t>中宁县数据</w:t>
            </w:r>
            <w:r>
              <w:rPr>
                <w:rFonts w:hint="default" w:ascii="Times New Roman" w:hAnsi="Times New Roman" w:eastAsia="宋体" w:cs="Times New Roman"/>
                <w:color w:val="000000" w:themeColor="text1"/>
                <w:sz w:val="24"/>
                <w:szCs w:val="24"/>
                <w14:textFill>
                  <w14:solidFill>
                    <w14:schemeClr w14:val="tx1"/>
                  </w14:solidFill>
                </w14:textFill>
              </w:rPr>
              <w:t>，项目评价区域环境空气中SO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、CO、O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TSP均满足《环境空气质量标准》（GB3095-2012）及其2018年修改单中二级标准，评价区域环境空气质量良好。本项目实施后对区域环境大气环境等影响较小，不会改变评价区大气环境功能区划要求，符合环境质量底线要求。</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2）水环境质量底线</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根据地表水监测数据，项目所在区域因子能够满足《地表水环境质量标准》（GB3838-2002）中</w:t>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4 \* ROMAN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color w:val="000000" w:themeColor="text1"/>
                <w14:textFill>
                  <w14:solidFill>
                    <w14:schemeClr w14:val="tx1"/>
                  </w14:solidFill>
                </w14:textFill>
              </w:rPr>
              <w:t>IV</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类标准限值。</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综上所述，本项目的建设符合当地环境质量底线。</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资源利用上线</w:t>
            </w:r>
          </w:p>
          <w:p>
            <w:pPr>
              <w:pStyle w:val="61"/>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本项目运营过程中</w:t>
            </w:r>
            <w:r>
              <w:rPr>
                <w:rFonts w:hint="eastAsia" w:eastAsia="宋体" w:cs="Times New Roman"/>
                <w:color w:val="000000" w:themeColor="text1"/>
                <w:sz w:val="24"/>
                <w:szCs w:val="24"/>
                <w:lang w:eastAsia="zh-CN"/>
                <w14:textFill>
                  <w14:solidFill>
                    <w14:schemeClr w14:val="tx1"/>
                  </w14:solidFill>
                </w14:textFill>
              </w:rPr>
              <w:t>不消耗资源能源</w:t>
            </w:r>
            <w:r>
              <w:rPr>
                <w:rFonts w:hint="default" w:ascii="Times New Roman" w:hAnsi="Times New Roman" w:eastAsia="宋体" w:cs="Times New Roman"/>
                <w:color w:val="000000" w:themeColor="text1"/>
                <w:sz w:val="24"/>
                <w:szCs w:val="24"/>
                <w14:textFill>
                  <w14:solidFill>
                    <w14:schemeClr w14:val="tx1"/>
                  </w14:solidFill>
                </w14:textFill>
              </w:rPr>
              <w:t>，符合资源利用上限要求。</w:t>
            </w:r>
          </w:p>
          <w:p>
            <w:pPr>
              <w:widowControl/>
              <w:spacing w:line="360" w:lineRule="auto"/>
              <w:ind w:firstLine="480" w:firstLineChars="200"/>
              <w:jc w:val="left"/>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本项目建设地点位于甘肃省庆阳市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宁县城北河沿线</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，属于重点管控单元。本项目与《庆阳市生态环境准入清单（试行）》（庆环委办发〔2022〕2号）</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中管控要求符合性分析内容详见表1-1。</w:t>
            </w:r>
          </w:p>
          <w:p>
            <w:pPr>
              <w:adjustRightInd w:val="0"/>
              <w:snapToGrid w:val="0"/>
              <w:spacing w:line="360" w:lineRule="exact"/>
              <w:ind w:firstLine="480"/>
              <w:jc w:val="center"/>
              <w:rPr>
                <w:b/>
                <w:color w:val="000000" w:themeColor="text1"/>
                <w:szCs w:val="18"/>
                <w14:textFill>
                  <w14:solidFill>
                    <w14:schemeClr w14:val="tx1"/>
                  </w14:solidFill>
                </w14:textFill>
              </w:rPr>
            </w:pPr>
            <w:r>
              <w:rPr>
                <w:b/>
                <w:color w:val="000000" w:themeColor="text1"/>
                <w:szCs w:val="18"/>
                <w14:textFill>
                  <w14:solidFill>
                    <w14:schemeClr w14:val="tx1"/>
                  </w14:solidFill>
                </w14:textFill>
              </w:rPr>
              <w:t xml:space="preserve">表1-1 </w:t>
            </w:r>
            <w:r>
              <w:rPr>
                <w:rFonts w:hint="eastAsia"/>
                <w:b/>
                <w:color w:val="000000" w:themeColor="text1"/>
                <w:szCs w:val="18"/>
                <w14:textFill>
                  <w14:solidFill>
                    <w14:schemeClr w14:val="tx1"/>
                  </w14:solidFill>
                </w14:textFill>
              </w:rPr>
              <w:t xml:space="preserve"> </w:t>
            </w:r>
            <w:r>
              <w:rPr>
                <w:rFonts w:hint="eastAsia"/>
                <w:b/>
                <w:color w:val="000000" w:themeColor="text1"/>
                <w:szCs w:val="21"/>
                <w14:textFill>
                  <w14:solidFill>
                    <w14:schemeClr w14:val="tx1"/>
                  </w14:solidFill>
                </w14:textFill>
              </w:rPr>
              <w:t>生态环境准入清单</w:t>
            </w:r>
          </w:p>
          <w:tbl>
            <w:tblPr>
              <w:tblStyle w:val="21"/>
              <w:tblW w:w="687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5"/>
              <w:gridCol w:w="573"/>
              <w:gridCol w:w="3141"/>
              <w:gridCol w:w="1507"/>
              <w:gridCol w:w="9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59" w:hRule="atLeast"/>
                <w:jc w:val="center"/>
              </w:trPr>
              <w:tc>
                <w:tcPr>
                  <w:tcW w:w="755" w:type="dxa"/>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管控单元分类</w:t>
                  </w:r>
                </w:p>
              </w:tc>
              <w:tc>
                <w:tcPr>
                  <w:tcW w:w="3714" w:type="dxa"/>
                  <w:gridSpan w:val="2"/>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准入清单要求</w:t>
                  </w:r>
                </w:p>
              </w:tc>
              <w:tc>
                <w:tcPr>
                  <w:tcW w:w="1507" w:type="dxa"/>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本项目情况</w:t>
                  </w:r>
                </w:p>
              </w:tc>
              <w:tc>
                <w:tcPr>
                  <w:tcW w:w="902" w:type="dxa"/>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45" w:hRule="atLeast"/>
                <w:jc w:val="center"/>
              </w:trPr>
              <w:tc>
                <w:tcPr>
                  <w:tcW w:w="755" w:type="dxa"/>
                  <w:vMerge w:val="restart"/>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重点管控单元</w:t>
                  </w:r>
                </w:p>
              </w:tc>
              <w:tc>
                <w:tcPr>
                  <w:tcW w:w="573" w:type="dxa"/>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空间布局约束</w:t>
                  </w:r>
                </w:p>
              </w:tc>
              <w:tc>
                <w:tcPr>
                  <w:tcW w:w="3141" w:type="dxa"/>
                  <w:tcBorders>
                    <w:tl2br w:val="nil"/>
                    <w:tr2bl w:val="nil"/>
                  </w:tcBorders>
                  <w:noWrap w:val="0"/>
                  <w:vAlign w:val="center"/>
                </w:tcPr>
                <w:p>
                  <w:pPr>
                    <w:pStyle w:val="53"/>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严格执行国家相关法律法规以及《关于深入打好污染防治攻坚战的意见》《关于加强高耗能、高排放建设项目生态环境源头防控的指导意见》《甘肃省大气污染防治条例》《甘肃省土壤污染防治条例》《甘肃省水污染防治条例》等要求。</w:t>
                  </w:r>
                </w:p>
              </w:tc>
              <w:tc>
                <w:tcPr>
                  <w:tcW w:w="1507" w:type="dxa"/>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本项目不属于两高项目，不会对污染土壤，符合要求</w:t>
                  </w:r>
                </w:p>
              </w:tc>
              <w:tc>
                <w:tcPr>
                  <w:tcW w:w="902" w:type="dxa"/>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55" w:type="dxa"/>
                  <w:vMerge w:val="continue"/>
                  <w:tcBorders>
                    <w:tl2br w:val="nil"/>
                    <w:tr2bl w:val="nil"/>
                  </w:tcBorders>
                  <w:noWrap w:val="0"/>
                  <w:vAlign w:val="center"/>
                </w:tcPr>
                <w:p>
                  <w:pPr>
                    <w:pStyle w:val="53"/>
                    <w:rPr>
                      <w:rFonts w:ascii="Times New Roman" w:hAnsi="Times New Roman" w:cs="Times New Roman"/>
                      <w:color w:val="000000" w:themeColor="text1"/>
                      <w:sz w:val="21"/>
                      <w:szCs w:val="21"/>
                      <w:lang w:val="en-US"/>
                      <w14:textFill>
                        <w14:solidFill>
                          <w14:schemeClr w14:val="tx1"/>
                        </w14:solidFill>
                      </w14:textFill>
                    </w:rPr>
                  </w:pPr>
                </w:p>
              </w:tc>
              <w:tc>
                <w:tcPr>
                  <w:tcW w:w="573" w:type="dxa"/>
                  <w:vMerge w:val="restart"/>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污染物排放管控</w:t>
                  </w:r>
                </w:p>
              </w:tc>
              <w:tc>
                <w:tcPr>
                  <w:tcW w:w="3141" w:type="dxa"/>
                  <w:tcBorders>
                    <w:tl2br w:val="nil"/>
                    <w:tr2bl w:val="nil"/>
                  </w:tcBorders>
                  <w:noWrap w:val="0"/>
                  <w:vAlign w:val="center"/>
                </w:tcPr>
                <w:p>
                  <w:pPr>
                    <w:pStyle w:val="53"/>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严格执行《关于加强高耗能、高排放建设项目生态环境源头防控的指导意见》（环环评〔2021〕45 号）的有关要求。</w:t>
                  </w:r>
                </w:p>
              </w:tc>
              <w:tc>
                <w:tcPr>
                  <w:tcW w:w="1507" w:type="dxa"/>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本项目不属于两高项目</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55" w:type="dxa"/>
                  <w:vMerge w:val="continue"/>
                  <w:tcBorders>
                    <w:tl2br w:val="nil"/>
                    <w:tr2bl w:val="nil"/>
                  </w:tcBorders>
                  <w:noWrap w:val="0"/>
                  <w:vAlign w:val="center"/>
                </w:tcPr>
                <w:p>
                  <w:pPr>
                    <w:pStyle w:val="53"/>
                    <w:rPr>
                      <w:rFonts w:ascii="Times New Roman" w:hAnsi="Times New Roman" w:cs="Times New Roman"/>
                      <w:color w:val="000000" w:themeColor="text1"/>
                      <w:sz w:val="21"/>
                      <w:szCs w:val="21"/>
                      <w:lang w:val="en-US"/>
                      <w14:textFill>
                        <w14:solidFill>
                          <w14:schemeClr w14:val="tx1"/>
                        </w14:solidFill>
                      </w14:textFill>
                    </w:rPr>
                  </w:pPr>
                </w:p>
              </w:tc>
              <w:tc>
                <w:tcPr>
                  <w:tcW w:w="573" w:type="dxa"/>
                  <w:vMerge w:val="continue"/>
                  <w:tcBorders>
                    <w:tl2br w:val="nil"/>
                    <w:tr2bl w:val="nil"/>
                  </w:tcBorders>
                  <w:noWrap w:val="0"/>
                  <w:vAlign w:val="center"/>
                </w:tcPr>
                <w:p>
                  <w:pPr>
                    <w:pStyle w:val="53"/>
                    <w:rPr>
                      <w:rFonts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pPr>
                    <w:pStyle w:val="53"/>
                    <w:jc w:val="cente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控制温室气体排放</w:t>
                  </w:r>
                </w:p>
              </w:tc>
              <w:tc>
                <w:tcPr>
                  <w:tcW w:w="1507" w:type="dxa"/>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本项目不产生和排放二氧化碳气体，符合要求</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755" w:type="dxa"/>
                  <w:vMerge w:val="continue"/>
                  <w:tcBorders>
                    <w:tl2br w:val="nil"/>
                    <w:tr2bl w:val="nil"/>
                  </w:tcBorders>
                  <w:noWrap w:val="0"/>
                  <w:vAlign w:val="center"/>
                </w:tcPr>
                <w:p>
                  <w:pPr>
                    <w:pStyle w:val="53"/>
                    <w:rPr>
                      <w:rFonts w:ascii="Times New Roman" w:hAnsi="Times New Roman" w:cs="Times New Roman"/>
                      <w:color w:val="000000" w:themeColor="text1"/>
                      <w:sz w:val="21"/>
                      <w:szCs w:val="21"/>
                      <w:lang w:val="en-US"/>
                      <w14:textFill>
                        <w14:solidFill>
                          <w14:schemeClr w14:val="tx1"/>
                        </w14:solidFill>
                      </w14:textFill>
                    </w:rPr>
                  </w:pPr>
                </w:p>
              </w:tc>
              <w:tc>
                <w:tcPr>
                  <w:tcW w:w="573" w:type="dxa"/>
                  <w:vMerge w:val="continue"/>
                  <w:tcBorders>
                    <w:tl2br w:val="nil"/>
                    <w:tr2bl w:val="nil"/>
                  </w:tcBorders>
                  <w:noWrap w:val="0"/>
                  <w:vAlign w:val="center"/>
                </w:tcPr>
                <w:p>
                  <w:pPr>
                    <w:pStyle w:val="53"/>
                    <w:rPr>
                      <w:rFonts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pPr>
                    <w:pStyle w:val="53"/>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推进工业水污染防治，严格做好化工等高耗水、高污染项目管控。</w:t>
                  </w:r>
                </w:p>
              </w:tc>
              <w:tc>
                <w:tcPr>
                  <w:tcW w:w="1507" w:type="dxa"/>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项目运营期无废水产生和排放</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755" w:type="dxa"/>
                  <w:vMerge w:val="continue"/>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73" w:type="dxa"/>
                  <w:vMerge w:val="continue"/>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pPr>
                    <w:pStyle w:val="53"/>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执行《中华人民共和国土壤污染防治法》《地下水污染防治实施方案》《甘肃省土壤污染防治条例》等有关污染物排放相关规定。</w:t>
                  </w:r>
                </w:p>
              </w:tc>
              <w:tc>
                <w:tcPr>
                  <w:tcW w:w="1507" w:type="dxa"/>
                  <w:tcBorders>
                    <w:tl2br w:val="nil"/>
                    <w:tr2bl w:val="nil"/>
                  </w:tcBorders>
                  <w:noWrap w:val="0"/>
                  <w:vAlign w:val="center"/>
                </w:tcPr>
                <w:p>
                  <w:pPr>
                    <w:pStyle w:val="53"/>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不涉及</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755" w:type="dxa"/>
                  <w:vMerge w:val="continue"/>
                  <w:tcBorders>
                    <w:tl2br w:val="nil"/>
                    <w:tr2bl w:val="nil"/>
                  </w:tcBorders>
                  <w:noWrap w:val="0"/>
                  <w:vAlign w:val="center"/>
                </w:tcPr>
                <w:p>
                  <w:pPr>
                    <w:pStyle w:val="53"/>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vMerge w:val="continue"/>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pPr>
                    <w:pStyle w:val="53"/>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加大对煤矿开采和能源开发企业的废水排放管控力度。</w:t>
                  </w:r>
                </w:p>
              </w:tc>
              <w:tc>
                <w:tcPr>
                  <w:tcW w:w="1507" w:type="dxa"/>
                  <w:tcBorders>
                    <w:tl2br w:val="nil"/>
                    <w:tr2bl w:val="nil"/>
                  </w:tcBorders>
                  <w:noWrap w:val="0"/>
                  <w:vAlign w:val="center"/>
                </w:tcPr>
                <w:p>
                  <w:pPr>
                    <w:pStyle w:val="53"/>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不涉及</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755" w:type="dxa"/>
                  <w:vMerge w:val="continue"/>
                  <w:tcBorders>
                    <w:tl2br w:val="nil"/>
                    <w:tr2bl w:val="nil"/>
                  </w:tcBorders>
                  <w:noWrap w:val="0"/>
                  <w:vAlign w:val="center"/>
                </w:tcPr>
                <w:p>
                  <w:pPr>
                    <w:pStyle w:val="53"/>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vMerge w:val="continue"/>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pPr>
                    <w:pStyle w:val="53"/>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新建、改建和扩建现代煤化工生产建设项目应严格执行《现代煤化工建设项目环境准入条件（试行）》中污染防治要求。</w:t>
                  </w:r>
                </w:p>
              </w:tc>
              <w:tc>
                <w:tcPr>
                  <w:tcW w:w="1507" w:type="dxa"/>
                  <w:tcBorders>
                    <w:tl2br w:val="nil"/>
                    <w:tr2bl w:val="nil"/>
                  </w:tcBorders>
                  <w:noWrap w:val="0"/>
                  <w:vAlign w:val="center"/>
                </w:tcPr>
                <w:p>
                  <w:pPr>
                    <w:pStyle w:val="53"/>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不涉及</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98" w:hRule="atLeast"/>
                <w:jc w:val="center"/>
              </w:trPr>
              <w:tc>
                <w:tcPr>
                  <w:tcW w:w="755" w:type="dxa"/>
                  <w:vMerge w:val="continue"/>
                  <w:tcBorders>
                    <w:tl2br w:val="nil"/>
                    <w:tr2bl w:val="nil"/>
                  </w:tcBorders>
                  <w:noWrap w:val="0"/>
                  <w:vAlign w:val="center"/>
                </w:tcPr>
                <w:p>
                  <w:pPr>
                    <w:pStyle w:val="53"/>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vMerge w:val="restart"/>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环境风险防控</w:t>
                  </w:r>
                </w:p>
              </w:tc>
              <w:tc>
                <w:tcPr>
                  <w:tcW w:w="3141" w:type="dxa"/>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企业应按照《环境保护法》《突发环境事件应急管理办法》等要求开展突发环境事件风险评估；完善突发环境事件风险防控措施；排查治理环境安全隐患；制定突发环境事件应急预案并备案、演练；加强环境应急能力保障建设。发生或者可能发生突发环境事件时，企业事业单位应当依法进行处理，并对所造成的损害承担责任。</w:t>
                  </w:r>
                </w:p>
              </w:tc>
              <w:tc>
                <w:tcPr>
                  <w:tcW w:w="1507" w:type="dxa"/>
                  <w:tcBorders>
                    <w:tl2br w:val="nil"/>
                    <w:tr2bl w:val="nil"/>
                  </w:tcBorders>
                  <w:noWrap w:val="0"/>
                  <w:vAlign w:val="center"/>
                </w:tcPr>
                <w:p>
                  <w:pPr>
                    <w:pStyle w:val="53"/>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不涉及</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755" w:type="dxa"/>
                  <w:vMerge w:val="continue"/>
                  <w:tcBorders>
                    <w:tl2br w:val="nil"/>
                    <w:tr2bl w:val="nil"/>
                  </w:tcBorders>
                  <w:noWrap w:val="0"/>
                  <w:vAlign w:val="center"/>
                </w:tcPr>
                <w:p>
                  <w:pPr>
                    <w:pStyle w:val="53"/>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vMerge w:val="continue"/>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企业应完善包括有效防止泄漏物质、消防水、污染雨水等扩散至外环境的收集、导流、拦截、降污等突发环境事件风险防控措施。</w:t>
                  </w:r>
                </w:p>
              </w:tc>
              <w:tc>
                <w:tcPr>
                  <w:tcW w:w="1507" w:type="dxa"/>
                  <w:tcBorders>
                    <w:tl2br w:val="nil"/>
                    <w:tr2bl w:val="nil"/>
                  </w:tcBorders>
                  <w:noWrap w:val="0"/>
                  <w:vAlign w:val="center"/>
                </w:tcPr>
                <w:p>
                  <w:pPr>
                    <w:pStyle w:val="53"/>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不涉及</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755" w:type="dxa"/>
                  <w:vMerge w:val="continue"/>
                  <w:tcBorders>
                    <w:tl2br w:val="nil"/>
                    <w:tr2bl w:val="nil"/>
                  </w:tcBorders>
                  <w:noWrap w:val="0"/>
                  <w:vAlign w:val="center"/>
                </w:tcPr>
                <w:p>
                  <w:pPr>
                    <w:pStyle w:val="53"/>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vMerge w:val="continue"/>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p>
              </w:tc>
              <w:tc>
                <w:tcPr>
                  <w:tcW w:w="3141" w:type="dxa"/>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企业要加强内部管理，将土壤污染防治纳入环境风险防控体系，严格依法依规建设和运营污染治理设施，确保重点污染物稳定达标排放。</w:t>
                  </w:r>
                </w:p>
              </w:tc>
              <w:tc>
                <w:tcPr>
                  <w:tcW w:w="1507" w:type="dxa"/>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项目施工期严格管理，运营期无三废产生与排放</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14" w:hRule="atLeast"/>
                <w:jc w:val="center"/>
              </w:trPr>
              <w:tc>
                <w:tcPr>
                  <w:tcW w:w="755" w:type="dxa"/>
                  <w:vMerge w:val="continue"/>
                  <w:tcBorders>
                    <w:tl2br w:val="nil"/>
                    <w:tr2bl w:val="nil"/>
                  </w:tcBorders>
                  <w:noWrap w:val="0"/>
                  <w:vAlign w:val="center"/>
                </w:tcPr>
                <w:p>
                  <w:pPr>
                    <w:pStyle w:val="53"/>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资源利用率要求</w:t>
                  </w:r>
                </w:p>
              </w:tc>
              <w:tc>
                <w:tcPr>
                  <w:tcW w:w="3141" w:type="dxa"/>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全市用水总量等水资源利用指标完成省上下达的目标。实行水资源消耗总量和强度双控。着力提高工业用水循环利用率，促进水资源可持续利用</w:t>
                  </w:r>
                </w:p>
              </w:tc>
              <w:tc>
                <w:tcPr>
                  <w:tcW w:w="1507" w:type="dxa"/>
                  <w:tcBorders>
                    <w:tl2br w:val="nil"/>
                    <w:tr2bl w:val="nil"/>
                  </w:tcBorders>
                  <w:noWrap w:val="0"/>
                  <w:vAlign w:val="center"/>
                </w:tcPr>
                <w:p>
                  <w:pPr>
                    <w:pStyle w:val="53"/>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本项目运营期不涉及</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755" w:type="dxa"/>
                  <w:vMerge w:val="restart"/>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一般管控单元</w:t>
                  </w:r>
                </w:p>
              </w:tc>
              <w:tc>
                <w:tcPr>
                  <w:tcW w:w="573" w:type="dxa"/>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空间布局约束</w:t>
                  </w:r>
                </w:p>
              </w:tc>
              <w:tc>
                <w:tcPr>
                  <w:tcW w:w="3141" w:type="dxa"/>
                  <w:tcBorders>
                    <w:tl2br w:val="nil"/>
                    <w:tr2bl w:val="nil"/>
                  </w:tcBorders>
                  <w:noWrap w:val="0"/>
                  <w:vAlign w:val="center"/>
                </w:tcPr>
                <w:p>
                  <w:pPr>
                    <w:pStyle w:val="53"/>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大力发展生态环保产业。严格执行畜禽养殖禁养区规定，根据区域用地和消纳水平，合理确定养殖规模。加强永久基本农田保护，严格限制非农项目占用耕地。</w:t>
                  </w:r>
                </w:p>
              </w:tc>
              <w:tc>
                <w:tcPr>
                  <w:tcW w:w="1507" w:type="dxa"/>
                  <w:tcBorders>
                    <w:tl2br w:val="nil"/>
                    <w:tr2bl w:val="nil"/>
                  </w:tcBorders>
                  <w:noWrap w:val="0"/>
                  <w:vAlign w:val="center"/>
                </w:tcPr>
                <w:p>
                  <w:pPr>
                    <w:pStyle w:val="53"/>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本项目为河道治理工程，不占用农用地</w:t>
                  </w:r>
                </w:p>
              </w:tc>
              <w:tc>
                <w:tcPr>
                  <w:tcW w:w="902" w:type="dxa"/>
                  <w:tcBorders>
                    <w:tl2br w:val="nil"/>
                    <w:tr2bl w:val="nil"/>
                  </w:tcBorders>
                  <w:noWrap w:val="0"/>
                  <w:vAlign w:val="center"/>
                </w:tcPr>
                <w:p>
                  <w:pPr>
                    <w:pStyle w:val="53"/>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30" w:hRule="atLeast"/>
                <w:jc w:val="center"/>
              </w:trPr>
              <w:tc>
                <w:tcPr>
                  <w:tcW w:w="755" w:type="dxa"/>
                  <w:vMerge w:val="continue"/>
                  <w:tcBorders>
                    <w:tl2br w:val="nil"/>
                    <w:tr2bl w:val="nil"/>
                  </w:tcBorders>
                  <w:noWrap w:val="0"/>
                  <w:vAlign w:val="center"/>
                </w:tcPr>
                <w:p>
                  <w:pPr>
                    <w:pStyle w:val="53"/>
                    <w:rPr>
                      <w:rFonts w:ascii="Times New Roman" w:hAnsi="Times New Roman" w:cs="Times New Roman"/>
                      <w:color w:val="000000" w:themeColor="text1"/>
                      <w:sz w:val="21"/>
                      <w:szCs w:val="21"/>
                      <w:lang w:val="en-US"/>
                      <w14:textFill>
                        <w14:solidFill>
                          <w14:schemeClr w14:val="tx1"/>
                        </w14:solidFill>
                      </w14:textFill>
                    </w:rPr>
                  </w:pPr>
                </w:p>
              </w:tc>
              <w:tc>
                <w:tcPr>
                  <w:tcW w:w="573" w:type="dxa"/>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污染物排放管控</w:t>
                  </w:r>
                </w:p>
              </w:tc>
              <w:tc>
                <w:tcPr>
                  <w:tcW w:w="3141" w:type="dxa"/>
                  <w:tcBorders>
                    <w:tl2br w:val="nil"/>
                    <w:tr2bl w:val="nil"/>
                  </w:tcBorders>
                  <w:noWrap w:val="0"/>
                  <w:vAlign w:val="center"/>
                </w:tcPr>
                <w:p>
                  <w:pPr>
                    <w:pStyle w:val="53"/>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落实污染物总量控制制度，根据区域环境质量改善目标，削减污染物排放总量。加强农业面源污染治理，严格控制化肥农药施加量，一般管合理水产养殖布局，控制水产养殖污染，逐步削减农业面源污染物排放量。</w:t>
                  </w:r>
                </w:p>
              </w:tc>
              <w:tc>
                <w:tcPr>
                  <w:tcW w:w="1507" w:type="dxa"/>
                  <w:tcBorders>
                    <w:tl2br w:val="nil"/>
                    <w:tr2bl w:val="nil"/>
                  </w:tcBorders>
                  <w:noWrap w:val="0"/>
                  <w:vAlign w:val="center"/>
                </w:tcPr>
                <w:p>
                  <w:pPr>
                    <w:pStyle w:val="53"/>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本项目不涉及农业、水产养殖，项目建成后不存在污染物产生和排放</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755" w:type="dxa"/>
                  <w:vMerge w:val="continue"/>
                  <w:tcBorders>
                    <w:tl2br w:val="nil"/>
                    <w:tr2bl w:val="nil"/>
                  </w:tcBorders>
                  <w:noWrap w:val="0"/>
                  <w:vAlign w:val="center"/>
                </w:tcPr>
                <w:p>
                  <w:pPr>
                    <w:pStyle w:val="53"/>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环境风险防控</w:t>
                  </w:r>
                </w:p>
              </w:tc>
              <w:tc>
                <w:tcPr>
                  <w:tcW w:w="3141" w:type="dxa"/>
                  <w:tcBorders>
                    <w:tl2br w:val="nil"/>
                    <w:tr2bl w:val="nil"/>
                  </w:tcBorders>
                  <w:noWrap w:val="0"/>
                  <w:vAlign w:val="center"/>
                </w:tcPr>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加强生态公益林保护与建设，防止水土流失。禁止向农用地排放重金属或者其他有毒有害物质含量超标的污水、污泥，以及可能造成土壤污染的清淤底泥、尾矿、矿渣等。</w:t>
                  </w:r>
                </w:p>
                <w:p>
                  <w:pPr>
                    <w:pStyle w:val="53"/>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507" w:type="dxa"/>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本项目建成后无污染物产生和排放，不会造成土壤污染</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7" w:hRule="atLeast"/>
                <w:jc w:val="center"/>
              </w:trPr>
              <w:tc>
                <w:tcPr>
                  <w:tcW w:w="755" w:type="dxa"/>
                  <w:vMerge w:val="continue"/>
                  <w:tcBorders>
                    <w:tl2br w:val="nil"/>
                    <w:tr2bl w:val="nil"/>
                  </w:tcBorders>
                  <w:noWrap w:val="0"/>
                  <w:vAlign w:val="center"/>
                </w:tcPr>
                <w:p>
                  <w:pPr>
                    <w:pStyle w:val="53"/>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73" w:type="dxa"/>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资源利用率要求</w:t>
                  </w:r>
                </w:p>
              </w:tc>
              <w:tc>
                <w:tcPr>
                  <w:tcW w:w="3141" w:type="dxa"/>
                  <w:tcBorders>
                    <w:tl2br w:val="nil"/>
                    <w:tr2bl w:val="nil"/>
                  </w:tcBorders>
                  <w:noWrap w:val="0"/>
                  <w:vAlign w:val="center"/>
                </w:tcPr>
                <w:p>
                  <w:pPr>
                    <w:pStyle w:val="53"/>
                    <w:rPr>
                      <w:rFonts w:hint="eastAsia"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实行煤炭、水资源消耗总量和强度双控，优化能源结构，加强能源清洁利用。推进农业节水，提高农业用水效率。</w:t>
                  </w:r>
                </w:p>
              </w:tc>
              <w:tc>
                <w:tcPr>
                  <w:tcW w:w="1507" w:type="dxa"/>
                  <w:tcBorders>
                    <w:tl2br w:val="nil"/>
                    <w:tr2bl w:val="nil"/>
                  </w:tcBorders>
                  <w:noWrap w:val="0"/>
                  <w:vAlign w:val="center"/>
                </w:tcPr>
                <w:p>
                  <w:pPr>
                    <w:pStyle w:val="53"/>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不涉及</w:t>
                  </w:r>
                </w:p>
              </w:tc>
              <w:tc>
                <w:tcPr>
                  <w:tcW w:w="902" w:type="dxa"/>
                  <w:tcBorders>
                    <w:tl2br w:val="nil"/>
                    <w:tr2bl w:val="nil"/>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与环境相关政策符合性分析</w:t>
            </w:r>
          </w:p>
          <w:p>
            <w:pPr>
              <w:pStyle w:val="5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本项目与《深入打好污染防治攻坚战》、《黄河流域高质量发展规划》等的相关现行环境管理要求进行对比分析对比情况见表1-1。</w:t>
            </w:r>
          </w:p>
          <w:p>
            <w:pPr>
              <w:pStyle w:val="53"/>
              <w:keepNext w:val="0"/>
              <w:keepLines w:val="0"/>
              <w:pageBreakBefore w:val="0"/>
              <w:widowControl w:val="0"/>
              <w:kinsoku/>
              <w:wordWrap/>
              <w:overflowPunct/>
              <w:topLinePunct w:val="0"/>
              <w:autoSpaceDE/>
              <w:autoSpaceDN/>
              <w:bidi w:val="0"/>
              <w:adjustRightInd/>
              <w:snapToGrid/>
              <w:spacing w:line="360" w:lineRule="auto"/>
              <w:ind w:left="0" w:right="0" w:firstLine="422" w:firstLineChars="200"/>
              <w:jc w:val="center"/>
              <w:textAlignment w:val="auto"/>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b/>
                <w:bCs w:val="0"/>
                <w:color w:val="000000" w:themeColor="text1"/>
                <w:sz w:val="21"/>
                <w:szCs w:val="21"/>
                <w14:textFill>
                  <w14:solidFill>
                    <w14:schemeClr w14:val="tx1"/>
                  </w14:solidFill>
                </w14:textFill>
              </w:rPr>
              <w:t>表</w:t>
            </w:r>
            <w:r>
              <w:rPr>
                <w:b/>
                <w:bCs w:val="0"/>
                <w:color w:val="000000" w:themeColor="text1"/>
                <w:spacing w:val="-59"/>
                <w:sz w:val="21"/>
                <w:szCs w:val="21"/>
                <w14:textFill>
                  <w14:solidFill>
                    <w14:schemeClr w14:val="tx1"/>
                  </w14:solidFill>
                </w14:textFill>
              </w:rPr>
              <w:t xml:space="preserve"> </w:t>
            </w:r>
            <w:r>
              <w:rPr>
                <w:rFonts w:hint="eastAsia" w:ascii="Times New Roman" w:eastAsia="宋体"/>
                <w:b/>
                <w:bCs w:val="0"/>
                <w:color w:val="000000" w:themeColor="text1"/>
                <w:sz w:val="21"/>
                <w:szCs w:val="21"/>
                <w:lang w:val="en-US" w:eastAsia="zh-CN"/>
                <w14:textFill>
                  <w14:solidFill>
                    <w14:schemeClr w14:val="tx1"/>
                  </w14:solidFill>
                </w14:textFill>
              </w:rPr>
              <w:t>1-1</w:t>
            </w:r>
            <w:r>
              <w:rPr>
                <w:rFonts w:ascii="Times New Roman" w:eastAsia="Times New Roman"/>
                <w:b/>
                <w:bCs w:val="0"/>
                <w:color w:val="000000" w:themeColor="text1"/>
                <w:sz w:val="21"/>
                <w:szCs w:val="21"/>
                <w14:textFill>
                  <w14:solidFill>
                    <w14:schemeClr w14:val="tx1"/>
                  </w14:solidFill>
                </w14:textFill>
              </w:rPr>
              <w:tab/>
            </w:r>
            <w:r>
              <w:rPr>
                <w:b/>
                <w:bCs w:val="0"/>
                <w:color w:val="000000" w:themeColor="text1"/>
                <w:sz w:val="21"/>
                <w:szCs w:val="21"/>
                <w14:textFill>
                  <w14:solidFill>
                    <w14:schemeClr w14:val="tx1"/>
                  </w14:solidFill>
                </w14:textFill>
              </w:rPr>
              <w:t>本项目与环境管理政策符合性分析一览表</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747"/>
              <w:gridCol w:w="2411"/>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640" w:type="dxa"/>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r>
                    <w:rPr>
                      <w:rFonts w:hint="eastAsia" w:ascii="Times New Roman" w:hAnsi="Times New Roman" w:eastAsia="宋体" w:cs="Times New Roman"/>
                      <w:color w:val="FF0000"/>
                      <w:kern w:val="2"/>
                      <w:sz w:val="21"/>
                      <w:szCs w:val="21"/>
                      <w:vertAlign w:val="baseline"/>
                      <w:lang w:val="en-US" w:eastAsia="zh-CN" w:bidi="ar-SA"/>
                    </w:rPr>
                    <w:t>环境保护政策</w:t>
                  </w:r>
                </w:p>
              </w:tc>
              <w:tc>
                <w:tcPr>
                  <w:tcW w:w="2411"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r>
                    <w:rPr>
                      <w:rFonts w:hint="eastAsia" w:ascii="Times New Roman" w:hAnsi="Times New Roman" w:eastAsia="宋体" w:cs="Times New Roman"/>
                      <w:color w:val="FF0000"/>
                      <w:kern w:val="2"/>
                      <w:sz w:val="21"/>
                      <w:szCs w:val="21"/>
                      <w:vertAlign w:val="baseline"/>
                      <w:lang w:val="en-US" w:eastAsia="zh-CN" w:bidi="ar-SA"/>
                    </w:rPr>
                    <w:t>项目状况</w:t>
                  </w:r>
                </w:p>
              </w:tc>
              <w:tc>
                <w:tcPr>
                  <w:tcW w:w="794"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r>
                    <w:rPr>
                      <w:rFonts w:hint="eastAsia" w:ascii="Times New Roman" w:hAnsi="Times New Roman" w:eastAsia="宋体" w:cs="Times New Roman"/>
                      <w:color w:val="FF0000"/>
                      <w:kern w:val="2"/>
                      <w:sz w:val="21"/>
                      <w:szCs w:val="21"/>
                      <w:vertAlign w:val="baseline"/>
                      <w:lang w:val="en-US" w:eastAsia="zh-CN" w:bidi="ar-SA"/>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r>
                    <w:rPr>
                      <w:rFonts w:hint="eastAsia" w:ascii="Times New Roman" w:hAnsi="Times New Roman" w:eastAsia="宋体" w:cs="Times New Roman"/>
                      <w:color w:val="FF0000"/>
                      <w:kern w:val="2"/>
                      <w:sz w:val="21"/>
                      <w:szCs w:val="21"/>
                      <w:vertAlign w:val="baseline"/>
                      <w:lang w:val="en-US" w:eastAsia="zh-CN" w:bidi="ar-SA"/>
                    </w:rPr>
                    <w:t>名称</w:t>
                  </w:r>
                </w:p>
              </w:tc>
              <w:tc>
                <w:tcPr>
                  <w:tcW w:w="274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r>
                    <w:rPr>
                      <w:rFonts w:hint="eastAsia" w:ascii="Times New Roman" w:hAnsi="Times New Roman" w:eastAsia="宋体" w:cs="Times New Roman"/>
                      <w:color w:val="FF0000"/>
                      <w:kern w:val="2"/>
                      <w:sz w:val="21"/>
                      <w:szCs w:val="21"/>
                      <w:vertAlign w:val="baseline"/>
                      <w:lang w:val="en-US" w:eastAsia="zh-CN" w:bidi="ar-SA"/>
                    </w:rPr>
                    <w:t>环境管理要求</w:t>
                  </w:r>
                </w:p>
              </w:tc>
              <w:tc>
                <w:tcPr>
                  <w:tcW w:w="2411"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p>
              </w:tc>
              <w:tc>
                <w:tcPr>
                  <w:tcW w:w="794"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9" w:hRule="atLeast"/>
                <w:jc w:val="center"/>
              </w:trPr>
              <w:tc>
                <w:tcPr>
                  <w:tcW w:w="893"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r>
                    <w:rPr>
                      <w:rFonts w:hint="eastAsia" w:ascii="Times New Roman" w:hAnsi="Times New Roman" w:eastAsia="宋体" w:cs="Times New Roman"/>
                      <w:color w:val="FF0000"/>
                      <w:kern w:val="2"/>
                      <w:sz w:val="21"/>
                      <w:szCs w:val="21"/>
                      <w:vertAlign w:val="baseline"/>
                      <w:lang w:val="en-US" w:eastAsia="zh-CN" w:bidi="ar-SA"/>
                    </w:rPr>
                    <w:t>《深入打好污染防治攻坚战》</w:t>
                  </w:r>
                </w:p>
              </w:tc>
              <w:tc>
                <w:tcPr>
                  <w:tcW w:w="274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r>
                    <w:rPr>
                      <w:rFonts w:hint="eastAsia" w:ascii="Times New Roman" w:hAnsi="Times New Roman" w:eastAsia="宋体" w:cs="Times New Roman"/>
                      <w:color w:val="FF0000"/>
                      <w:kern w:val="2"/>
                      <w:sz w:val="21"/>
                      <w:szCs w:val="21"/>
                      <w:lang w:val="en-US" w:eastAsia="zh-CN" w:bidi="ar-SA"/>
                    </w:rPr>
                    <w:t>统筹好上下游、左右岸、干支流、城市和乡村，系统推进城市黑臭水体治理。加强农业农村和工业企业污染防治，有效控制入河污染物排放。强化溯源整治，杜绝污水直接排入雨水管网。推进城镇污水管网全覆盖，对进水情况出现明显异常的污水处理厂，开展片区管网系统化整治。因地制宜开展水体内源污染治理和生态修复，增强河湖自净功能。充分发挥河长制、湖长制作用，巩固城市黑臭水体治理成效，建立防止返黑返臭的长效机制。</w:t>
                  </w:r>
                </w:p>
              </w:tc>
              <w:tc>
                <w:tcPr>
                  <w:tcW w:w="241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r>
                    <w:rPr>
                      <w:rFonts w:hint="eastAsia" w:ascii="Times New Roman" w:hAnsi="Times New Roman" w:cs="Times New Roman"/>
                      <w:color w:val="FF0000"/>
                      <w:kern w:val="2"/>
                      <w:sz w:val="21"/>
                      <w:szCs w:val="21"/>
                      <w:vertAlign w:val="baseline"/>
                      <w:lang w:val="en-US" w:eastAsia="zh-CN" w:bidi="ar-SA"/>
                    </w:rPr>
                    <w:t>本项目为河道治理工程，项目实施后，优化了河道生态环境</w:t>
                  </w:r>
                </w:p>
              </w:tc>
              <w:tc>
                <w:tcPr>
                  <w:tcW w:w="794"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r>
                    <w:rPr>
                      <w:rFonts w:hint="eastAsia" w:ascii="Times New Roman" w:hAnsi="Times New Roman" w:eastAsia="宋体" w:cs="Times New Roman"/>
                      <w:color w:val="FF0000"/>
                      <w:kern w:val="2"/>
                      <w:sz w:val="21"/>
                      <w:szCs w:val="21"/>
                      <w:vertAlign w:val="baseli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93"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p>
              </w:tc>
              <w:tc>
                <w:tcPr>
                  <w:tcW w:w="274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强化施工、道路、堆场、裸露地面等扬尘管控，加强城市保洁和清扫。</w:t>
                  </w:r>
                </w:p>
              </w:tc>
              <w:tc>
                <w:tcPr>
                  <w:tcW w:w="241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cs="Times New Roman"/>
                      <w:color w:val="FF0000"/>
                      <w:kern w:val="2"/>
                      <w:sz w:val="21"/>
                      <w:szCs w:val="21"/>
                      <w:vertAlign w:val="baseline"/>
                      <w:lang w:val="en-US" w:eastAsia="zh-CN" w:bidi="ar-SA"/>
                    </w:rPr>
                  </w:pPr>
                  <w:r>
                    <w:rPr>
                      <w:rFonts w:hint="eastAsia" w:ascii="Times New Roman" w:hAnsi="Times New Roman" w:cs="Times New Roman"/>
                      <w:color w:val="FF0000"/>
                      <w:kern w:val="2"/>
                      <w:sz w:val="21"/>
                      <w:szCs w:val="21"/>
                      <w:vertAlign w:val="baseline"/>
                      <w:lang w:val="en-US" w:eastAsia="zh-CN" w:bidi="ar-SA"/>
                    </w:rPr>
                    <w:t>本项目为河道治理项目，责任主体为宁县水利建设管理站，在施工过程中对施工方严格要求，对物料堆场及时进行苫盖等措施，以减少扬尘对大气的影响</w:t>
                  </w:r>
                </w:p>
              </w:tc>
              <w:tc>
                <w:tcPr>
                  <w:tcW w:w="794"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r>
                    <w:rPr>
                      <w:rFonts w:hint="eastAsia" w:ascii="Times New Roman" w:hAnsi="Times New Roman" w:eastAsia="宋体" w:cs="Times New Roman"/>
                      <w:color w:val="FF0000"/>
                      <w:kern w:val="2"/>
                      <w:sz w:val="21"/>
                      <w:szCs w:val="21"/>
                      <w:vertAlign w:val="baseline"/>
                      <w:lang w:val="en-US" w:eastAsia="zh-CN" w:bidi="ar-SA"/>
                    </w:rPr>
                    <w:t>《黄河流域高质量发展规划》</w:t>
                  </w:r>
                </w:p>
              </w:tc>
              <w:tc>
                <w:tcPr>
                  <w:tcW w:w="274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合理划分滩区类型，因滩施策、综合治理下游滩区，统筹做好高滩区防洪安全和土地利用。实施好滩区居民迁建工程，积极引导社会资本参与滩区居民迁建。加强滩区水源和优质土地保护修复，依法合理利用滩区土地资源，实施滩区国土空间差别化用途管制，严格限制自发修建生产堤等无序活动，依法打击非法采土、盗挖河砂、私搭乱建等行为。</w:t>
                  </w:r>
                </w:p>
              </w:tc>
              <w:tc>
                <w:tcPr>
                  <w:tcW w:w="241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本项目为河道整治项目</w:t>
                  </w:r>
                  <w:r>
                    <w:rPr>
                      <w:rFonts w:hint="eastAsia" w:ascii="Times New Roman" w:hAnsi="Times New Roman" w:cs="Times New Roman"/>
                      <w:color w:val="FF0000"/>
                      <w:kern w:val="2"/>
                      <w:sz w:val="21"/>
                      <w:szCs w:val="21"/>
                      <w:lang w:val="en-US" w:eastAsia="zh-CN" w:bidi="ar-SA"/>
                    </w:rPr>
                    <w:t>，本项目实施后，可以有效限制区域采砂活动，私搭乱建等行为</w:t>
                  </w:r>
                </w:p>
              </w:tc>
              <w:tc>
                <w:tcPr>
                  <w:tcW w:w="794"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FF0000"/>
                      <w:kern w:val="2"/>
                      <w:sz w:val="21"/>
                      <w:szCs w:val="21"/>
                      <w:vertAlign w:val="baseline"/>
                      <w:lang w:val="en-US" w:eastAsia="zh-CN" w:bidi="ar-SA"/>
                    </w:rPr>
                  </w:pPr>
                  <w:r>
                    <w:rPr>
                      <w:rFonts w:hint="eastAsia" w:ascii="Times New Roman" w:hAnsi="Times New Roman" w:eastAsia="宋体" w:cs="Times New Roman"/>
                      <w:color w:val="FF0000"/>
                      <w:kern w:val="2"/>
                      <w:sz w:val="21"/>
                      <w:szCs w:val="21"/>
                      <w:vertAlign w:val="baseline"/>
                      <w:lang w:val="en-US" w:eastAsia="zh-CN" w:bidi="ar-SA"/>
                    </w:rPr>
                    <w:t>符合</w:t>
                  </w:r>
                </w:p>
              </w:tc>
            </w:tr>
          </w:tbl>
          <w:p>
            <w:pPr>
              <w:keepNext/>
              <w:keepLines/>
              <w:adjustRightInd w:val="0"/>
              <w:snapToGrid w:val="0"/>
              <w:spacing w:before="120" w:beforeLines="50" w:after="120" w:afterLines="50" w:line="360" w:lineRule="auto"/>
              <w:outlineLvl w:val="2"/>
              <w:rPr>
                <w:rFonts w:hint="default" w:ascii="Times New Roman" w:hAnsi="Times New Roman" w:cs="Times New Roman"/>
                <w:b/>
                <w:bCs/>
                <w:color w:val="000000" w:themeColor="text1"/>
                <w:sz w:val="28"/>
                <w:szCs w:val="28"/>
                <w:lang w:val="zh-CN"/>
                <w14:textFill>
                  <w14:solidFill>
                    <w14:schemeClr w14:val="tx1"/>
                  </w14:solidFill>
                </w14:textFill>
              </w:rPr>
            </w:pP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与环境功能区划相符性分析</w:t>
            </w:r>
          </w:p>
          <w:p>
            <w:pPr>
              <w:keepNext/>
              <w:adjustRightInd w:val="0"/>
              <w:snapToGrid w:val="0"/>
              <w:spacing w:line="360" w:lineRule="auto"/>
              <w:outlineLvl w:val="3"/>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与《甘肃省庆阳市生态市建设规划》（2009-2020）的符合性分析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根据《甘肃省庆阳市生态市建设规划》（2009-2020），庆阳市划分为4个生态功能区，“中部残塬沟壑综合生态经济发展区”划分为6个亚区，划分方案见表1-</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2</w:t>
            </w:r>
            <w:r>
              <w:rPr>
                <w:rFonts w:hint="eastAsia" w:cs="Times New Roman"/>
                <w:color w:val="000000" w:themeColor="text1"/>
                <w:kern w:val="0"/>
                <w:sz w:val="24"/>
                <w:szCs w:val="24"/>
                <w:lang w:val="en-US" w:eastAsia="zh-CN"/>
                <w14:textFill>
                  <w14:solidFill>
                    <w14:schemeClr w14:val="tx1"/>
                  </w14:solidFill>
                </w14:textFill>
              </w:rPr>
              <w:t>，具体见附图1。</w:t>
            </w:r>
          </w:p>
          <w:p>
            <w:pPr>
              <w:pStyle w:val="51"/>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表</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 xml:space="preserve">  庆阳市生态功能区划方案</w:t>
            </w:r>
          </w:p>
          <w:tbl>
            <w:tblPr>
              <w:tblStyle w:val="21"/>
              <w:tblW w:w="66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107"/>
              <w:gridCol w:w="857"/>
              <w:gridCol w:w="2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noWrap w:val="0"/>
                  <w:vAlign w:val="center"/>
                </w:tcPr>
                <w:p>
                  <w:pPr>
                    <w:spacing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一级区</w:t>
                  </w:r>
                </w:p>
              </w:tc>
              <w:tc>
                <w:tcPr>
                  <w:tcW w:w="2107" w:type="dxa"/>
                  <w:tcBorders>
                    <w:tl2br w:val="nil"/>
                    <w:tr2bl w:val="nil"/>
                  </w:tcBorders>
                  <w:noWrap w:val="0"/>
                  <w:vAlign w:val="center"/>
                </w:tcPr>
                <w:p>
                  <w:pPr>
                    <w:spacing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857" w:type="dxa"/>
                  <w:tcBorders>
                    <w:tl2br w:val="nil"/>
                    <w:tr2bl w:val="nil"/>
                  </w:tcBorders>
                  <w:noWrap w:val="0"/>
                  <w:vAlign w:val="center"/>
                </w:tcPr>
                <w:p>
                  <w:pPr>
                    <w:spacing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亚区</w:t>
                  </w:r>
                </w:p>
              </w:tc>
              <w:tc>
                <w:tcPr>
                  <w:tcW w:w="2811" w:type="dxa"/>
                  <w:tcBorders>
                    <w:tl2br w:val="nil"/>
                    <w:tr2bl w:val="nil"/>
                  </w:tcBorders>
                  <w:noWrap w:val="0"/>
                  <w:vAlign w:val="center"/>
                </w:tcPr>
                <w:p>
                  <w:pPr>
                    <w:spacing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Ⅰ</w:t>
                  </w:r>
                </w:p>
              </w:tc>
              <w:tc>
                <w:tcPr>
                  <w:tcW w:w="210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东部子午岭天然次生林水源涵养保护区</w:t>
                  </w:r>
                </w:p>
              </w:tc>
              <w:tc>
                <w:tcPr>
                  <w:tcW w:w="85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811"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restart"/>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w:t>
                  </w:r>
                </w:p>
              </w:tc>
              <w:tc>
                <w:tcPr>
                  <w:tcW w:w="2107" w:type="dxa"/>
                  <w:vMerge w:val="restart"/>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中部残塬沟壑</w:t>
                  </w:r>
                </w:p>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综合发展区</w:t>
                  </w:r>
                </w:p>
              </w:tc>
              <w:tc>
                <w:tcPr>
                  <w:tcW w:w="85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Ⅱ-1</w:t>
                  </w:r>
                </w:p>
              </w:tc>
              <w:tc>
                <w:tcPr>
                  <w:tcW w:w="2811"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中部林缘旱作农业</w:t>
                  </w:r>
                </w:p>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及林果产业发展亚区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0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Ⅱ-2</w:t>
                  </w:r>
                </w:p>
              </w:tc>
              <w:tc>
                <w:tcPr>
                  <w:tcW w:w="2811"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中南部生态工业集中</w:t>
                  </w:r>
                </w:p>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发展亚区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0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Ⅱ-3</w:t>
                  </w:r>
                </w:p>
              </w:tc>
              <w:tc>
                <w:tcPr>
                  <w:tcW w:w="2811"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重要水源地保护亚区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0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Ⅱ-4</w:t>
                  </w:r>
                </w:p>
              </w:tc>
              <w:tc>
                <w:tcPr>
                  <w:tcW w:w="2811"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中部残塬沟壑粮</w:t>
                  </w:r>
                </w:p>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食基地生产亚区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0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Ⅱ-5</w:t>
                  </w:r>
                </w:p>
              </w:tc>
              <w:tc>
                <w:tcPr>
                  <w:tcW w:w="2811"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环江沿线工矿型</w:t>
                  </w:r>
                </w:p>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能源化工产业发展亚区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0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Ⅱ-6</w:t>
                  </w:r>
                </w:p>
              </w:tc>
              <w:tc>
                <w:tcPr>
                  <w:tcW w:w="2811"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中西部丘陵沟壑农牧业与工矿型产业发展亚区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Ⅲ</w:t>
                  </w:r>
                </w:p>
              </w:tc>
              <w:tc>
                <w:tcPr>
                  <w:tcW w:w="210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北部丘陵沟壑生态恢复与治理区</w:t>
                  </w:r>
                </w:p>
              </w:tc>
              <w:tc>
                <w:tcPr>
                  <w:tcW w:w="85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811"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Ⅳ</w:t>
                  </w:r>
                </w:p>
              </w:tc>
              <w:tc>
                <w:tcPr>
                  <w:tcW w:w="210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西南部高原沟壑生态恢复区</w:t>
                  </w:r>
                </w:p>
              </w:tc>
              <w:tc>
                <w:tcPr>
                  <w:tcW w:w="857"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811" w:type="dxa"/>
                  <w:tcBorders>
                    <w:tl2br w:val="nil"/>
                    <w:tr2bl w:val="nil"/>
                  </w:tcBorders>
                  <w:noWrap w:val="0"/>
                  <w:vAlign w:val="center"/>
                </w:tcPr>
                <w:p>
                  <w:pPr>
                    <w:spacing w:line="24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24"/>
                <w:sz w:val="24"/>
                <w:szCs w:val="21"/>
                <w:lang w:val="en-US" w:eastAsia="zh-CN"/>
                <w14:textFill>
                  <w14:solidFill>
                    <w14:schemeClr w14:val="tx1"/>
                  </w14:solidFill>
                </w14:textFill>
              </w:rPr>
            </w:pPr>
            <w:r>
              <w:rPr>
                <w:rFonts w:hint="default" w:ascii="Times New Roman" w:hAnsi="Times New Roman" w:cs="Times New Roman"/>
                <w:color w:val="000000" w:themeColor="text1"/>
                <w:kern w:val="24"/>
                <w:sz w:val="24"/>
                <w:szCs w:val="21"/>
                <w:lang w:val="en-US" w:eastAsia="zh-CN"/>
                <w14:textFill>
                  <w14:solidFill>
                    <w14:schemeClr w14:val="tx1"/>
                  </w14:solidFill>
                </w14:textFill>
              </w:rPr>
              <w:t>根据庆阳市生态市建设规划，</w:t>
            </w:r>
            <w:r>
              <w:rPr>
                <w:rFonts w:hint="eastAsia" w:ascii="Times New Roman" w:hAnsi="Times New Roman" w:cs="Times New Roman"/>
                <w:color w:val="000000" w:themeColor="text1"/>
                <w:kern w:val="24"/>
                <w:sz w:val="24"/>
                <w:szCs w:val="21"/>
                <w:lang w:eastAsia="zh-CN"/>
                <w14:textFill>
                  <w14:solidFill>
                    <w14:schemeClr w14:val="tx1"/>
                  </w14:solidFill>
                </w14:textFill>
              </w:rPr>
              <w:t>本项目位于宁县</w:t>
            </w:r>
            <w:r>
              <w:rPr>
                <w:rFonts w:hint="eastAsia" w:cs="Times New Roman"/>
                <w:color w:val="000000" w:themeColor="text1"/>
                <w:kern w:val="24"/>
                <w:sz w:val="24"/>
                <w:szCs w:val="21"/>
                <w:lang w:eastAsia="zh-CN"/>
                <w14:textFill>
                  <w14:solidFill>
                    <w14:schemeClr w14:val="tx1"/>
                  </w14:solidFill>
                </w14:textFill>
              </w:rPr>
              <w:t>县城至湘乐</w:t>
            </w:r>
            <w:r>
              <w:rPr>
                <w:rFonts w:hint="eastAsia" w:ascii="Times New Roman" w:hAnsi="Times New Roman" w:cs="Times New Roman"/>
                <w:color w:val="000000" w:themeColor="text1"/>
                <w:kern w:val="24"/>
                <w:sz w:val="24"/>
                <w:szCs w:val="21"/>
                <w:lang w:eastAsia="zh-CN"/>
                <w14:textFill>
                  <w14:solidFill>
                    <w14:schemeClr w14:val="tx1"/>
                  </w14:solidFill>
                </w14:textFill>
              </w:rPr>
              <w:t>，所处生态环境功能区为Ⅱ</w:t>
            </w:r>
            <w:r>
              <w:rPr>
                <w:rFonts w:hint="eastAsia" w:ascii="Times New Roman" w:hAnsi="Times New Roman" w:cs="Times New Roman"/>
                <w:color w:val="000000" w:themeColor="text1"/>
                <w:kern w:val="24"/>
                <w:sz w:val="24"/>
                <w:szCs w:val="21"/>
                <w:lang w:val="en-US" w:eastAsia="zh-CN"/>
                <w14:textFill>
                  <w14:solidFill>
                    <w14:schemeClr w14:val="tx1"/>
                  </w14:solidFill>
                </w14:textFill>
              </w:rPr>
              <w:t>-2</w:t>
            </w:r>
            <w:r>
              <w:rPr>
                <w:rFonts w:hint="default" w:ascii="Times New Roman" w:hAnsi="Times New Roman" w:cs="Times New Roman"/>
                <w:color w:val="000000" w:themeColor="text1"/>
                <w:kern w:val="24"/>
                <w:sz w:val="24"/>
                <w:szCs w:val="21"/>
                <w14:textFill>
                  <w14:solidFill>
                    <w14:schemeClr w14:val="tx1"/>
                  </w14:solidFill>
                </w14:textFill>
              </w:rPr>
              <w:t>中南部生态工业集中发展亚区</w:t>
            </w:r>
            <w:r>
              <w:rPr>
                <w:rFonts w:hint="eastAsia" w:cs="Times New Roman"/>
                <w:color w:val="000000" w:themeColor="text1"/>
                <w:kern w:val="24"/>
                <w:sz w:val="24"/>
                <w:szCs w:val="21"/>
                <w:lang w:eastAsia="zh-CN"/>
                <w14:textFill>
                  <w14:solidFill>
                    <w14:schemeClr w14:val="tx1"/>
                  </w14:solidFill>
                </w14:textFill>
              </w:rPr>
              <w:t>，具体见附图</w:t>
            </w:r>
            <w:r>
              <w:rPr>
                <w:rFonts w:hint="eastAsia" w:cs="Times New Roman"/>
                <w:color w:val="000000" w:themeColor="text1"/>
                <w:kern w:val="24"/>
                <w:sz w:val="24"/>
                <w:szCs w:val="21"/>
                <w:lang w:val="en-US" w:eastAsia="zh-CN"/>
                <w14:textFill>
                  <w14:solidFill>
                    <w14:schemeClr w14:val="tx1"/>
                  </w14:solidFill>
                </w14:textFill>
              </w:rPr>
              <w:t>2</w:t>
            </w:r>
            <w:r>
              <w:rPr>
                <w:rFonts w:hint="eastAsia" w:ascii="Times New Roman" w:hAnsi="Times New Roman" w:cs="Times New Roman"/>
                <w:color w:val="000000" w:themeColor="text1"/>
                <w:kern w:val="24"/>
                <w:sz w:val="24"/>
                <w:szCs w:val="21"/>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24"/>
                <w:sz w:val="24"/>
                <w:szCs w:val="21"/>
                <w14:textFill>
                  <w14:solidFill>
                    <w14:schemeClr w14:val="tx1"/>
                  </w14:solidFill>
                </w14:textFill>
              </w:rPr>
            </w:pPr>
            <w:r>
              <w:rPr>
                <w:rFonts w:hint="default" w:ascii="Times New Roman" w:hAnsi="Times New Roman" w:cs="Times New Roman"/>
                <w:color w:val="000000" w:themeColor="text1"/>
                <w:kern w:val="24"/>
                <w:sz w:val="24"/>
                <w:szCs w:val="21"/>
                <w:lang w:val="en-US" w:eastAsia="zh-CN"/>
                <w14:textFill>
                  <w14:solidFill>
                    <w14:schemeClr w14:val="tx1"/>
                  </w14:solidFill>
                </w14:textFill>
              </w:rPr>
              <w:t>本项目为</w:t>
            </w:r>
            <w:r>
              <w:rPr>
                <w:rFonts w:hint="eastAsia" w:ascii="Times New Roman" w:hAnsi="Times New Roman" w:cs="Times New Roman"/>
                <w:color w:val="000000" w:themeColor="text1"/>
                <w:kern w:val="24"/>
                <w:sz w:val="24"/>
                <w:szCs w:val="21"/>
                <w:lang w:val="en-US" w:eastAsia="zh-CN"/>
                <w14:textFill>
                  <w14:solidFill>
                    <w14:schemeClr w14:val="tx1"/>
                  </w14:solidFill>
                </w14:textFill>
              </w:rPr>
              <w:t>河道治理</w:t>
            </w:r>
            <w:r>
              <w:rPr>
                <w:rFonts w:hint="default" w:ascii="Times New Roman" w:hAnsi="Times New Roman" w:cs="Times New Roman"/>
                <w:color w:val="000000" w:themeColor="text1"/>
                <w:kern w:val="24"/>
                <w:sz w:val="24"/>
                <w:szCs w:val="21"/>
                <w:lang w:val="en-US" w:eastAsia="zh-CN"/>
                <w14:textFill>
                  <w14:solidFill>
                    <w14:schemeClr w14:val="tx1"/>
                  </w14:solidFill>
                </w14:textFill>
              </w:rPr>
              <w:t>项目，属于</w:t>
            </w:r>
            <w:r>
              <w:rPr>
                <w:rFonts w:hint="eastAsia" w:ascii="Times New Roman" w:hAnsi="Times New Roman" w:cs="Times New Roman"/>
                <w:color w:val="000000" w:themeColor="text1"/>
                <w:kern w:val="24"/>
                <w:sz w:val="24"/>
                <w:szCs w:val="21"/>
                <w:lang w:val="en-US" w:eastAsia="zh-CN"/>
                <w14:textFill>
                  <w14:solidFill>
                    <w14:schemeClr w14:val="tx1"/>
                  </w14:solidFill>
                </w14:textFill>
              </w:rPr>
              <w:t>生态保护行业</w:t>
            </w:r>
            <w:r>
              <w:rPr>
                <w:rFonts w:hint="default" w:ascii="Times New Roman" w:hAnsi="Times New Roman" w:cs="Times New Roman"/>
                <w:color w:val="000000" w:themeColor="text1"/>
                <w:kern w:val="24"/>
                <w:sz w:val="24"/>
                <w:szCs w:val="21"/>
                <w:lang w:val="en-US" w:eastAsia="zh-CN"/>
                <w14:textFill>
                  <w14:solidFill>
                    <w14:schemeClr w14:val="tx1"/>
                  </w14:solidFill>
                </w14:textFill>
              </w:rPr>
              <w:t>，</w:t>
            </w:r>
            <w:r>
              <w:rPr>
                <w:rFonts w:hint="default" w:ascii="Times New Roman" w:hAnsi="Times New Roman" w:cs="Times New Roman"/>
                <w:color w:val="000000" w:themeColor="text1"/>
                <w:kern w:val="24"/>
                <w:sz w:val="24"/>
                <w:szCs w:val="21"/>
                <w14:textFill>
                  <w14:solidFill>
                    <w14:schemeClr w14:val="tx1"/>
                  </w14:solidFill>
                </w14:textFill>
              </w:rPr>
              <w:t>施工期产生的污染影响和生态影响，建设单位拟采取相应的环保措施和管理要求，能够满足《规划》中提出的环保目标，符合规划要求。</w:t>
            </w:r>
          </w:p>
          <w:p>
            <w:pPr>
              <w:keepNext/>
              <w:keepLines w:val="0"/>
              <w:pageBreakBefore w:val="0"/>
              <w:kinsoku/>
              <w:wordWrap/>
              <w:overflowPunct/>
              <w:topLinePunct w:val="0"/>
              <w:autoSpaceDE/>
              <w:autoSpaceDN/>
              <w:bidi w:val="0"/>
              <w:adjustRightInd/>
              <w:snapToGrid/>
              <w:spacing w:line="360" w:lineRule="auto"/>
              <w:jc w:val="left"/>
              <w:textAlignment w:val="auto"/>
              <w:outlineLvl w:val="3"/>
              <w:rPr>
                <w:rFonts w:hint="default" w:ascii="Times New Roman" w:hAnsi="Times New Roman" w:cs="Times New Roman"/>
                <w:bCs/>
                <w:color w:val="000000" w:themeColor="text1"/>
                <w:sz w:val="24"/>
                <w:szCs w:val="28"/>
                <w:lang w:val="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val="0"/>
                <w:color w:val="000000" w:themeColor="text1"/>
                <w:sz w:val="24"/>
                <w:szCs w:val="28"/>
                <w:lang w:val="zh-CN"/>
                <w14:textFill>
                  <w14:solidFill>
                    <w14:schemeClr w14:val="tx1"/>
                  </w14:solidFill>
                </w14:textFill>
              </w:rPr>
              <w:t>与《甘肃省地表水功能区划》（2012-2030年）相符性分析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24"/>
                <w:sz w:val="24"/>
                <w:szCs w:val="21"/>
                <w14:textFill>
                  <w14:solidFill>
                    <w14:schemeClr w14:val="tx1"/>
                  </w14:solidFill>
                </w14:textFill>
              </w:rPr>
            </w:pPr>
            <w:r>
              <w:rPr>
                <w:rFonts w:hint="default" w:ascii="Times New Roman" w:hAnsi="Times New Roman" w:cs="Times New Roman"/>
                <w:color w:val="000000" w:themeColor="text1"/>
                <w:kern w:val="24"/>
                <w:sz w:val="24"/>
                <w:szCs w:val="21"/>
                <w14:textFill>
                  <w14:solidFill>
                    <w14:schemeClr w14:val="tx1"/>
                  </w14:solidFill>
                </w14:textFill>
              </w:rPr>
              <w:t>根据《甘肃省地表水功能区划》（2012-2030年），评价区主要地表水体为</w:t>
            </w:r>
            <w:r>
              <w:rPr>
                <w:rFonts w:hint="eastAsia" w:cs="Times New Roman"/>
                <w:color w:val="000000" w:themeColor="text1"/>
                <w:kern w:val="24"/>
                <w:sz w:val="24"/>
                <w:szCs w:val="21"/>
                <w:lang w:eastAsia="zh-CN"/>
                <w14:textFill>
                  <w14:solidFill>
                    <w14:schemeClr w14:val="tx1"/>
                  </w14:solidFill>
                </w14:textFill>
              </w:rPr>
              <w:t>湘乐川、城北河</w:t>
            </w:r>
            <w:r>
              <w:rPr>
                <w:rFonts w:hint="default" w:ascii="Times New Roman" w:hAnsi="Times New Roman" w:cs="Times New Roman"/>
                <w:color w:val="000000" w:themeColor="text1"/>
                <w:kern w:val="24"/>
                <w:sz w:val="24"/>
                <w:szCs w:val="21"/>
                <w14:textFill>
                  <w14:solidFill>
                    <w14:schemeClr w14:val="tx1"/>
                  </w14:solidFill>
                </w14:textFill>
              </w:rPr>
              <w:t>，环境功能分别属于Ⅲ类。本项目施工期污废水均不排放，对地表水环境影响较小，因此项目建设符合评价区地表水环境功能区划的要求</w:t>
            </w:r>
            <w:r>
              <w:rPr>
                <w:rFonts w:hint="eastAsia" w:cs="Times New Roman"/>
                <w:color w:val="000000" w:themeColor="text1"/>
                <w:kern w:val="24"/>
                <w:sz w:val="24"/>
                <w:szCs w:val="21"/>
                <w:lang w:eastAsia="zh-CN"/>
                <w14:textFill>
                  <w14:solidFill>
                    <w14:schemeClr w14:val="tx1"/>
                  </w14:solidFill>
                </w14:textFill>
              </w:rPr>
              <w:t>，项目水系见附图</w:t>
            </w:r>
            <w:r>
              <w:rPr>
                <w:rFonts w:hint="eastAsia" w:cs="Times New Roman"/>
                <w:color w:val="000000" w:themeColor="text1"/>
                <w:kern w:val="24"/>
                <w:sz w:val="24"/>
                <w:szCs w:val="21"/>
                <w:lang w:val="en-US" w:eastAsia="zh-CN"/>
                <w14:textFill>
                  <w14:solidFill>
                    <w14:schemeClr w14:val="tx1"/>
                  </w14:solidFill>
                </w14:textFill>
              </w:rPr>
              <w:t>3</w:t>
            </w:r>
            <w:r>
              <w:rPr>
                <w:rFonts w:hint="default" w:ascii="Times New Roman" w:hAnsi="Times New Roman" w:cs="Times New Roman"/>
                <w:color w:val="000000" w:themeColor="text1"/>
                <w:kern w:val="24"/>
                <w:sz w:val="24"/>
                <w:szCs w:val="21"/>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auto"/>
              <w:jc w:val="both"/>
              <w:textAlignment w:val="auto"/>
              <w:rPr>
                <w:rFonts w:hint="eastAsia" w:eastAsia="宋体"/>
                <w:color w:val="000000" w:themeColor="text1"/>
                <w:sz w:val="24"/>
                <w:szCs w:val="24"/>
                <w:lang w:val="en-US" w:eastAsia="zh-CN"/>
                <w14:textFill>
                  <w14:solidFill>
                    <w14:schemeClr w14:val="tx1"/>
                  </w14:solidFill>
                </w14:textFill>
              </w:rPr>
            </w:pPr>
          </w:p>
        </w:tc>
      </w:tr>
    </w:tbl>
    <w:p>
      <w:pPr>
        <w:spacing w:line="360" w:lineRule="auto"/>
        <w:outlineLvl w:val="0"/>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7"/>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二、建设内容</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78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地理位置</w:t>
            </w:r>
          </w:p>
        </w:tc>
        <w:tc>
          <w:tcPr>
            <w:tcW w:w="78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color w:val="000000" w:themeColor="text1"/>
                <w:kern w:val="0"/>
                <w:sz w:val="24"/>
                <w:szCs w:val="24"/>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本工程位于宁县城北河流域，涉及城北河和湘乐川两条河流。城北河治理范围北起杨家湾子上游600m处漫水桥（坐标：东经107度59分19.963秒，北纬35度37分7.66秒），南至城北河与马莲河汇流处（坐标：东经107度54分59.754秒，北纬35度30分18.160秒），治理河道长度为20.08km。湘乐川治理范围东起莲池村莲花池景区（坐标：东经108度05分24.494秒，北纬35度35分15.602秒），西至与湘乐川与城北河汇流处（坐标：东经107度58分57.213秒，北纬35度34分58.183秒），治理河道长度为14.28km。城北河流域总治理河道长度为34.36km</w:t>
            </w:r>
            <w:r>
              <w:rPr>
                <w:rFonts w:hint="eastAsia" w:ascii="Times New Roman" w:hAnsi="Times New Roman" w:eastAsia="宋体" w:cs="宋体"/>
                <w:color w:val="000000" w:themeColor="text1"/>
                <w:sz w:val="24"/>
                <w:szCs w:val="24"/>
                <w:lang w:eastAsia="zh-CN"/>
                <w14:textFill>
                  <w14:solidFill>
                    <w14:schemeClr w14:val="tx1"/>
                  </w14:solidFill>
                </w14:textFill>
              </w:rPr>
              <w:t>。项目地理位置详见附图</w:t>
            </w:r>
            <w:r>
              <w:rPr>
                <w:rFonts w:hint="eastAsia" w:cs="宋体"/>
                <w:color w:val="000000" w:themeColor="text1"/>
                <w:sz w:val="24"/>
                <w:szCs w:val="24"/>
                <w:lang w:val="en-US" w:eastAsia="zh-CN"/>
                <w14:textFill>
                  <w14:solidFill>
                    <w14:schemeClr w14:val="tx1"/>
                  </w14:solidFill>
                </w14:textFill>
              </w:rPr>
              <w:t>4</w:t>
            </w:r>
            <w:r>
              <w:rPr>
                <w:rFonts w:hint="eastAsia" w:ascii="Times New Roman" w:hAnsi="Times New Roman" w:eastAsia="宋体" w:cs="宋体"/>
                <w:color w:val="000000" w:themeColor="text1"/>
                <w:sz w:val="24"/>
                <w:szCs w:val="24"/>
                <w:lang w:eastAsia="zh-CN"/>
                <w14:textFill>
                  <w14:solidFill>
                    <w14:schemeClr w14:val="tx1"/>
                  </w14:solidFill>
                </w14:textFill>
              </w:rPr>
              <w:t>。沿线分布有少量的居民，项目</w:t>
            </w:r>
            <w:r>
              <w:rPr>
                <w:rFonts w:hint="eastAsia" w:cs="宋体"/>
                <w:color w:val="000000" w:themeColor="text1"/>
                <w:sz w:val="24"/>
                <w:szCs w:val="24"/>
                <w:lang w:eastAsia="zh-CN"/>
                <w14:textFill>
                  <w14:solidFill>
                    <w14:schemeClr w14:val="tx1"/>
                  </w14:solidFill>
                </w14:textFill>
              </w:rPr>
              <w:t>敏感点分布图</w:t>
            </w:r>
            <w:r>
              <w:rPr>
                <w:rFonts w:hint="eastAsia" w:ascii="Times New Roman" w:hAnsi="Times New Roman" w:eastAsia="宋体" w:cs="宋体"/>
                <w:color w:val="000000" w:themeColor="text1"/>
                <w:sz w:val="24"/>
                <w:szCs w:val="24"/>
                <w:lang w:eastAsia="zh-CN"/>
                <w14:textFill>
                  <w14:solidFill>
                    <w14:schemeClr w14:val="tx1"/>
                  </w14:solidFill>
                </w14:textFill>
              </w:rPr>
              <w:t>见附图</w:t>
            </w:r>
            <w:r>
              <w:rPr>
                <w:rFonts w:hint="eastAsia" w:cs="宋体"/>
                <w:color w:val="000000" w:themeColor="text1"/>
                <w:sz w:val="24"/>
                <w:szCs w:val="24"/>
                <w:lang w:val="en-US" w:eastAsia="zh-CN"/>
                <w14:textFill>
                  <w14:solidFill>
                    <w14:schemeClr w14:val="tx1"/>
                  </w14:solidFill>
                </w14:textFill>
              </w:rPr>
              <w:t>5</w:t>
            </w:r>
            <w:r>
              <w:rPr>
                <w:rFonts w:hint="eastAsia" w:ascii="Times New Roman" w:hAnsi="Times New Roman" w:eastAsia="宋体" w:cs="宋体"/>
                <w:color w:val="000000" w:themeColor="text1"/>
                <w:sz w:val="24"/>
                <w:szCs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项目组成及规模</w:t>
            </w:r>
          </w:p>
        </w:tc>
        <w:tc>
          <w:tcPr>
            <w:tcW w:w="7844" w:type="dxa"/>
            <w:noWrap w:val="0"/>
            <w:vAlign w:val="center"/>
          </w:tcPr>
          <w:p>
            <w:pPr>
              <w:spacing w:line="360" w:lineRule="auto"/>
              <w:ind w:right="-1"/>
              <w:contextualSpacing/>
              <w:jc w:val="left"/>
              <w:outlineLvl w:val="2"/>
              <w:rPr>
                <w:rFonts w:hint="eastAsia" w:ascii="Times New Roman" w:hAnsi="Times New Roman" w:eastAsia="宋体"/>
                <w:b/>
                <w:bCs/>
                <w:color w:val="000000" w:themeColor="text1"/>
                <w:sz w:val="24"/>
                <w:szCs w:val="24"/>
                <w:lang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rFonts w:hint="eastAsia" w:ascii="Times New Roman" w:hAnsi="Times New Roman" w:eastAsia="宋体"/>
                <w:b/>
                <w:bCs/>
                <w:color w:val="000000" w:themeColor="text1"/>
                <w:sz w:val="24"/>
                <w:szCs w:val="24"/>
                <w:lang w:eastAsia="zh-CN"/>
                <w14:textFill>
                  <w14:solidFill>
                    <w14:schemeClr w14:val="tx1"/>
                  </w14:solidFill>
                </w14:textFill>
              </w:rPr>
              <w:t>治理工程的</w:t>
            </w:r>
            <w:r>
              <w:rPr>
                <w:rFonts w:hint="eastAsia"/>
                <w:b/>
                <w:bCs/>
                <w:color w:val="000000" w:themeColor="text1"/>
                <w:sz w:val="24"/>
                <w:szCs w:val="24"/>
                <w:lang w:eastAsia="zh-CN"/>
                <w14:textFill>
                  <w14:solidFill>
                    <w14:schemeClr w14:val="tx1"/>
                  </w14:solidFill>
                </w14:textFill>
              </w:rPr>
              <w:t>规模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（1）河道清淤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清淤疏浚工程位于城北河县城段，对应河道中心桩号K20+603.4~K21+813.7，对现状河道进行清淤疏浚，河道总长1.21km。清淤面积5.33万m</w:t>
            </w:r>
            <w:r>
              <w:rPr>
                <w:rFonts w:hint="eastAsia" w:ascii="Times New Roman" w:hAnsi="Times New Roman" w:eastAsia="宋体" w:cs="宋体"/>
                <w:color w:val="000000" w:themeColor="text1"/>
                <w:sz w:val="24"/>
                <w:szCs w:val="24"/>
                <w:vertAlign w:val="superscript"/>
                <w:lang w:eastAsia="zh-CN"/>
                <w14:textFill>
                  <w14:solidFill>
                    <w14:schemeClr w14:val="tx1"/>
                  </w14:solidFill>
                </w14:textFill>
              </w:rPr>
              <w:t>2</w:t>
            </w:r>
            <w:r>
              <w:rPr>
                <w:rFonts w:hint="eastAsia" w:ascii="Times New Roman" w:hAnsi="Times New Roman" w:eastAsia="宋体" w:cs="宋体"/>
                <w:color w:val="000000" w:themeColor="text1"/>
                <w:sz w:val="24"/>
                <w:szCs w:val="24"/>
                <w:lang w:eastAsia="zh-CN"/>
                <w14:textFill>
                  <w14:solidFill>
                    <w14:schemeClr w14:val="tx1"/>
                  </w14:solidFill>
                </w14:textFill>
              </w:rPr>
              <w:t>，对应清淤量10.33万m</w:t>
            </w:r>
            <w:r>
              <w:rPr>
                <w:rFonts w:hint="eastAsia" w:ascii="Times New Roman" w:hAnsi="Times New Roman" w:eastAsia="宋体" w:cs="宋体"/>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宋体"/>
                <w:color w:val="000000" w:themeColor="text1"/>
                <w:sz w:val="24"/>
                <w:szCs w:val="24"/>
                <w:lang w:eastAsia="zh-CN"/>
                <w14:textFill>
                  <w14:solidFill>
                    <w14:schemeClr w14:val="tx1"/>
                  </w14:solidFill>
                </w14:textFill>
              </w:rPr>
              <w:t>，清淤平均深度为1.94m。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（2）生态护岸</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生态护岸工程位于城北河杨家湾子至寨河段（桩号K2+323~K6+701），湘乐川昔沟至寨河段（K11+401~K18+984）。治理河道总长度11.96km，新修生态护岸19.09km</w:t>
            </w:r>
            <w:r>
              <w:rPr>
                <w:rFonts w:hint="eastAsia" w:cs="宋体"/>
                <w:color w:val="000000" w:themeColor="text1"/>
                <w:sz w:val="24"/>
                <w:szCs w:val="24"/>
                <w:lang w:eastAsia="zh-CN"/>
                <w14:textFill>
                  <w14:solidFill>
                    <w14:schemeClr w14:val="tx1"/>
                  </w14:solidFill>
                </w14:textFill>
              </w:rPr>
              <w:t>，城北河生态护岸工程位于桩号K1+724~K6+701（杨家湾子至寨河段），治理河道长度4.97km，新修护岸9.01km。护岸采用采用联锁式护坡形式，护坡坡比为1:1.5，下部基础采用M10浆砌石结构，基础宽0.5m，高1.0m，基础埋置在深泓点以下冲刷深度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宋体"/>
                <w:color w:val="000000" w:themeColor="text1"/>
                <w:sz w:val="24"/>
                <w:szCs w:val="24"/>
                <w:lang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湘乐川生态护岸工程位于桩号 K11+401~K18+984（昔沟至寨河段），治理河道长度7.58km，新修护岸11.50km。护岸采用M10浆砌石挡墙+联锁式护坡的复合断面型式，墙身高度在2.2m，设计墙顶宽度0.8m，内坡坡比为1：0.10，外坡坡比为1:0.30，墙底坡比为1:20，底部向外设置0.3×0.5m 的趾。上部护坡采用15cm 厚联锁式混凝土块，护坡迎水坡坡比为1:1.5，背水坡坡比为1：1.25。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为不影响生物链的形成，本项目护岸不进行硬化处理，护岸工程采用复合铰链式生态护坡结构。护岸工程填方河堤迎水坡坡比1:1.5，背水坡坡比1:1.25，堤顶宽3.0m，河堤填筑材料就地选用岸滩砾质土料，按照《堤防工程设计规范》及堤防级别确定填筑标准为：低于6m的3级及3级以下堤防土堤填筑的相对密度不小于0.91</w:t>
            </w:r>
            <w:r>
              <w:rPr>
                <w:rFonts w:hint="eastAsia" w:ascii="Times New Roman" w:hAnsi="Times New Roman" w:eastAsia="宋体" w:cs="宋体"/>
                <w:color w:val="000000" w:themeColor="text1"/>
                <w:sz w:val="24"/>
                <w:szCs w:val="24"/>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3</w:t>
            </w:r>
            <w:r>
              <w:rPr>
                <w:rFonts w:hint="eastAsia" w:ascii="Times New Roman" w:hAnsi="Times New Roman" w:eastAsia="宋体" w:cs="宋体"/>
                <w:color w:val="000000" w:themeColor="text1"/>
                <w:sz w:val="24"/>
                <w:szCs w:val="24"/>
                <w:lang w:eastAsia="zh-CN"/>
                <w14:textFill>
                  <w14:solidFill>
                    <w14:schemeClr w14:val="tx1"/>
                  </w14:solidFill>
                </w14:textFill>
              </w:rPr>
              <w:t>）垃圾收运、河道湖库垃圾清理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FF0000"/>
                <w:sz w:val="24"/>
                <w:szCs w:val="24"/>
                <w:lang w:eastAsia="zh-CN"/>
              </w:rPr>
            </w:pPr>
            <w:r>
              <w:rPr>
                <w:rFonts w:hint="eastAsia" w:ascii="Times New Roman" w:hAnsi="Times New Roman" w:eastAsia="宋体" w:cs="宋体"/>
                <w:color w:val="FF0000"/>
                <w:sz w:val="24"/>
                <w:szCs w:val="24"/>
                <w:lang w:eastAsia="zh-CN"/>
              </w:rPr>
              <w:t>城北河流域周边村组较多，主要包括金钟村、王台村、昔沟村</w:t>
            </w:r>
            <w:r>
              <w:rPr>
                <w:rFonts w:hint="eastAsia" w:cs="宋体"/>
                <w:color w:val="FF0000"/>
                <w:sz w:val="24"/>
                <w:szCs w:val="24"/>
                <w:lang w:eastAsia="zh-CN"/>
              </w:rPr>
              <w:t>、</w:t>
            </w:r>
            <w:r>
              <w:rPr>
                <w:rFonts w:hint="eastAsia" w:ascii="Times New Roman" w:hAnsi="Times New Roman" w:eastAsia="宋体" w:cs="宋体"/>
                <w:color w:val="FF0000"/>
                <w:sz w:val="24"/>
                <w:szCs w:val="24"/>
                <w:lang w:eastAsia="zh-CN"/>
              </w:rPr>
              <w:t>寨河村、川口村、庞川村、莲池村等8个行政村，通过调查计算本次规划收容垃圾14.75吨/日。</w:t>
            </w:r>
            <w:r>
              <w:rPr>
                <w:rFonts w:hint="eastAsia" w:cs="宋体"/>
                <w:color w:val="FF0000"/>
                <w:sz w:val="24"/>
                <w:szCs w:val="24"/>
                <w:lang w:eastAsia="zh-CN"/>
              </w:rPr>
              <w:t>垃圾收运由当地乡政府进行。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4</w:t>
            </w:r>
            <w:r>
              <w:rPr>
                <w:rFonts w:hint="eastAsia" w:ascii="Times New Roman" w:hAnsi="Times New Roman" w:eastAsia="宋体" w:cs="宋体"/>
                <w:color w:val="000000" w:themeColor="text1"/>
                <w:sz w:val="24"/>
                <w:szCs w:val="24"/>
                <w:lang w:eastAsia="zh-CN"/>
                <w14:textFill>
                  <w14:solidFill>
                    <w14:schemeClr w14:val="tx1"/>
                  </w14:solidFill>
                </w14:textFill>
              </w:rPr>
              <w:t>）生态隔离带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城北河河道两边农田较多，为防止农田面源污染，本工程对河道两边实施生态隔离带，对河道堤顶上进行平整绿化，达到整体净化生态效果。植主要为国槐和垂柳、间隔2m，河道栽植长度为44.1km，总共栽植国槐 22050棵，垂柳22050棵。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5</w:t>
            </w:r>
            <w:r>
              <w:rPr>
                <w:rFonts w:hint="eastAsia" w:ascii="Times New Roman" w:hAnsi="Times New Roman" w:eastAsia="宋体" w:cs="宋体"/>
                <w:color w:val="000000" w:themeColor="text1"/>
                <w:sz w:val="24"/>
                <w:szCs w:val="24"/>
                <w:lang w:eastAsia="zh-CN"/>
                <w14:textFill>
                  <w14:solidFill>
                    <w14:schemeClr w14:val="tx1"/>
                  </w14:solidFill>
                </w14:textFill>
              </w:rPr>
              <w:t>）生态沟渠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对城北河流域内7条支流口进行整治，规划实施长度为3.46km</w:t>
            </w:r>
            <w:r>
              <w:rPr>
                <w:rFonts w:hint="eastAsia" w:cs="宋体"/>
                <w:color w:val="000000" w:themeColor="text1"/>
                <w:sz w:val="24"/>
                <w:szCs w:val="24"/>
                <w:lang w:eastAsia="zh-CN"/>
                <w14:textFill>
                  <w14:solidFill>
                    <w14:schemeClr w14:val="tx1"/>
                  </w14:solidFill>
                </w14:textFill>
              </w:rPr>
              <w:t>，主要对支流口垃圾进行清理，对河道入河口进行砌护处理，</w:t>
            </w:r>
            <w:r>
              <w:rPr>
                <w:rFonts w:hint="eastAsia" w:cs="宋体"/>
                <w:color w:val="000000" w:themeColor="text1"/>
                <w:sz w:val="24"/>
                <w:szCs w:val="24"/>
                <w:lang w:val="en-US" w:eastAsia="zh-CN"/>
                <w14:textFill>
                  <w14:solidFill>
                    <w14:schemeClr w14:val="tx1"/>
                  </w14:solidFill>
                </w14:textFill>
              </w:rPr>
              <w:t>砌护采用铅丝笼石砌护</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w:t>
            </w:r>
            <w:r>
              <w:rPr>
                <w:rFonts w:ascii="Times New Roman" w:hAnsi="Times New Roman" w:eastAsia="宋体"/>
                <w:b/>
                <w:bCs/>
                <w:color w:val="000000" w:themeColor="text1"/>
                <w:sz w:val="24"/>
                <w:szCs w:val="24"/>
                <w14:textFill>
                  <w14:solidFill>
                    <w14:schemeClr w14:val="tx1"/>
                  </w14:solidFill>
                </w14:textFill>
              </w:rPr>
              <w:t>工程内容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olor w:val="000000" w:themeColor="text1"/>
                <w:sz w:val="24"/>
                <w:szCs w:val="24"/>
                <w:lang w:val="en-GB"/>
                <w14:textFill>
                  <w14:solidFill>
                    <w14:schemeClr w14:val="tx1"/>
                  </w14:solidFill>
                </w14:textFill>
              </w:rPr>
            </w:pPr>
            <w:r>
              <w:rPr>
                <w:rFonts w:hint="eastAsia" w:ascii="Times New Roman" w:hAnsi="Times New Roman" w:eastAsia="宋体" w:cs="宋体"/>
                <w:color w:val="000000" w:themeColor="text1"/>
                <w:kern w:val="0"/>
                <w:sz w:val="24"/>
                <w:szCs w:val="24"/>
                <w:lang w:val="en-GB" w:eastAsia="zh-CN" w:bidi="ar-SA"/>
                <w14:textFill>
                  <w14:solidFill>
                    <w14:schemeClr w14:val="tx1"/>
                  </w14:solidFill>
                </w14:textFill>
              </w:rPr>
              <w:t>本项目工程组成及建设内容具体见表</w:t>
            </w:r>
            <w:r>
              <w:rPr>
                <w:rFonts w:hint="eastAsia" w:cs="宋体"/>
                <w:color w:val="000000" w:themeColor="text1"/>
                <w:kern w:val="0"/>
                <w:sz w:val="24"/>
                <w:szCs w:val="24"/>
                <w:lang w:val="en-US" w:eastAsia="zh-CN" w:bidi="ar-SA"/>
                <w14:textFill>
                  <w14:solidFill>
                    <w14:schemeClr w14:val="tx1"/>
                  </w14:solidFill>
                </w14:textFill>
              </w:rPr>
              <w:t>2</w:t>
            </w:r>
            <w:r>
              <w:rPr>
                <w:rFonts w:hint="eastAsia" w:ascii="Times New Roman" w:hAnsi="Times New Roman" w:eastAsia="宋体" w:cs="宋体"/>
                <w:color w:val="000000" w:themeColor="text1"/>
                <w:kern w:val="0"/>
                <w:sz w:val="24"/>
                <w:szCs w:val="24"/>
                <w:lang w:val="en-GB" w:eastAsia="zh-CN" w:bidi="ar-SA"/>
                <w14:textFill>
                  <w14:solidFill>
                    <w14:schemeClr w14:val="tx1"/>
                  </w14:solidFill>
                </w14:textFill>
              </w:rPr>
              <w:t>-</w:t>
            </w:r>
            <w:r>
              <w:rPr>
                <w:rFonts w:hint="eastAsia" w:cs="宋体"/>
                <w:color w:val="000000" w:themeColor="text1"/>
                <w:kern w:val="0"/>
                <w:sz w:val="24"/>
                <w:szCs w:val="24"/>
                <w:lang w:val="en-US" w:eastAsia="zh-CN" w:bidi="ar-SA"/>
                <w14:textFill>
                  <w14:solidFill>
                    <w14:schemeClr w14:val="tx1"/>
                  </w14:solidFill>
                </w14:textFill>
              </w:rPr>
              <w:t>1</w:t>
            </w:r>
            <w:r>
              <w:rPr>
                <w:rFonts w:hint="eastAsia" w:ascii="Times New Roman" w:hAnsi="Times New Roman" w:eastAsia="宋体" w:cs="宋体"/>
                <w:color w:val="000000" w:themeColor="text1"/>
                <w:kern w:val="0"/>
                <w:sz w:val="24"/>
                <w:szCs w:val="24"/>
                <w:lang w:val="en-GB" w:eastAsia="zh-CN" w:bidi="ar-SA"/>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工程特性见表</w:t>
            </w:r>
            <w:r>
              <w:rPr>
                <w:rFonts w:hint="eastAsia" w:cs="宋体"/>
                <w:color w:val="000000" w:themeColor="text1"/>
                <w:kern w:val="0"/>
                <w:sz w:val="24"/>
                <w:szCs w:val="24"/>
                <w:lang w:val="en-US" w:eastAsia="zh-CN" w:bidi="ar-SA"/>
                <w14:textFill>
                  <w14:solidFill>
                    <w14:schemeClr w14:val="tx1"/>
                  </w14:solidFill>
                </w14:textFill>
              </w:rPr>
              <w:t>2-2</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w:t>
            </w:r>
          </w:p>
          <w:p>
            <w:pPr>
              <w:pStyle w:val="45"/>
              <w:ind w:right="-1" w:firstLine="723" w:firstLineChars="300"/>
              <w:jc w:val="center"/>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表</w:t>
            </w:r>
            <w:r>
              <w:rPr>
                <w:rFonts w:hint="eastAsia"/>
                <w:b/>
                <w:color w:val="000000" w:themeColor="text1"/>
                <w:sz w:val="24"/>
                <w:szCs w:val="24"/>
                <w:lang w:val="en-US" w:eastAsia="zh-CN"/>
                <w14:textFill>
                  <w14:solidFill>
                    <w14:schemeClr w14:val="tx1"/>
                  </w14:solidFill>
                </w14:textFill>
              </w:rPr>
              <w:t>2-1</w:t>
            </w:r>
            <w:r>
              <w:rPr>
                <w:rFonts w:ascii="Times New Roman" w:hAnsi="Times New Roman" w:eastAsia="宋体"/>
                <w:b/>
                <w:color w:val="000000" w:themeColor="text1"/>
                <w:sz w:val="24"/>
                <w:szCs w:val="24"/>
                <w14:textFill>
                  <w14:solidFill>
                    <w14:schemeClr w14:val="tx1"/>
                  </w14:solidFill>
                </w14:textFill>
              </w:rPr>
              <w:t xml:space="preserve">    工程组成及建设内容一览表</w:t>
            </w:r>
          </w:p>
          <w:tbl>
            <w:tblPr>
              <w:tblStyle w:val="46"/>
              <w:tblW w:w="51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3"/>
              <w:gridCol w:w="1324"/>
              <w:gridCol w:w="969"/>
              <w:gridCol w:w="3736"/>
              <w:gridCol w:w="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411" w:type="pct"/>
                  <w:gridSpan w:val="2"/>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工程组成</w:t>
                  </w:r>
                </w:p>
              </w:tc>
              <w:tc>
                <w:tcPr>
                  <w:tcW w:w="3588" w:type="pct"/>
                  <w:gridSpan w:val="3"/>
                  <w:tcBorders>
                    <w:tl2br w:val="nil"/>
                    <w:tr2bl w:val="nil"/>
                  </w:tcBorders>
                  <w:shd w:val="clear" w:color="auto" w:fill="auto"/>
                  <w:vAlign w:val="center"/>
                </w:tcPr>
                <w:p>
                  <w:pPr>
                    <w:pStyle w:val="45"/>
                    <w:keepNext w:val="0"/>
                    <w:keepLines w:val="0"/>
                    <w:pageBreakBefore w:val="0"/>
                    <w:kinsoku/>
                    <w:wordWrap/>
                    <w:overflowPunct/>
                    <w:topLinePunct w:val="0"/>
                    <w:bidi w:val="0"/>
                    <w:adjustRightInd/>
                    <w:snapToGrid/>
                    <w:spacing w:line="240" w:lineRule="auto"/>
                    <w:ind w:right="-1"/>
                    <w:contextualSpacing/>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564" w:type="pct"/>
                  <w:vMerge w:val="restar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主体工程</w:t>
                  </w: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河道清淤</w:t>
                  </w:r>
                </w:p>
              </w:tc>
              <w:tc>
                <w:tcPr>
                  <w:tcW w:w="3588" w:type="pct"/>
                  <w:gridSpan w:val="3"/>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contextualSpacing/>
                    <w:jc w:val="center"/>
                    <w:textAlignment w:val="auto"/>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河道总长1.21km。清淤面积5.33万m</w:t>
                  </w:r>
                  <w:r>
                    <w:rPr>
                      <w:rFonts w:hint="eastAsia" w:ascii="Times New Roman" w:hAnsi="Times New Roman" w:eastAsia="宋体"/>
                      <w:color w:val="000000" w:themeColor="text1"/>
                      <w:kern w:val="0"/>
                      <w:sz w:val="21"/>
                      <w:szCs w:val="21"/>
                      <w:vertAlign w:val="superscript"/>
                      <w14:textFill>
                        <w14:solidFill>
                          <w14:schemeClr w14:val="tx1"/>
                        </w14:solidFill>
                      </w14:textFill>
                    </w:rPr>
                    <w:t>2</w:t>
                  </w:r>
                  <w:r>
                    <w:rPr>
                      <w:rFonts w:hint="eastAsia" w:ascii="Times New Roman" w:hAnsi="Times New Roman" w:eastAsia="宋体"/>
                      <w:color w:val="000000" w:themeColor="text1"/>
                      <w:kern w:val="0"/>
                      <w:sz w:val="21"/>
                      <w:szCs w:val="21"/>
                      <w14:textFill>
                        <w14:solidFill>
                          <w14:schemeClr w14:val="tx1"/>
                        </w14:solidFill>
                      </w14:textFill>
                    </w:rPr>
                    <w:t>，对应清淤量10.33万m</w:t>
                  </w:r>
                  <w:r>
                    <w:rPr>
                      <w:rFonts w:hint="eastAsia" w:ascii="Times New Roman" w:hAnsi="Times New Roman" w:eastAsia="宋体"/>
                      <w:color w:val="000000" w:themeColor="text1"/>
                      <w:kern w:val="0"/>
                      <w:sz w:val="21"/>
                      <w:szCs w:val="21"/>
                      <w:vertAlign w:val="superscript"/>
                      <w14:textFill>
                        <w14:solidFill>
                          <w14:schemeClr w14:val="tx1"/>
                        </w14:solidFill>
                      </w14:textFill>
                    </w:rPr>
                    <w:t>3</w:t>
                  </w:r>
                  <w:r>
                    <w:rPr>
                      <w:rFonts w:hint="eastAsia" w:ascii="Times New Roman" w:hAnsi="Times New Roman" w:eastAsia="宋体"/>
                      <w:color w:val="000000" w:themeColor="text1"/>
                      <w:kern w:val="0"/>
                      <w:sz w:val="21"/>
                      <w:szCs w:val="21"/>
                      <w14:textFill>
                        <w14:solidFill>
                          <w14:schemeClr w14:val="tx1"/>
                        </w14:solidFill>
                      </w14:textFill>
                    </w:rPr>
                    <w:t>，清淤平均深度为1.94m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1"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生态护岸</w:t>
                  </w:r>
                </w:p>
              </w:tc>
              <w:tc>
                <w:tcPr>
                  <w:tcW w:w="3588" w:type="pct"/>
                  <w:gridSpan w:val="3"/>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生态护岸工程位于城北河杨家湾子至寨河段（桩号K2+323~K6+701），湘乐川昔沟至寨河段（K11+401~K18+984）。治理河道总长度11.96km，新修生态护岸19.09km，</w:t>
                  </w:r>
                  <w:r>
                    <w:rPr>
                      <w:rFonts w:hint="eastAsia" w:cs="宋体"/>
                      <w:color w:val="000000" w:themeColor="text1"/>
                      <w:sz w:val="21"/>
                      <w:szCs w:val="21"/>
                      <w:lang w:eastAsia="zh-CN"/>
                      <w14:textFill>
                        <w14:solidFill>
                          <w14:schemeClr w14:val="tx1"/>
                        </w14:solidFill>
                      </w14:textFill>
                    </w:rPr>
                    <w:t>护岸结构采用铰链式砼预制块生态护坡结构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5"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垃圾收运清理</w:t>
                  </w:r>
                </w:p>
              </w:tc>
              <w:tc>
                <w:tcPr>
                  <w:tcW w:w="3588" w:type="pct"/>
                  <w:gridSpan w:val="3"/>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color w:val="000000" w:themeColor="text1"/>
                      <w:kern w:val="0"/>
                      <w:sz w:val="21"/>
                      <w:szCs w:val="21"/>
                      <w:lang w:eastAsia="zh-CN"/>
                      <w14:textFill>
                        <w14:solidFill>
                          <w14:schemeClr w14:val="tx1"/>
                        </w14:solidFill>
                      </w14:textFill>
                    </w:rPr>
                  </w:pPr>
                  <w:r>
                    <w:rPr>
                      <w:rFonts w:hint="eastAsia"/>
                      <w:color w:val="FF0000"/>
                      <w:kern w:val="0"/>
                      <w:sz w:val="21"/>
                      <w:szCs w:val="21"/>
                      <w:lang w:eastAsia="zh-CN"/>
                    </w:rPr>
                    <w:t>在金钟村、王台村、昔沟村、寨河村、川口村、庞川村、莲池村等8个行政村新建垃圾池</w:t>
                  </w:r>
                  <w:r>
                    <w:rPr>
                      <w:rFonts w:hint="eastAsia"/>
                      <w:color w:val="FF0000"/>
                      <w:kern w:val="0"/>
                      <w:sz w:val="21"/>
                      <w:szCs w:val="21"/>
                      <w:lang w:val="en-US" w:eastAsia="zh-CN"/>
                    </w:rPr>
                    <w:t>122座</w:t>
                  </w:r>
                  <w:r>
                    <w:rPr>
                      <w:rFonts w:hint="eastAsia"/>
                      <w:color w:val="FF0000"/>
                      <w:kern w:val="0"/>
                      <w:sz w:val="21"/>
                      <w:szCs w:val="21"/>
                      <w:lang w:eastAsia="zh-CN"/>
                    </w:rPr>
                    <w:t>，通过调查计算本次规划收容垃圾14.75吨/日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5"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生态隔离带</w:t>
                  </w:r>
                </w:p>
              </w:tc>
              <w:tc>
                <w:tcPr>
                  <w:tcW w:w="3588" w:type="pct"/>
                  <w:gridSpan w:val="3"/>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河道两边实施生态隔离带，对河道堤顶上进行平整绿化，达到整体净化生态效果。植主要为国槐和垂柳、间隔2m，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生态沟渠</w:t>
                  </w:r>
                </w:p>
              </w:tc>
              <w:tc>
                <w:tcPr>
                  <w:tcW w:w="3588" w:type="pct"/>
                  <w:gridSpan w:val="3"/>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对城北河流域内7条支流口进行整治，规划实施长度为3.46km，主要对支流口垃圾进行清理，对河道入河口进行砌护处理，</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砌护采用铅丝笼石砌护。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64" w:type="pct"/>
                  <w:vMerge w:val="restar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lang w:eastAsia="zh-CN"/>
                      <w14:textFill>
                        <w14:solidFill>
                          <w14:schemeClr w14:val="tx1"/>
                        </w14:solidFill>
                      </w14:textFill>
                    </w:rPr>
                    <w:t>临时</w:t>
                  </w:r>
                </w:p>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工程</w:t>
                  </w: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堆料场</w:t>
                  </w:r>
                </w:p>
              </w:tc>
              <w:tc>
                <w:tcPr>
                  <w:tcW w:w="3008" w:type="pct"/>
                  <w:gridSpan w:val="2"/>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jc w:val="left"/>
                    <w:textAlignment w:val="auto"/>
                    <w:rPr>
                      <w:rFonts w:ascii="Times New Roman" w:hAnsi="Times New Roman" w:eastAsia="宋体"/>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根据岸线整治进度情况，在河道附近沿线调整堆料场位置</w:t>
                  </w:r>
                  <w:r>
                    <w:rPr>
                      <w:rFonts w:hint="eastAsia" w:cs="Times New Roman"/>
                      <w:color w:val="000000" w:themeColor="text1"/>
                      <w:sz w:val="21"/>
                      <w:szCs w:val="21"/>
                      <w:lang w:val="en-US" w:eastAsia="zh-CN"/>
                      <w14:textFill>
                        <w14:solidFill>
                          <w14:schemeClr w14:val="tx1"/>
                        </w14:solidFill>
                      </w14:textFill>
                    </w:rPr>
                    <w:t>4处</w:t>
                  </w:r>
                  <w:r>
                    <w:rPr>
                      <w:rFonts w:hint="default" w:ascii="Times New Roman" w:hAnsi="Times New Roman" w:eastAsia="宋体" w:cs="Times New Roman"/>
                      <w:color w:val="000000" w:themeColor="text1"/>
                      <w:sz w:val="21"/>
                      <w:szCs w:val="21"/>
                      <w14:textFill>
                        <w14:solidFill>
                          <w14:schemeClr w14:val="tx1"/>
                        </w14:solidFill>
                      </w14:textFill>
                    </w:rPr>
                    <w:t>，为临时占地</w:t>
                  </w:r>
                </w:p>
              </w:tc>
              <w:tc>
                <w:tcPr>
                  <w:tcW w:w="579"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占地为荒草地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施工场地</w:t>
                  </w:r>
                </w:p>
              </w:tc>
              <w:tc>
                <w:tcPr>
                  <w:tcW w:w="3008" w:type="pct"/>
                  <w:gridSpan w:val="2"/>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jc w:val="left"/>
                    <w:textAlignment w:val="auto"/>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不集中布设施工场地</w:t>
                  </w:r>
                  <w:r>
                    <w:rPr>
                      <w:rFonts w:hint="default"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施工机械和设备</w:t>
                  </w:r>
                  <w:r>
                    <w:rPr>
                      <w:rFonts w:hint="default" w:ascii="Times New Roman" w:hAnsi="Times New Roman" w:eastAsia="宋体" w:cs="Times New Roman"/>
                      <w:color w:val="000000" w:themeColor="text1"/>
                      <w:sz w:val="21"/>
                      <w:szCs w:val="21"/>
                      <w14:textFill>
                        <w14:solidFill>
                          <w14:schemeClr w14:val="tx1"/>
                        </w14:solidFill>
                      </w14:textFill>
                    </w:rPr>
                    <w:t>沿</w:t>
                  </w:r>
                  <w:r>
                    <w:rPr>
                      <w:rFonts w:ascii="Times New Roman" w:hAnsi="Times New Roman" w:eastAsia="宋体" w:cs="Times New Roman"/>
                      <w:color w:val="000000" w:themeColor="text1"/>
                      <w:sz w:val="21"/>
                      <w:szCs w:val="21"/>
                      <w14:textFill>
                        <w14:solidFill>
                          <w14:schemeClr w14:val="tx1"/>
                        </w14:solidFill>
                      </w14:textFill>
                    </w:rPr>
                    <w:t>堤顶和两侧布置</w:t>
                  </w:r>
                </w:p>
              </w:tc>
              <w:tc>
                <w:tcPr>
                  <w:tcW w:w="579"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施工道路</w:t>
                  </w:r>
                </w:p>
              </w:tc>
              <w:tc>
                <w:tcPr>
                  <w:tcW w:w="3008" w:type="pct"/>
                  <w:gridSpan w:val="2"/>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jc w:val="left"/>
                    <w:textAlignment w:val="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施工便道依托现有河</w:t>
                  </w:r>
                  <w:r>
                    <w:rPr>
                      <w:rFonts w:hint="eastAsia" w:ascii="Times New Roman" w:hAnsi="Times New Roman" w:eastAsia="宋体" w:cs="Times New Roman"/>
                      <w:color w:val="000000" w:themeColor="text1"/>
                      <w:sz w:val="21"/>
                      <w:szCs w:val="21"/>
                      <w:lang w:eastAsia="zh-CN"/>
                      <w14:textFill>
                        <w14:solidFill>
                          <w14:schemeClr w14:val="tx1"/>
                        </w14:solidFill>
                      </w14:textFill>
                    </w:rPr>
                    <w:t>滩地</w:t>
                  </w:r>
                  <w:r>
                    <w:rPr>
                      <w:rFonts w:hint="default" w:ascii="Times New Roman" w:hAnsi="Times New Roman" w:eastAsia="宋体" w:cs="Times New Roman"/>
                      <w:color w:val="000000" w:themeColor="text1"/>
                      <w:sz w:val="21"/>
                      <w:szCs w:val="21"/>
                      <w14:textFill>
                        <w14:solidFill>
                          <w14:schemeClr w14:val="tx1"/>
                        </w14:solidFill>
                      </w14:textFill>
                    </w:rPr>
                    <w:t>及周边现有道路</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579"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contextualSpacing/>
                    <w:jc w:val="center"/>
                    <w:textAlignment w:val="auto"/>
                    <w:rPr>
                      <w:rFonts w:hint="eastAsia" w:ascii="Times New Roman" w:hAnsi="Times New Roman" w:eastAsia="宋体"/>
                      <w:color w:val="000000" w:themeColor="text1"/>
                      <w:kern w:val="0"/>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施工营地</w:t>
                  </w:r>
                </w:p>
              </w:tc>
              <w:tc>
                <w:tcPr>
                  <w:tcW w:w="3008" w:type="pct"/>
                  <w:gridSpan w:val="2"/>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jc w:val="left"/>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项目设置项目部一处，租赁当地民宅，施工人员雇用当地农户，不设置施工营地</w:t>
                  </w:r>
                </w:p>
              </w:tc>
              <w:tc>
                <w:tcPr>
                  <w:tcW w:w="579"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contextualSpacing/>
                    <w:jc w:val="center"/>
                    <w:textAlignment w:val="auto"/>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564"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rightChars="0"/>
                    <w:contextualSpacing/>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 w:val="21"/>
                      <w:szCs w:val="21"/>
                      <w:highlight w:val="none"/>
                      <w:lang w:eastAsia="zh-CN"/>
                      <w14:textFill>
                        <w14:solidFill>
                          <w14:schemeClr w14:val="tx1"/>
                        </w14:solidFill>
                      </w14:textFill>
                    </w:rPr>
                    <w:t>辅助工程</w:t>
                  </w: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施工导流</w:t>
                  </w:r>
                </w:p>
              </w:tc>
              <w:tc>
                <w:tcPr>
                  <w:tcW w:w="3008" w:type="pct"/>
                  <w:gridSpan w:val="2"/>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jc w:val="lef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本项目在雨季施工时需设置施工导流及围堰等设施，需根据实际情况进行设置。</w:t>
                  </w:r>
                </w:p>
              </w:tc>
              <w:tc>
                <w:tcPr>
                  <w:tcW w:w="579"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contextualSpacing/>
                    <w:jc w:val="center"/>
                    <w:textAlignment w:val="auto"/>
                    <w:rPr>
                      <w:rFonts w:hint="eastAsia"/>
                      <w:color w:val="000000" w:themeColor="text1"/>
                      <w:kern w:val="0"/>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0" w:hRule="atLeast"/>
                <w:jc w:val="center"/>
              </w:trPr>
              <w:tc>
                <w:tcPr>
                  <w:tcW w:w="564" w:type="pct"/>
                  <w:vMerge w:val="restar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公用工程</w:t>
                  </w: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供电</w:t>
                  </w:r>
                </w:p>
              </w:tc>
              <w:tc>
                <w:tcPr>
                  <w:tcW w:w="3008" w:type="pct"/>
                  <w:gridSpan w:val="2"/>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contextualSpacing/>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本工程特点为长线布置，施工用电较为分散。因此，工程施工用电采用附近</w:t>
                  </w:r>
                  <w:r>
                    <w:rPr>
                      <w:rFonts w:hint="eastAsia" w:ascii="Times New Roman" w:hAnsi="Times New Roman" w:eastAsia="宋体"/>
                      <w:color w:val="000000" w:themeColor="text1"/>
                      <w:sz w:val="21"/>
                      <w:szCs w:val="21"/>
                      <w:lang w:val="en-US" w:eastAsia="zh-CN"/>
                      <w14:textFill>
                        <w14:solidFill>
                          <w14:schemeClr w14:val="tx1"/>
                        </w14:solidFill>
                      </w14:textFill>
                    </w:rPr>
                    <w:t>10KV</w:t>
                  </w:r>
                  <w:r>
                    <w:rPr>
                      <w:rFonts w:hint="eastAsia" w:ascii="Times New Roman" w:hAnsi="Times New Roman" w:eastAsia="宋体"/>
                      <w:color w:val="000000" w:themeColor="text1"/>
                      <w:sz w:val="21"/>
                      <w:szCs w:val="21"/>
                      <w:lang w:eastAsia="zh-CN"/>
                      <w14:textFill>
                        <w14:solidFill>
                          <w14:schemeClr w14:val="tx1"/>
                        </w14:solidFill>
                      </w14:textFill>
                    </w:rPr>
                    <w:t>输电线路进行连接，可满足本项目用电需求</w:t>
                  </w:r>
                </w:p>
              </w:tc>
              <w:tc>
                <w:tcPr>
                  <w:tcW w:w="579"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contextualSpacing/>
                    <w:jc w:val="center"/>
                    <w:textAlignment w:val="auto"/>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kern w:val="0"/>
                      <w:sz w:val="21"/>
                      <w:szCs w:val="21"/>
                      <w14:textFill>
                        <w14:solidFill>
                          <w14:schemeClr w14:val="tx1"/>
                        </w14:solidFill>
                      </w14:textFill>
                    </w:rPr>
                  </w:pP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lang w:eastAsia="zh-CN"/>
                      <w14:textFill>
                        <w14:solidFill>
                          <w14:schemeClr w14:val="tx1"/>
                        </w14:solidFill>
                      </w14:textFill>
                    </w:rPr>
                    <w:t>给水</w:t>
                  </w:r>
                </w:p>
              </w:tc>
              <w:tc>
                <w:tcPr>
                  <w:tcW w:w="3008" w:type="pct"/>
                  <w:gridSpan w:val="2"/>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contextualSpacing/>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项目主要用水为施工期，施工用水可就近取城北河、湘乐川常流水，生活用水可就近接自来水。</w:t>
                  </w:r>
                </w:p>
              </w:tc>
              <w:tc>
                <w:tcPr>
                  <w:tcW w:w="579"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contextualSpacing/>
                    <w:jc w:val="center"/>
                    <w:textAlignment w:val="auto"/>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jc w:val="center"/>
              </w:trPr>
              <w:tc>
                <w:tcPr>
                  <w:tcW w:w="564" w:type="pct"/>
                  <w:vMerge w:val="restar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lang w:eastAsia="zh-CN"/>
                      <w14:textFill>
                        <w14:solidFill>
                          <w14:schemeClr w14:val="tx1"/>
                        </w14:solidFill>
                      </w14:textFill>
                    </w:rPr>
                    <w:t>环保工程</w:t>
                  </w:r>
                </w:p>
              </w:tc>
              <w:tc>
                <w:tcPr>
                  <w:tcW w:w="846"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b w:val="0"/>
                      <w:bCs w:val="0"/>
                      <w:color w:val="000000" w:themeColor="text1"/>
                      <w:kern w:val="0"/>
                      <w:sz w:val="21"/>
                      <w:szCs w:val="21"/>
                      <w:lang w:eastAsia="zh-CN"/>
                      <w14:textFill>
                        <w14:solidFill>
                          <w14:schemeClr w14:val="tx1"/>
                        </w14:solidFill>
                      </w14:textFill>
                    </w:rPr>
                    <w:t>施工废气治理</w:t>
                  </w:r>
                </w:p>
              </w:tc>
              <w:tc>
                <w:tcPr>
                  <w:tcW w:w="619"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right="-1"/>
                    <w:contextualSpacing/>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施工扬尘及运输扬尘</w:t>
                  </w:r>
                </w:p>
              </w:tc>
              <w:tc>
                <w:tcPr>
                  <w:tcW w:w="2969" w:type="pct"/>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right="-1"/>
                    <w:contextualSpacing/>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施工现场</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应进行</w:t>
                  </w:r>
                  <w:r>
                    <w:rPr>
                      <w:rFonts w:hint="eastAsia" w:ascii="Times New Roman" w:hAnsi="Times New Roman" w:eastAsia="宋体" w:cs="Times New Roman"/>
                      <w:b w:val="0"/>
                      <w:bCs w:val="0"/>
                      <w:color w:val="000000" w:themeColor="text1"/>
                      <w:sz w:val="21"/>
                      <w:szCs w:val="21"/>
                      <w14:textFill>
                        <w14:solidFill>
                          <w14:schemeClr w14:val="tx1"/>
                        </w14:solidFill>
                      </w14:textFill>
                    </w:rPr>
                    <w:t>洒水降尘</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控制运输车辆车速，采用苫布遮盖土方、建筑材料运输车辆，施工路段运输道路采取洒水措施；</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同时</w:t>
                  </w:r>
                  <w:r>
                    <w:rPr>
                      <w:rFonts w:hint="eastAsia" w:ascii="Times New Roman" w:hAnsi="Times New Roman" w:eastAsia="宋体" w:cs="Times New Roman"/>
                      <w:b w:val="0"/>
                      <w:bCs w:val="0"/>
                      <w:color w:val="000000" w:themeColor="text1"/>
                      <w:sz w:val="21"/>
                      <w:szCs w:val="21"/>
                      <w14:textFill>
                        <w14:solidFill>
                          <w14:schemeClr w14:val="tx1"/>
                        </w14:solidFill>
                      </w14:textFill>
                    </w:rPr>
                    <w:t>选用低能耗、低污染排放的施工机械、车辆；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b w:val="0"/>
                      <w:bCs w:val="0"/>
                      <w:color w:val="000000" w:themeColor="text1"/>
                      <w:kern w:val="0"/>
                      <w:sz w:val="21"/>
                      <w:szCs w:val="21"/>
                      <w:lang w:eastAsia="zh-CN"/>
                      <w14:textFill>
                        <w14:solidFill>
                          <w14:schemeClr w14:val="tx1"/>
                        </w14:solidFill>
                      </w14:textFill>
                    </w:rPr>
                  </w:pPr>
                </w:p>
              </w:tc>
              <w:tc>
                <w:tcPr>
                  <w:tcW w:w="619"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right="-1"/>
                    <w:contextualSpacing/>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机械废气</w:t>
                  </w:r>
                </w:p>
              </w:tc>
              <w:tc>
                <w:tcPr>
                  <w:tcW w:w="2969" w:type="pct"/>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right="-1"/>
                    <w:contextualSpacing/>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选用质量高、</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对</w:t>
                  </w:r>
                  <w:r>
                    <w:rPr>
                      <w:rFonts w:hint="eastAsia" w:ascii="Times New Roman" w:hAnsi="Times New Roman" w:eastAsia="宋体" w:cs="Times New Roman"/>
                      <w:b w:val="0"/>
                      <w:bCs w:val="0"/>
                      <w:color w:val="000000" w:themeColor="text1"/>
                      <w:sz w:val="21"/>
                      <w:szCs w:val="21"/>
                      <w14:textFill>
                        <w14:solidFill>
                          <w14:schemeClr w14:val="tx1"/>
                        </w14:solidFill>
                      </w14:textFill>
                    </w:rPr>
                    <w:t>大气环境影响小的燃料；加强施工机械、施工运输车辆的管理和维修保养。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0"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kern w:val="0"/>
                      <w:sz w:val="21"/>
                      <w:szCs w:val="21"/>
                      <w:lang w:eastAsia="zh-CN"/>
                      <w14:textFill>
                        <w14:solidFill>
                          <w14:schemeClr w14:val="tx1"/>
                        </w14:solidFill>
                      </w14:textFill>
                    </w:rPr>
                    <w:t>施工废水治理</w:t>
                  </w:r>
                </w:p>
              </w:tc>
              <w:tc>
                <w:tcPr>
                  <w:tcW w:w="61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lang w:eastAsia="zh-CN"/>
                      <w14:textFill>
                        <w14:solidFill>
                          <w14:schemeClr w14:val="tx1"/>
                        </w14:solidFill>
                      </w14:textFill>
                    </w:rPr>
                    <w:t>施工人员生活污水</w:t>
                  </w:r>
                </w:p>
              </w:tc>
              <w:tc>
                <w:tcPr>
                  <w:tcW w:w="2969"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lang w:eastAsia="zh-CN"/>
                      <w14:textFill>
                        <w14:solidFill>
                          <w14:schemeClr w14:val="tx1"/>
                        </w14:solidFill>
                      </w14:textFill>
                    </w:rPr>
                    <w:t>项目不设施工营地，</w:t>
                  </w:r>
                  <w:r>
                    <w:rPr>
                      <w:rFonts w:hint="eastAsia"/>
                      <w:b w:val="0"/>
                      <w:bCs w:val="0"/>
                      <w:color w:val="000000" w:themeColor="text1"/>
                      <w:sz w:val="21"/>
                      <w:szCs w:val="21"/>
                      <w:highlight w:val="none"/>
                      <w:lang w:eastAsia="zh-CN"/>
                      <w14:textFill>
                        <w14:solidFill>
                          <w14:schemeClr w14:val="tx1"/>
                        </w14:solidFill>
                      </w14:textFill>
                    </w:rPr>
                    <w:t>施工</w:t>
                  </w:r>
                  <w:r>
                    <w:rPr>
                      <w:rFonts w:hint="eastAsia" w:ascii="Times New Roman" w:hAnsi="Times New Roman" w:eastAsia="宋体"/>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val="0"/>
                      <w:bCs w:val="0"/>
                      <w:color w:val="000000" w:themeColor="text1"/>
                      <w:kern w:val="0"/>
                      <w:sz w:val="21"/>
                      <w:szCs w:val="21"/>
                      <w:highlight w:val="none"/>
                      <w:lang w:val="en-US" w:eastAsia="zh-CN" w:bidi="ar"/>
                      <w14:textFill>
                        <w14:solidFill>
                          <w14:schemeClr w14:val="tx1"/>
                        </w14:solidFill>
                      </w14:textFill>
                    </w:rPr>
                    <w:t>项目人员入厕依托附近农户旱厕，洗漱废水收集后用于场内抑尘，废水不外排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2"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b w:val="0"/>
                      <w:bCs w:val="0"/>
                      <w:color w:val="000000" w:themeColor="text1"/>
                      <w:kern w:val="0"/>
                      <w:sz w:val="21"/>
                      <w:szCs w:val="21"/>
                      <w:lang w:eastAsia="zh-CN"/>
                      <w14:textFill>
                        <w14:solidFill>
                          <w14:schemeClr w14:val="tx1"/>
                        </w14:solidFill>
                      </w14:textFill>
                    </w:rPr>
                    <w:t>施工噪声治理</w:t>
                  </w:r>
                </w:p>
              </w:tc>
              <w:tc>
                <w:tcPr>
                  <w:tcW w:w="619"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right="-1"/>
                    <w:contextualSpacing/>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施工机械噪声</w:t>
                  </w:r>
                </w:p>
              </w:tc>
              <w:tc>
                <w:tcPr>
                  <w:tcW w:w="2969"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采用低噪声设备；合理布局施工场地，施工高噪声设备和进出施工场地的临时道路应尽量远离声环境敏感点，</w:t>
                  </w:r>
                  <w:r>
                    <w:rPr>
                      <w:rFonts w:hint="eastAsia" w:ascii="Times New Roman" w:hAnsi="Times New Roman" w:eastAsia="宋体"/>
                      <w:b w:val="0"/>
                      <w:bCs w:val="0"/>
                      <w:color w:val="FF0000"/>
                      <w:sz w:val="21"/>
                      <w:szCs w:val="21"/>
                    </w:rPr>
                    <w:t>在敏感点金钟村、王台村、昔沟村、寨河村、川口村、庞川村、莲池村等村住户附近进行施工时，</w:t>
                  </w:r>
                  <w:r>
                    <w:rPr>
                      <w:rFonts w:hint="eastAsia" w:ascii="Times New Roman" w:hAnsi="Times New Roman" w:eastAsia="宋体"/>
                      <w:b w:val="0"/>
                      <w:bCs w:val="0"/>
                      <w:color w:val="000000" w:themeColor="text1"/>
                      <w:sz w:val="21"/>
                      <w:szCs w:val="21"/>
                      <w14:textFill>
                        <w14:solidFill>
                          <w14:schemeClr w14:val="tx1"/>
                        </w14:solidFill>
                      </w14:textFill>
                    </w:rPr>
                    <w:t>敏感点采取声屏障降噪措施；合理安排施工时间，敏感点附近禁止夜间（22:00至次日6:00）施工</w:t>
                  </w:r>
                  <w:r>
                    <w:rPr>
                      <w:rFonts w:hint="eastAsia" w:ascii="Times New Roman" w:hAnsi="Times New Roman" w:eastAsia="宋体"/>
                      <w:b w:val="0"/>
                      <w:bCs w:val="0"/>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1" w:hRule="exac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b w:val="0"/>
                      <w:bCs w:val="0"/>
                      <w:color w:val="000000" w:themeColor="text1"/>
                      <w:kern w:val="0"/>
                      <w:sz w:val="21"/>
                      <w:szCs w:val="21"/>
                      <w:lang w:eastAsia="zh-CN"/>
                      <w14:textFill>
                        <w14:solidFill>
                          <w14:schemeClr w14:val="tx1"/>
                        </w14:solidFill>
                      </w14:textFill>
                    </w:rPr>
                  </w:pPr>
                </w:p>
              </w:tc>
              <w:tc>
                <w:tcPr>
                  <w:tcW w:w="619"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right="-1" w:rightChars="0"/>
                    <w:contextualSpacing/>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运输车辆噪声</w:t>
                  </w:r>
                </w:p>
              </w:tc>
              <w:tc>
                <w:tcPr>
                  <w:tcW w:w="2969" w:type="pct"/>
                  <w:gridSpan w:val="2"/>
                  <w:tcBorders>
                    <w:tl2br w:val="nil"/>
                    <w:tr2bl w:val="nil"/>
                  </w:tcBorders>
                  <w:shd w:val="clear" w:color="auto" w:fill="auto"/>
                  <w:vAlign w:val="center"/>
                </w:tcPr>
                <w:p>
                  <w:pPr>
                    <w:pStyle w:val="5"/>
                    <w:keepNext w:val="0"/>
                    <w:keepLines w:val="0"/>
                    <w:pageBreakBefore w:val="0"/>
                    <w:kinsoku/>
                    <w:wordWrap/>
                    <w:overflowPunct/>
                    <w:topLinePunct w:val="0"/>
                    <w:autoSpaceDE/>
                    <w:autoSpaceDN/>
                    <w:bidi w:val="0"/>
                    <w:adjustRightInd/>
                    <w:snapToGrid/>
                    <w:spacing w:before="0" w:after="0" w:line="240" w:lineRule="auto"/>
                    <w:jc w:val="left"/>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在道路两侧设置警示牌，限制车辆行驶速度不高于20km/h，</w:t>
                  </w:r>
                  <w:r>
                    <w:rPr>
                      <w:rFonts w:hint="eastAsia" w:cs="Times New Roman"/>
                      <w:b w:val="0"/>
                      <w:bCs w:val="0"/>
                      <w:color w:val="FF0000"/>
                      <w:kern w:val="2"/>
                      <w:sz w:val="21"/>
                      <w:szCs w:val="21"/>
                      <w:highlight w:val="none"/>
                      <w:lang w:val="en-US" w:eastAsia="zh-CN" w:bidi="ar-SA"/>
                    </w:rPr>
                    <w:t>在距离敏感点（金钟村、王台村、昔沟村、寨河村、川口村、庞川村、莲池村等）较近的位置禁止鸣笛</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2"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vMerge w:val="restar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lang w:eastAsia="zh-CN"/>
                      <w14:textFill>
                        <w14:solidFill>
                          <w14:schemeClr w14:val="tx1"/>
                        </w14:solidFill>
                      </w14:textFill>
                    </w:rPr>
                    <w:t>施工固废治理</w:t>
                  </w:r>
                </w:p>
              </w:tc>
              <w:tc>
                <w:tcPr>
                  <w:tcW w:w="619"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right="-1" w:rightChars="0"/>
                    <w:contextualSpacing/>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清淤泥沙</w:t>
                  </w:r>
                </w:p>
              </w:tc>
              <w:tc>
                <w:tcPr>
                  <w:tcW w:w="2969" w:type="pct"/>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right="-1" w:rightChars="0"/>
                    <w:contextualSpacing/>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本次清理河道主要为</w:t>
                  </w:r>
                  <w:r>
                    <w:rPr>
                      <w:rFonts w:hint="eastAsia" w:cs="Times New Roman"/>
                      <w:b w:val="0"/>
                      <w:bCs w:val="0"/>
                      <w:color w:val="000000" w:themeColor="text1"/>
                      <w:sz w:val="21"/>
                      <w:szCs w:val="21"/>
                      <w:lang w:val="en-US" w:eastAsia="zh-CN"/>
                      <w14:textFill>
                        <w14:solidFill>
                          <w14:schemeClr w14:val="tx1"/>
                        </w14:solidFill>
                      </w14:textFill>
                    </w:rPr>
                    <w:t>淤泥和砂土</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，清理后</w:t>
                  </w:r>
                  <w:r>
                    <w:rPr>
                      <w:rFonts w:hint="eastAsia" w:cs="Times New Roman"/>
                      <w:b w:val="0"/>
                      <w:bCs w:val="0"/>
                      <w:color w:val="000000" w:themeColor="text1"/>
                      <w:sz w:val="21"/>
                      <w:szCs w:val="21"/>
                      <w:lang w:val="en-US" w:eastAsia="zh-CN"/>
                      <w14:textFill>
                        <w14:solidFill>
                          <w14:schemeClr w14:val="tx1"/>
                        </w14:solidFill>
                      </w14:textFill>
                    </w:rPr>
                    <w:t>晾晒含水率小于8%后</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作为筑路路基填料利用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0"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b w:val="0"/>
                      <w:bCs w:val="0"/>
                      <w:color w:val="000000" w:themeColor="text1"/>
                      <w:kern w:val="0"/>
                      <w:sz w:val="21"/>
                      <w:szCs w:val="21"/>
                      <w:lang w:eastAsia="zh-CN"/>
                      <w14:textFill>
                        <w14:solidFill>
                          <w14:schemeClr w14:val="tx1"/>
                        </w14:solidFill>
                      </w14:textFill>
                    </w:rPr>
                  </w:pPr>
                </w:p>
              </w:tc>
              <w:tc>
                <w:tcPr>
                  <w:tcW w:w="619"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right="-1" w:rightChars="0"/>
                    <w:contextualSpacing/>
                    <w:jc w:val="center"/>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建筑垃圾</w:t>
                  </w:r>
                </w:p>
              </w:tc>
              <w:tc>
                <w:tcPr>
                  <w:tcW w:w="2969" w:type="pct"/>
                  <w:gridSpan w:val="2"/>
                  <w:tcBorders>
                    <w:tl2br w:val="nil"/>
                    <w:tr2bl w:val="nil"/>
                  </w:tcBorders>
                  <w:shd w:val="clear" w:color="auto" w:fill="auto"/>
                  <w:vAlign w:val="center"/>
                </w:tcPr>
                <w:p>
                  <w:pPr>
                    <w:pStyle w:val="5"/>
                    <w:keepNext w:val="0"/>
                    <w:keepLines w:val="0"/>
                    <w:pageBreakBefore w:val="0"/>
                    <w:kinsoku/>
                    <w:wordWrap/>
                    <w:overflowPunct/>
                    <w:topLinePunct w:val="0"/>
                    <w:autoSpaceDE/>
                    <w:autoSpaceDN/>
                    <w:bidi w:val="0"/>
                    <w:adjustRightInd/>
                    <w:snapToGrid/>
                    <w:spacing w:before="0" w:after="0" w:line="240" w:lineRule="auto"/>
                    <w:jc w:val="left"/>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由施工方统一收集后，对于有利用价值的进行分拣回用</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，其他建筑垃圾拉运至附近政府指定地点处置。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2"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p>
              </w:tc>
              <w:tc>
                <w:tcPr>
                  <w:tcW w:w="84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b w:val="0"/>
                      <w:bCs w:val="0"/>
                      <w:color w:val="000000" w:themeColor="text1"/>
                      <w:kern w:val="0"/>
                      <w:sz w:val="21"/>
                      <w:szCs w:val="21"/>
                      <w:lang w:eastAsia="zh-CN"/>
                      <w14:textFill>
                        <w14:solidFill>
                          <w14:schemeClr w14:val="tx1"/>
                        </w14:solidFill>
                      </w14:textFill>
                    </w:rPr>
                  </w:pPr>
                </w:p>
              </w:tc>
              <w:tc>
                <w:tcPr>
                  <w:tcW w:w="619"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right="-1" w:rightChars="0"/>
                    <w:contextualSpacing/>
                    <w:jc w:val="center"/>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生活垃圾</w:t>
                  </w:r>
                </w:p>
              </w:tc>
              <w:tc>
                <w:tcPr>
                  <w:tcW w:w="2969"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沿线各村新建垃圾池共计122座，收集当地居民生活垃圾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 w:hRule="atLeast"/>
                <w:jc w:val="center"/>
              </w:trPr>
              <w:tc>
                <w:tcPr>
                  <w:tcW w:w="564" w:type="pct"/>
                  <w:vMerge w:val="restar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highlight w:val="yellow"/>
                      <w14:textFill>
                        <w14:solidFill>
                          <w14:schemeClr w14:val="tx1"/>
                        </w14:solidFill>
                      </w14:textFill>
                    </w:rPr>
                  </w:pPr>
                  <w:r>
                    <w:rPr>
                      <w:rFonts w:hint="eastAsia" w:ascii="Times New Roman" w:hAnsi="Times New Roman" w:eastAsia="宋体"/>
                      <w:color w:val="000000" w:themeColor="text1"/>
                      <w:kern w:val="0"/>
                      <w:sz w:val="21"/>
                      <w:szCs w:val="21"/>
                      <w:highlight w:val="none"/>
                      <w:lang w:eastAsia="zh-CN"/>
                      <w14:textFill>
                        <w14:solidFill>
                          <w14:schemeClr w14:val="tx1"/>
                        </w14:solidFill>
                      </w14:textFill>
                    </w:rPr>
                    <w:t>水土保护措施</w:t>
                  </w: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contextualSpacing/>
                    <w:jc w:val="center"/>
                    <w:textAlignment w:val="auto"/>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生态保护</w:t>
                  </w:r>
                </w:p>
              </w:tc>
              <w:tc>
                <w:tcPr>
                  <w:tcW w:w="3588" w:type="pct"/>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生态隔离带工程主要位于本次规划生态护坡和已成堤防的护堤地，本次规划对河道两边实施生态隔离带，对河道堤顶上进行平整绿化，达到整体净化生态效果。本次种植主要为国槐和垂柳、间隔2m，河道栽植长度为44.1km，共栽植国槐22050棵，垂柳22050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jc w:val="center"/>
              </w:trPr>
              <w:tc>
                <w:tcPr>
                  <w:tcW w:w="564" w:type="pct"/>
                  <w:vMerge w:val="continue"/>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kern w:val="0"/>
                      <w:sz w:val="21"/>
                      <w:szCs w:val="21"/>
                      <w:highlight w:val="none"/>
                      <w:lang w:eastAsia="zh-CN"/>
                      <w14:textFill>
                        <w14:solidFill>
                          <w14:schemeClr w14:val="tx1"/>
                        </w14:solidFill>
                      </w14:textFill>
                    </w:rPr>
                  </w:pPr>
                </w:p>
              </w:tc>
              <w:tc>
                <w:tcPr>
                  <w:tcW w:w="846" w:type="pct"/>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rightChars="0"/>
                    <w:contextualSpacing/>
                    <w:jc w:val="center"/>
                    <w:textAlignment w:val="auto"/>
                    <w:rPr>
                      <w:rFonts w:hint="eastAsia"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highlight w:val="none"/>
                      <w:lang w:eastAsia="zh-CN"/>
                      <w14:textFill>
                        <w14:solidFill>
                          <w14:schemeClr w14:val="tx1"/>
                        </w14:solidFill>
                      </w14:textFill>
                    </w:rPr>
                    <w:t>植被恢复</w:t>
                  </w:r>
                </w:p>
              </w:tc>
              <w:tc>
                <w:tcPr>
                  <w:tcW w:w="3588" w:type="pct"/>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施工结束后，对临时占地进行绿化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 w:hRule="atLeast"/>
                <w:jc w:val="center"/>
              </w:trPr>
              <w:tc>
                <w:tcPr>
                  <w:tcW w:w="564"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contextualSpacing/>
                    <w:jc w:val="center"/>
                    <w:textAlignment w:val="auto"/>
                    <w:rPr>
                      <w:rFonts w:hint="eastAsia" w:ascii="Times New Roman" w:hAnsi="Times New Roman"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依托工程</w:t>
                  </w:r>
                </w:p>
              </w:tc>
              <w:tc>
                <w:tcPr>
                  <w:tcW w:w="846"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right="-1" w:rightChars="0"/>
                    <w:contextualSpacing/>
                    <w:jc w:val="center"/>
                    <w:textAlignment w:val="auto"/>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施工便道</w:t>
                  </w:r>
                </w:p>
              </w:tc>
              <w:tc>
                <w:tcPr>
                  <w:tcW w:w="3588" w:type="pct"/>
                  <w:gridSpan w:val="3"/>
                  <w:tcBorders>
                    <w:tl2br w:val="nil"/>
                    <w:tr2bl w:val="nil"/>
                  </w:tcBorders>
                  <w:shd w:val="clear" w:color="auto" w:fill="auto"/>
                  <w:vAlign w:val="center"/>
                </w:tcPr>
                <w:p>
                  <w:pPr>
                    <w:keepNext w:val="0"/>
                    <w:keepLines w:val="0"/>
                    <w:pageBreakBefore w:val="0"/>
                    <w:kinsoku/>
                    <w:wordWrap/>
                    <w:overflowPunct/>
                    <w:topLinePunct w:val="0"/>
                    <w:bidi w:val="0"/>
                    <w:adjustRightInd/>
                    <w:snapToGrid/>
                    <w:spacing w:line="240" w:lineRule="auto"/>
                    <w:ind w:right="-1" w:rightChars="0"/>
                    <w:contextualSpacing/>
                    <w:jc w:val="center"/>
                    <w:textAlignment w:val="auto"/>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工程区河段自上而下修建有各类公路、漫水桥及泄水管涵</w:t>
                  </w:r>
                  <w:r>
                    <w:rPr>
                      <w:rFonts w:hint="eastAsia" w:cs="宋体"/>
                      <w:color w:val="000000" w:themeColor="text1"/>
                      <w:kern w:val="0"/>
                      <w:sz w:val="21"/>
                      <w:szCs w:val="21"/>
                      <w:highlight w:val="none"/>
                      <w:lang w:val="en-US" w:eastAsia="zh-CN" w:bidi="ar"/>
                      <w14:textFill>
                        <w14:solidFill>
                          <w14:schemeClr w14:val="tx1"/>
                        </w14:solidFill>
                      </w14:textFill>
                    </w:rPr>
                    <w:t>，满足施工需求</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000000" w:themeColor="text1"/>
                <w:sz w:val="21"/>
                <w:szCs w:val="21"/>
                <w:lang w:val="en-US" w:eastAsia="zh-CN"/>
                <w14:textFill>
                  <w14:solidFill>
                    <w14:schemeClr w14:val="tx1"/>
                  </w14:solidFill>
                </w14:textFill>
              </w:rPr>
            </w:pPr>
            <w:r>
              <w:rPr>
                <w:rFonts w:ascii="Times New Roman" w:hAnsi="Times New Roman" w:eastAsia="宋体" w:cs="Times New Roman"/>
                <w:b/>
                <w:color w:val="000000" w:themeColor="text1"/>
                <w:kern w:val="2"/>
                <w:sz w:val="21"/>
                <w:szCs w:val="21"/>
                <w:lang w:val="en-US" w:eastAsia="zh-CN" w:bidi="ar-SA"/>
                <w14:textFill>
                  <w14:solidFill>
                    <w14:schemeClr w14:val="tx1"/>
                  </w14:solidFill>
                </w14:textFill>
              </w:rPr>
              <w:t>表</w:t>
            </w:r>
            <w:r>
              <w:rPr>
                <w:rFonts w:hint="eastAsia" w:cs="Times New Roman"/>
                <w:b/>
                <w:color w:val="000000" w:themeColor="text1"/>
                <w:kern w:val="2"/>
                <w:sz w:val="21"/>
                <w:szCs w:val="21"/>
                <w:lang w:val="en-US" w:eastAsia="zh-CN" w:bidi="ar-SA"/>
                <w14:textFill>
                  <w14:solidFill>
                    <w14:schemeClr w14:val="tx1"/>
                  </w14:solidFill>
                </w14:textFill>
              </w:rPr>
              <w:t>2-2</w:t>
            </w:r>
            <w:r>
              <w:rPr>
                <w:rFonts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w:t>
            </w:r>
            <w:r>
              <w:rPr>
                <w:rFonts w:hint="eastAsia" w:cs="Times New Roman"/>
                <w:b/>
                <w:color w:val="000000" w:themeColor="text1"/>
                <w:kern w:val="2"/>
                <w:sz w:val="21"/>
                <w:szCs w:val="21"/>
                <w:lang w:val="en-US" w:eastAsia="zh-CN" w:bidi="ar-SA"/>
                <w14:textFill>
                  <w14:solidFill>
                    <w14:schemeClr w14:val="tx1"/>
                  </w14:solidFill>
                </w14:textFill>
              </w:rPr>
              <w:t>工程</w:t>
            </w:r>
            <w:r>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t>特性表</w:t>
            </w:r>
          </w:p>
          <w:tbl>
            <w:tblPr>
              <w:tblStyle w:val="59"/>
              <w:tblW w:w="7818" w:type="dxa"/>
              <w:jc w:val="center"/>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Layout w:type="fixed"/>
              <w:tblCellMar>
                <w:top w:w="0" w:type="dxa"/>
                <w:left w:w="0" w:type="dxa"/>
                <w:bottom w:w="0" w:type="dxa"/>
                <w:right w:w="0" w:type="dxa"/>
              </w:tblCellMar>
            </w:tblPr>
            <w:tblGrid>
              <w:gridCol w:w="734"/>
              <w:gridCol w:w="1692"/>
              <w:gridCol w:w="796"/>
              <w:gridCol w:w="1200"/>
              <w:gridCol w:w="3396"/>
            </w:tblGrid>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序</w:t>
                  </w:r>
                  <w:r>
                    <w:rPr>
                      <w:rFonts w:hint="default" w:ascii="Times New Roman" w:hAnsi="Times New Roman" w:eastAsia="宋体" w:cs="Times New Roman"/>
                      <w:color w:val="000000" w:themeColor="text1"/>
                      <w:spacing w:val="-1"/>
                      <w:sz w:val="21"/>
                      <w:szCs w:val="21"/>
                      <w14:textFill>
                        <w14:solidFill>
                          <w14:schemeClr w14:val="tx1"/>
                        </w14:solidFill>
                      </w14:textFill>
                    </w:rPr>
                    <w:t>号</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项</w:t>
                  </w:r>
                  <w:r>
                    <w:rPr>
                      <w:rFonts w:hint="default" w:ascii="Times New Roman" w:hAnsi="Times New Roman" w:eastAsia="宋体" w:cs="Times New Roman"/>
                      <w:color w:val="000000" w:themeColor="text1"/>
                      <w:spacing w:val="-2"/>
                      <w:sz w:val="21"/>
                      <w:szCs w:val="21"/>
                      <w14:textFill>
                        <w14:solidFill>
                          <w14:schemeClr w14:val="tx1"/>
                        </w14:solidFill>
                      </w14:textFill>
                    </w:rPr>
                    <w:t>目名称</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单位</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数值</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备</w:t>
                  </w:r>
                  <w:r>
                    <w:rPr>
                      <w:rFonts w:hint="default" w:ascii="Times New Roman" w:hAnsi="Times New Roman" w:eastAsia="宋体" w:cs="Times New Roman"/>
                      <w:color w:val="000000" w:themeColor="text1"/>
                      <w:spacing w:val="-2"/>
                      <w:sz w:val="21"/>
                      <w:szCs w:val="21"/>
                      <w14:textFill>
                        <w14:solidFill>
                          <w14:schemeClr w14:val="tx1"/>
                        </w14:solidFill>
                      </w14:textFill>
                    </w:rPr>
                    <w:t>注</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99"/>
                      <w:position w:val="1"/>
                      <w:sz w:val="21"/>
                      <w:szCs w:val="21"/>
                      <w14:textOutline w14:w="3831" w14:cap="flat" w14:cmpd="sng">
                        <w14:solidFill>
                          <w14:srgbClr w14:val="000000"/>
                        </w14:solidFill>
                        <w14:prstDash w14:val="solid"/>
                        <w14:miter w14:val="0"/>
                      </w14:textOutline>
                      <w14:textFill>
                        <w14:solidFill>
                          <w14:schemeClr w14:val="tx1"/>
                        </w14:solidFill>
                      </w14:textFill>
                    </w:rPr>
                    <w:t>一</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Outline w14:w="3831" w14:cap="flat" w14:cmpd="sng">
                        <w14:solidFill>
                          <w14:srgbClr w14:val="000000"/>
                        </w14:solidFill>
                        <w14:prstDash w14:val="solid"/>
                        <w14:miter w14:val="0"/>
                      </w14:textOutline>
                      <w14:textFill>
                        <w14:solidFill>
                          <w14:schemeClr w14:val="tx1"/>
                        </w14:solidFill>
                      </w14:textFill>
                    </w:rPr>
                    <w:t>工</w:t>
                  </w:r>
                  <w:r>
                    <w:rPr>
                      <w:rFonts w:hint="default" w:ascii="Times New Roman" w:hAnsi="Times New Roman" w:eastAsia="宋体" w:cs="Times New Roman"/>
                      <w:color w:val="000000" w:themeColor="text1"/>
                      <w:sz w:val="21"/>
                      <w:szCs w:val="21"/>
                      <w14:textOutline w14:w="3831" w14:cap="flat" w14:cmpd="sng">
                        <w14:solidFill>
                          <w14:srgbClr w14:val="000000"/>
                        </w14:solidFill>
                        <w14:prstDash w14:val="solid"/>
                        <w14:miter w14:val="0"/>
                      </w14:textOutline>
                      <w14:textFill>
                        <w14:solidFill>
                          <w14:schemeClr w14:val="tx1"/>
                        </w14:solidFill>
                      </w14:textFill>
                    </w:rPr>
                    <w:t>程主要技术指标</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设计水</w:t>
                  </w:r>
                  <w:r>
                    <w:rPr>
                      <w:rFonts w:hint="default" w:ascii="Times New Roman" w:hAnsi="Times New Roman" w:eastAsia="宋体" w:cs="Times New Roman"/>
                      <w:color w:val="000000" w:themeColor="text1"/>
                      <w:spacing w:val="-1"/>
                      <w:sz w:val="21"/>
                      <w:szCs w:val="21"/>
                      <w14:textFill>
                        <w14:solidFill>
                          <w14:schemeClr w14:val="tx1"/>
                        </w14:solidFill>
                      </w14:textFill>
                    </w:rPr>
                    <w:t>平年</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25</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设</w:t>
                  </w:r>
                  <w:r>
                    <w:rPr>
                      <w:rFonts w:hint="default" w:ascii="Times New Roman" w:hAnsi="Times New Roman" w:eastAsia="宋体" w:cs="Times New Roman"/>
                      <w:color w:val="000000" w:themeColor="text1"/>
                      <w:spacing w:val="-2"/>
                      <w:sz w:val="21"/>
                      <w:szCs w:val="21"/>
                      <w14:textFill>
                        <w14:solidFill>
                          <w14:schemeClr w14:val="tx1"/>
                        </w14:solidFill>
                      </w14:textFill>
                    </w:rPr>
                    <w:t>防标准</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生态护</w:t>
                  </w:r>
                  <w:r>
                    <w:rPr>
                      <w:rFonts w:hint="default" w:ascii="Times New Roman" w:hAnsi="Times New Roman" w:eastAsia="宋体" w:cs="Times New Roman"/>
                      <w:color w:val="000000" w:themeColor="text1"/>
                      <w:spacing w:val="-1"/>
                      <w:sz w:val="21"/>
                      <w:szCs w:val="21"/>
                      <w14:textFill>
                        <w14:solidFill>
                          <w14:schemeClr w14:val="tx1"/>
                        </w14:solidFill>
                      </w14:textFill>
                    </w:rPr>
                    <w:t>岸</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10</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整治</w:t>
                  </w:r>
                  <w:r>
                    <w:rPr>
                      <w:rFonts w:hint="default" w:ascii="Times New Roman" w:hAnsi="Times New Roman" w:eastAsia="宋体" w:cs="Times New Roman"/>
                      <w:color w:val="000000" w:themeColor="text1"/>
                      <w:spacing w:val="-1"/>
                      <w:sz w:val="21"/>
                      <w:szCs w:val="21"/>
                      <w14:textFill>
                        <w14:solidFill>
                          <w14:schemeClr w14:val="tx1"/>
                        </w14:solidFill>
                      </w14:textFill>
                    </w:rPr>
                    <w:t>长度</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34.36</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城北河整治</w:t>
                  </w:r>
                  <w:r>
                    <w:rPr>
                      <w:rFonts w:hint="default" w:ascii="Times New Roman" w:hAnsi="Times New Roman" w:eastAsia="宋体" w:cs="Times New Roman"/>
                      <w:color w:val="000000" w:themeColor="text1"/>
                      <w:sz w:val="21"/>
                      <w:szCs w:val="21"/>
                      <w14:textFill>
                        <w14:solidFill>
                          <w14:schemeClr w14:val="tx1"/>
                        </w14:solidFill>
                      </w14:textFill>
                    </w:rPr>
                    <w:t>长度</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.08</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城</w:t>
                  </w:r>
                  <w:r>
                    <w:rPr>
                      <w:rFonts w:hint="default" w:ascii="Times New Roman" w:hAnsi="Times New Roman" w:eastAsia="宋体" w:cs="Times New Roman"/>
                      <w:color w:val="000000" w:themeColor="text1"/>
                      <w:spacing w:val="5"/>
                      <w:sz w:val="21"/>
                      <w:szCs w:val="21"/>
                      <w14:textFill>
                        <w14:solidFill>
                          <w14:schemeClr w14:val="tx1"/>
                        </w14:solidFill>
                      </w14:textFill>
                    </w:rPr>
                    <w:t>北河(</w:t>
                  </w: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pacing w:val="5"/>
                      <w:sz w:val="21"/>
                      <w:szCs w:val="21"/>
                      <w14:textFill>
                        <w14:solidFill>
                          <w14:schemeClr w14:val="tx1"/>
                        </w14:solidFill>
                      </w14:textFill>
                    </w:rPr>
                    <w:t>1+724~</w:t>
                  </w: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pacing w:val="5"/>
                      <w:sz w:val="21"/>
                      <w:szCs w:val="21"/>
                      <w14:textFill>
                        <w14:solidFill>
                          <w14:schemeClr w14:val="tx1"/>
                        </w14:solidFill>
                      </w14:textFill>
                    </w:rPr>
                    <w:t>21+813.7)</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湘乐川整</w:t>
                  </w:r>
                  <w:r>
                    <w:rPr>
                      <w:rFonts w:hint="default" w:ascii="Times New Roman" w:hAnsi="Times New Roman" w:eastAsia="宋体" w:cs="Times New Roman"/>
                      <w:color w:val="000000" w:themeColor="text1"/>
                      <w:sz w:val="21"/>
                      <w:szCs w:val="21"/>
                      <w14:textFill>
                        <w14:solidFill>
                          <w14:schemeClr w14:val="tx1"/>
                        </w14:solidFill>
                      </w14:textFill>
                    </w:rPr>
                    <w:t>治长度</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1</w:t>
                  </w:r>
                  <w:r>
                    <w:rPr>
                      <w:rFonts w:hint="default" w:ascii="Times New Roman" w:hAnsi="Times New Roman" w:eastAsia="宋体" w:cs="Times New Roman"/>
                      <w:color w:val="000000" w:themeColor="text1"/>
                      <w:spacing w:val="-3"/>
                      <w:sz w:val="21"/>
                      <w:szCs w:val="21"/>
                      <w14:textFill>
                        <w14:solidFill>
                          <w14:schemeClr w14:val="tx1"/>
                        </w14:solidFill>
                      </w14:textFill>
                    </w:rPr>
                    <w:t>4.28</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湘乐川(</w:t>
                  </w: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pacing w:val="6"/>
                      <w:sz w:val="21"/>
                      <w:szCs w:val="21"/>
                      <w14:textFill>
                        <w14:solidFill>
                          <w14:schemeClr w14:val="tx1"/>
                        </w14:solidFill>
                      </w14:textFill>
                    </w:rPr>
                    <w:t>4+702~</w:t>
                  </w: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pacing w:val="6"/>
                      <w:sz w:val="21"/>
                      <w:szCs w:val="21"/>
                      <w14:textFill>
                        <w14:solidFill>
                          <w14:schemeClr w14:val="tx1"/>
                        </w14:solidFill>
                      </w14:textFill>
                    </w:rPr>
                    <w:t>18.984</w:t>
                  </w:r>
                  <w:r>
                    <w:rPr>
                      <w:rFonts w:hint="default" w:ascii="Times New Roman" w:hAnsi="Times New Roman" w:eastAsia="宋体" w:cs="Times New Roman"/>
                      <w:color w:val="000000" w:themeColor="text1"/>
                      <w:spacing w:val="5"/>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规划整治面积</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pPr>
                  <w:r>
                    <w:rPr>
                      <w:rFonts w:hint="default" w:ascii="Times New Roman" w:hAnsi="Times New Roman" w:eastAsia="宋体" w:cs="Times New Roman"/>
                      <w:color w:val="000000" w:themeColor="text1"/>
                      <w:spacing w:val="-18"/>
                      <w:position w:val="1"/>
                      <w:sz w:val="21"/>
                      <w:szCs w:val="21"/>
                      <w14:textFill>
                        <w14:solidFill>
                          <w14:schemeClr w14:val="tx1"/>
                        </w14:solidFill>
                      </w14:textFill>
                    </w:rPr>
                    <w:t>万</w:t>
                  </w:r>
                  <w:r>
                    <w:rPr>
                      <w:rFonts w:hint="default" w:ascii="Times New Roman" w:hAnsi="Times New Roman" w:eastAsia="宋体" w:cs="Times New Roman"/>
                      <w:color w:val="000000" w:themeColor="text1"/>
                      <w:spacing w:val="-15"/>
                      <w:position w:val="1"/>
                      <w:sz w:val="21"/>
                      <w:szCs w:val="21"/>
                      <w14:textFill>
                        <w14:solidFill>
                          <w14:schemeClr w14:val="tx1"/>
                        </w14:solidFill>
                      </w14:textFill>
                    </w:rPr>
                    <w:t xml:space="preserve"> m</w:t>
                  </w:r>
                  <w:r>
                    <w:rPr>
                      <w:rFonts w:hint="eastAsia" w:ascii="Times New Roman" w:hAnsi="Times New Roman" w:eastAsia="宋体" w:cs="Times New Roman"/>
                      <w:color w:val="000000" w:themeColor="text1"/>
                      <w:spacing w:val="-15"/>
                      <w:position w:val="1"/>
                      <w:sz w:val="21"/>
                      <w:szCs w:val="21"/>
                      <w:vertAlign w:val="superscript"/>
                      <w:lang w:val="en-US" w:eastAsia="zh-CN"/>
                      <w14:textFill>
                        <w14:solidFill>
                          <w14:schemeClr w14:val="tx1"/>
                        </w14:solidFill>
                      </w14:textFill>
                    </w:rPr>
                    <w:t>2</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.59</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工程规模</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469"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5.1</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清淤疏浚工</w:t>
                  </w:r>
                  <w:r>
                    <w:rPr>
                      <w:rFonts w:hint="default" w:ascii="Times New Roman" w:hAnsi="Times New Roman" w:eastAsia="宋体" w:cs="Times New Roman"/>
                      <w:color w:val="000000" w:themeColor="text1"/>
                      <w:sz w:val="21"/>
                      <w:szCs w:val="21"/>
                      <w14:textFill>
                        <w14:solidFill>
                          <w14:schemeClr w14:val="tx1"/>
                        </w14:solidFill>
                      </w14:textFill>
                    </w:rPr>
                    <w:t>程</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tabs>
                      <w:tab w:val="left" w:pos="50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城北河县城段</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ab/>
                  </w:r>
                  <w:r>
                    <w:rPr>
                      <w:rFonts w:hint="default" w:ascii="Times New Roman" w:hAnsi="Times New Roman" w:eastAsia="宋体" w:cs="Times New Roman"/>
                      <w:color w:val="000000" w:themeColor="text1"/>
                      <w:spacing w:val="8"/>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pacing w:val="4"/>
                      <w:sz w:val="21"/>
                      <w:szCs w:val="21"/>
                      <w14:textFill>
                        <w14:solidFill>
                          <w14:schemeClr w14:val="tx1"/>
                        </w14:solidFill>
                      </w14:textFill>
                    </w:rPr>
                    <w:t>20+603.4~</w:t>
                  </w: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pacing w:val="4"/>
                      <w:sz w:val="21"/>
                      <w:szCs w:val="21"/>
                      <w14:textFill>
                        <w14:solidFill>
                          <w14:schemeClr w14:val="tx1"/>
                        </w14:solidFill>
                      </w14:textFill>
                    </w:rPr>
                    <w:t>21+813.7)</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河道长度</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1</w:t>
                  </w:r>
                  <w:r>
                    <w:rPr>
                      <w:rFonts w:hint="default" w:ascii="Times New Roman" w:hAnsi="Times New Roman" w:eastAsia="宋体" w:cs="Times New Roman"/>
                      <w:color w:val="000000" w:themeColor="text1"/>
                      <w:spacing w:val="-4"/>
                      <w:sz w:val="21"/>
                      <w:szCs w:val="21"/>
                      <w14:textFill>
                        <w14:solidFill>
                          <w14:schemeClr w14:val="tx1"/>
                        </w14:solidFill>
                      </w14:textFill>
                    </w:rPr>
                    <w:t>.21</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清</w:t>
                  </w:r>
                  <w:r>
                    <w:rPr>
                      <w:rFonts w:hint="default" w:ascii="Times New Roman" w:hAnsi="Times New Roman" w:eastAsia="宋体" w:cs="Times New Roman"/>
                      <w:color w:val="000000" w:themeColor="text1"/>
                      <w:spacing w:val="-1"/>
                      <w:sz w:val="21"/>
                      <w:szCs w:val="21"/>
                      <w14:textFill>
                        <w14:solidFill>
                          <w14:schemeClr w14:val="tx1"/>
                        </w14:solidFill>
                      </w14:textFill>
                    </w:rPr>
                    <w:t>淤面积</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10</w:t>
                  </w:r>
                  <w:r>
                    <w:rPr>
                      <w:rFonts w:hint="default" w:ascii="Times New Roman" w:hAnsi="Times New Roman" w:eastAsia="宋体" w:cs="Times New Roman"/>
                      <w:color w:val="000000" w:themeColor="text1"/>
                      <w:spacing w:val="-2"/>
                      <w:sz w:val="21"/>
                      <w:szCs w:val="21"/>
                      <w14:textFill>
                        <w14:solidFill>
                          <w14:schemeClr w14:val="tx1"/>
                        </w14:solidFill>
                      </w14:textFill>
                    </w:rPr>
                    <w:t>3255.32</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清淤</w:t>
                  </w:r>
                  <w:r>
                    <w:rPr>
                      <w:rFonts w:hint="default" w:ascii="Times New Roman" w:hAnsi="Times New Roman" w:eastAsia="宋体" w:cs="Times New Roman"/>
                      <w:color w:val="000000" w:themeColor="text1"/>
                      <w:spacing w:val="-5"/>
                      <w:sz w:val="21"/>
                      <w:szCs w:val="21"/>
                      <w14:textFill>
                        <w14:solidFill>
                          <w14:schemeClr w14:val="tx1"/>
                        </w14:solidFill>
                      </w14:textFill>
                    </w:rPr>
                    <w:t>平</w:t>
                  </w:r>
                  <w:r>
                    <w:rPr>
                      <w:rFonts w:hint="default" w:ascii="Times New Roman" w:hAnsi="Times New Roman" w:eastAsia="宋体" w:cs="Times New Roman"/>
                      <w:color w:val="000000" w:themeColor="text1"/>
                      <w:spacing w:val="-4"/>
                      <w:sz w:val="21"/>
                      <w:szCs w:val="21"/>
                      <w14:textFill>
                        <w14:solidFill>
                          <w14:schemeClr w14:val="tx1"/>
                        </w14:solidFill>
                      </w14:textFill>
                    </w:rPr>
                    <w:t>均深度 1.94m</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5.</w:t>
                  </w:r>
                  <w:r>
                    <w:rPr>
                      <w:rFonts w:hint="eastAsia" w:cs="Times New Roman"/>
                      <w:color w:val="000000" w:themeColor="text1"/>
                      <w:spacing w:val="-2"/>
                      <w:sz w:val="21"/>
                      <w:szCs w:val="21"/>
                      <w:lang w:val="en-US" w:eastAsia="zh-CN"/>
                      <w14:textFill>
                        <w14:solidFill>
                          <w14:schemeClr w14:val="tx1"/>
                        </w14:solidFill>
                      </w14:textFill>
                    </w:rPr>
                    <w:t>2</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生</w:t>
                  </w:r>
                  <w:r>
                    <w:rPr>
                      <w:rFonts w:hint="default" w:ascii="Times New Roman" w:hAnsi="Times New Roman" w:eastAsia="宋体" w:cs="Times New Roman"/>
                      <w:color w:val="000000" w:themeColor="text1"/>
                      <w:spacing w:val="-1"/>
                      <w:sz w:val="21"/>
                      <w:szCs w:val="21"/>
                      <w14:textFill>
                        <w14:solidFill>
                          <w14:schemeClr w14:val="tx1"/>
                        </w14:solidFill>
                      </w14:textFill>
                    </w:rPr>
                    <w:t>态护岸工程</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39+054</w:t>
                  </w:r>
                  <w:r>
                    <w:rPr>
                      <w:rFonts w:hint="default" w:ascii="Times New Roman" w:hAnsi="Times New Roman" w:eastAsia="宋体" w:cs="Times New Roman"/>
                      <w:color w:val="000000" w:themeColor="text1"/>
                      <w:sz w:val="21"/>
                      <w:szCs w:val="21"/>
                      <w14:textFill>
                        <w14:solidFill>
                          <w14:schemeClr w14:val="tx1"/>
                        </w14:solidFill>
                      </w14:textFill>
                    </w:rPr>
                    <w:t>~46+287</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83"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城</w:t>
                  </w:r>
                  <w:r>
                    <w:rPr>
                      <w:rFonts w:hint="default" w:ascii="Times New Roman" w:hAnsi="Times New Roman" w:eastAsia="宋体" w:cs="Times New Roman"/>
                      <w:color w:val="000000" w:themeColor="text1"/>
                      <w:spacing w:val="-1"/>
                      <w:sz w:val="21"/>
                      <w:szCs w:val="21"/>
                      <w14:textFill>
                        <w14:solidFill>
                          <w14:schemeClr w14:val="tx1"/>
                        </w14:solidFill>
                      </w14:textFill>
                    </w:rPr>
                    <w:t>北河</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position w:val="5"/>
                      <w:sz w:val="21"/>
                      <w:szCs w:val="21"/>
                      <w14:textFill>
                        <w14:solidFill>
                          <w14:schemeClr w14:val="tx1"/>
                        </w14:solidFill>
                      </w14:textFill>
                    </w:rPr>
                    <w:t>杨家湾子至寨河</w:t>
                  </w:r>
                  <w:r>
                    <w:rPr>
                      <w:rFonts w:hint="default" w:ascii="Times New Roman" w:hAnsi="Times New Roman" w:eastAsia="宋体" w:cs="Times New Roman"/>
                      <w:color w:val="000000" w:themeColor="text1"/>
                      <w:position w:val="5"/>
                      <w:sz w:val="21"/>
                      <w:szCs w:val="21"/>
                      <w14:textFill>
                        <w14:solidFill>
                          <w14:schemeClr w14:val="tx1"/>
                        </w14:solidFill>
                      </w14:textFill>
                    </w:rPr>
                    <w:t>段</w:t>
                  </w:r>
                  <w:r>
                    <w:rPr>
                      <w:rFonts w:hint="default" w:ascii="Times New Roman" w:hAnsi="Times New Roman" w:eastAsia="宋体" w:cs="Times New Roman"/>
                      <w:color w:val="000000" w:themeColor="text1"/>
                      <w:sz w:val="21"/>
                      <w:szCs w:val="21"/>
                      <w14:textFill>
                        <w14:solidFill>
                          <w14:schemeClr w14:val="tx1"/>
                        </w14:solidFill>
                      </w14:textFill>
                    </w:rPr>
                    <w:t>K2+323~K6+701</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河道长度</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pacing w:val="-1"/>
                      <w:sz w:val="21"/>
                      <w:szCs w:val="21"/>
                      <w:lang w:val="en-US" w:eastAsia="zh-CN"/>
                      <w14:textFill>
                        <w14:solidFill>
                          <w14:schemeClr w14:val="tx1"/>
                        </w14:solidFill>
                      </w14:textFill>
                    </w:rPr>
                    <w:t>4.38</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生态护</w:t>
                  </w:r>
                  <w:r>
                    <w:rPr>
                      <w:rFonts w:hint="default" w:ascii="Times New Roman" w:hAnsi="Times New Roman" w:eastAsia="宋体" w:cs="Times New Roman"/>
                      <w:color w:val="000000" w:themeColor="text1"/>
                      <w:spacing w:val="-1"/>
                      <w:sz w:val="21"/>
                      <w:szCs w:val="21"/>
                      <w14:textFill>
                        <w14:solidFill>
                          <w14:schemeClr w14:val="tx1"/>
                        </w14:solidFill>
                      </w14:textFill>
                    </w:rPr>
                    <w:t>坡</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pacing w:val="-2"/>
                      <w:sz w:val="21"/>
                      <w:szCs w:val="21"/>
                      <w:lang w:val="en-US" w:eastAsia="zh-CN"/>
                      <w14:textFill>
                        <w14:solidFill>
                          <w14:schemeClr w14:val="tx1"/>
                        </w14:solidFill>
                      </w14:textFill>
                    </w:rPr>
                    <w:t>7.59</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湘乐川</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83"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河道长度</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7</w:t>
                  </w:r>
                  <w:r>
                    <w:rPr>
                      <w:rFonts w:hint="default" w:ascii="Times New Roman" w:hAnsi="Times New Roman" w:eastAsia="宋体" w:cs="Times New Roman"/>
                      <w:color w:val="000000" w:themeColor="text1"/>
                      <w:spacing w:val="-1"/>
                      <w:sz w:val="21"/>
                      <w:szCs w:val="21"/>
                      <w14:textFill>
                        <w14:solidFill>
                          <w14:schemeClr w14:val="tx1"/>
                        </w14:solidFill>
                      </w14:textFill>
                    </w:rPr>
                    <w:t>.58</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position w:val="5"/>
                      <w:sz w:val="21"/>
                      <w:szCs w:val="21"/>
                      <w14:textFill>
                        <w14:solidFill>
                          <w14:schemeClr w14:val="tx1"/>
                        </w14:solidFill>
                      </w14:textFill>
                    </w:rPr>
                    <w:t>昔沟</w:t>
                  </w:r>
                  <w:r>
                    <w:rPr>
                      <w:rFonts w:hint="default" w:ascii="Times New Roman" w:hAnsi="Times New Roman" w:eastAsia="宋体" w:cs="Times New Roman"/>
                      <w:color w:val="000000" w:themeColor="text1"/>
                      <w:spacing w:val="-1"/>
                      <w:position w:val="5"/>
                      <w:sz w:val="21"/>
                      <w:szCs w:val="21"/>
                      <w14:textFill>
                        <w14:solidFill>
                          <w14:schemeClr w14:val="tx1"/>
                        </w14:solidFill>
                      </w14:textFill>
                    </w:rPr>
                    <w:t>至寨河段</w:t>
                  </w:r>
                  <w:r>
                    <w:rPr>
                      <w:rFonts w:hint="default" w:ascii="Times New Roman" w:hAnsi="Times New Roman" w:eastAsia="宋体" w:cs="Times New Roman"/>
                      <w:color w:val="000000" w:themeColor="text1"/>
                      <w:sz w:val="21"/>
                      <w:szCs w:val="21"/>
                      <w14:textFill>
                        <w14:solidFill>
                          <w14:schemeClr w14:val="tx1"/>
                        </w14:solidFill>
                      </w14:textFill>
                    </w:rPr>
                    <w:t>K11+401~K18+984</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生态护</w:t>
                  </w:r>
                  <w:r>
                    <w:rPr>
                      <w:rFonts w:hint="default" w:ascii="Times New Roman" w:hAnsi="Times New Roman" w:eastAsia="宋体" w:cs="Times New Roman"/>
                      <w:color w:val="000000" w:themeColor="text1"/>
                      <w:spacing w:val="-1"/>
                      <w:sz w:val="21"/>
                      <w:szCs w:val="21"/>
                      <w14:textFill>
                        <w14:solidFill>
                          <w14:schemeClr w14:val="tx1"/>
                        </w14:solidFill>
                      </w14:textFill>
                    </w:rPr>
                    <w:t>坡</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1</w:t>
                  </w:r>
                  <w:r>
                    <w:rPr>
                      <w:rFonts w:hint="default" w:ascii="Times New Roman" w:hAnsi="Times New Roman" w:eastAsia="宋体" w:cs="Times New Roman"/>
                      <w:color w:val="000000" w:themeColor="text1"/>
                      <w:spacing w:val="-5"/>
                      <w:sz w:val="21"/>
                      <w:szCs w:val="21"/>
                      <w14:textFill>
                        <w14:solidFill>
                          <w14:schemeClr w14:val="tx1"/>
                        </w14:solidFill>
                      </w14:textFill>
                    </w:rPr>
                    <w:t>1.50</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Outline w14:w="3831" w14:cap="flat" w14:cmpd="sng">
                        <w14:solidFill>
                          <w14:srgbClr w14:val="000000"/>
                        </w14:solidFill>
                        <w14:prstDash w14:val="solid"/>
                        <w14:miter w14:val="0"/>
                      </w14:textOutline>
                      <w14:textFill>
                        <w14:solidFill>
                          <w14:schemeClr w14:val="tx1"/>
                        </w14:solidFill>
                      </w14:textFill>
                    </w:rPr>
                    <w:t>二</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Outline w14:w="3831" w14:cap="flat" w14:cmpd="sng">
                        <w14:solidFill>
                          <w14:srgbClr w14:val="000000"/>
                        </w14:solidFill>
                        <w14:prstDash w14:val="solid"/>
                        <w14:miter w14:val="0"/>
                      </w14:textOutline>
                      <w14:textFill>
                        <w14:solidFill>
                          <w14:schemeClr w14:val="tx1"/>
                        </w14:solidFill>
                      </w14:textFill>
                    </w:rPr>
                    <w:t>工程</w:t>
                  </w:r>
                  <w:r>
                    <w:rPr>
                      <w:rFonts w:hint="default" w:ascii="Times New Roman" w:hAnsi="Times New Roman" w:eastAsia="宋体" w:cs="Times New Roman"/>
                      <w:color w:val="000000" w:themeColor="text1"/>
                      <w:spacing w:val="-1"/>
                      <w:sz w:val="21"/>
                      <w:szCs w:val="21"/>
                      <w14:textOutline w14:w="3831" w14:cap="flat" w14:cmpd="sng">
                        <w14:solidFill>
                          <w14:srgbClr w14:val="000000"/>
                        </w14:solidFill>
                        <w14:prstDash w14:val="solid"/>
                        <w14:miter w14:val="0"/>
                      </w14:textOutline>
                      <w14:textFill>
                        <w14:solidFill>
                          <w14:schemeClr w14:val="tx1"/>
                        </w14:solidFill>
                      </w14:textFill>
                    </w:rPr>
                    <w:t>量</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清淤疏浚工</w:t>
                  </w:r>
                  <w:r>
                    <w:rPr>
                      <w:rFonts w:hint="default" w:ascii="Times New Roman" w:hAnsi="Times New Roman" w:eastAsia="宋体" w:cs="Times New Roman"/>
                      <w:color w:val="000000" w:themeColor="text1"/>
                      <w:sz w:val="21"/>
                      <w:szCs w:val="21"/>
                      <w14:textFill>
                        <w14:solidFill>
                          <w14:schemeClr w14:val="tx1"/>
                        </w14:solidFill>
                      </w14:textFill>
                    </w:rPr>
                    <w:t>程</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清</w:t>
                  </w:r>
                  <w:r>
                    <w:rPr>
                      <w:rFonts w:hint="default" w:ascii="Times New Roman" w:hAnsi="Times New Roman" w:eastAsia="宋体" w:cs="Times New Roman"/>
                      <w:color w:val="000000" w:themeColor="text1"/>
                      <w:spacing w:val="-1"/>
                      <w:sz w:val="21"/>
                      <w:szCs w:val="21"/>
                      <w14:textFill>
                        <w14:solidFill>
                          <w14:schemeClr w14:val="tx1"/>
                        </w14:solidFill>
                      </w14:textFill>
                    </w:rPr>
                    <w:t>淤总量</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329565</wp:posOffset>
                            </wp:positionH>
                            <wp:positionV relativeFrom="paragraph">
                              <wp:posOffset>66675</wp:posOffset>
                            </wp:positionV>
                            <wp:extent cx="66040" cy="1035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66040" cy="103505"/>
                                    </a:xfrm>
                                    <a:prstGeom prst="rect">
                                      <a:avLst/>
                                    </a:prstGeom>
                                    <a:noFill/>
                                    <a:ln>
                                      <a:noFill/>
                                    </a:ln>
                                  </wps:spPr>
                                  <wps:txbx>
                                    <w:txbxContent>
                                      <w:p>
                                        <w:pPr>
                                          <w:spacing w:before="20" w:line="196"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3</w:t>
                                        </w:r>
                                      </w:p>
                                    </w:txbxContent>
                                  </wps:txbx>
                                  <wps:bodyPr lIns="0" tIns="0" rIns="0" bIns="0" upright="1"/>
                                </wps:wsp>
                              </a:graphicData>
                            </a:graphic>
                          </wp:anchor>
                        </w:drawing>
                      </mc:Choice>
                      <mc:Fallback>
                        <w:pict>
                          <v:shape id="_x0000_s1026" o:spid="_x0000_s1026" o:spt="202" type="#_x0000_t202" style="position:absolute;left:0pt;margin-left:25.95pt;margin-top:5.25pt;height:8.15pt;width:5.2pt;z-index:251662336;mso-width-relative:page;mso-height-relative:page;" filled="f" stroked="f" coordsize="21600,21600" o:gfxdata="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YJBiNUAAAAHAQAADwAAAAAAAAABACAAAAAiAAAAZHJzL2Rvd25yZXYueG1sUEsBAhQAFAAA&#10;AAgAh07iQC+BLnq5AQAAcAMAAA4AAAAAAAAAAQAgAAAAJAEAAGRycy9lMm9Eb2MueG1sUEsFBgAA&#10;AAAGAAYAWQEAAE8FAAAAAA==&#10;">
                            <v:fill on="f" focussize="0,0"/>
                            <v:stroke on="f"/>
                            <v:imagedata o:title=""/>
                            <o:lock v:ext="edit" aspectratio="f"/>
                            <v:textbox inset="0mm,0mm,0mm,0mm">
                              <w:txbxContent>
                                <w:p>
                                  <w:pPr>
                                    <w:spacing w:before="20" w:line="196"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3</w:t>
                                  </w:r>
                                </w:p>
                              </w:txbxContent>
                            </v:textbox>
                          </v:shape>
                        </w:pict>
                      </mc:Fallback>
                    </mc:AlternateConten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10</w:t>
                  </w:r>
                  <w:r>
                    <w:rPr>
                      <w:rFonts w:hint="default" w:ascii="Times New Roman" w:hAnsi="Times New Roman" w:eastAsia="宋体" w:cs="Times New Roman"/>
                      <w:color w:val="000000" w:themeColor="text1"/>
                      <w:spacing w:val="-2"/>
                      <w:sz w:val="21"/>
                      <w:szCs w:val="21"/>
                      <w14:textFill>
                        <w14:solidFill>
                          <w14:schemeClr w14:val="tx1"/>
                        </w14:solidFill>
                      </w14:textFill>
                    </w:rPr>
                    <w:t>3255.32</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生</w:t>
                  </w:r>
                  <w:r>
                    <w:rPr>
                      <w:rFonts w:hint="default" w:ascii="Times New Roman" w:hAnsi="Times New Roman" w:eastAsia="宋体" w:cs="Times New Roman"/>
                      <w:color w:val="000000" w:themeColor="text1"/>
                      <w:spacing w:val="-1"/>
                      <w:sz w:val="21"/>
                      <w:szCs w:val="21"/>
                      <w14:textFill>
                        <w14:solidFill>
                          <w14:schemeClr w14:val="tx1"/>
                        </w14:solidFill>
                      </w14:textFill>
                    </w:rPr>
                    <w:t>态护岸工程</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联锁式护坡形</w:t>
                  </w:r>
                  <w:r>
                    <w:rPr>
                      <w:rFonts w:hint="default" w:ascii="Times New Roman" w:hAnsi="Times New Roman" w:eastAsia="宋体" w:cs="Times New Roman"/>
                      <w:color w:val="000000" w:themeColor="text1"/>
                      <w:sz w:val="21"/>
                      <w:szCs w:val="21"/>
                      <w14:textFill>
                        <w14:solidFill>
                          <w14:schemeClr w14:val="tx1"/>
                        </w14:solidFill>
                      </w14:textFill>
                    </w:rPr>
                    <w:t>式</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9</w:t>
                  </w:r>
                  <w:r>
                    <w:rPr>
                      <w:rFonts w:hint="default" w:ascii="Times New Roman" w:hAnsi="Times New Roman" w:eastAsia="宋体" w:cs="Times New Roman"/>
                      <w:color w:val="000000" w:themeColor="text1"/>
                      <w:spacing w:val="-1"/>
                      <w:sz w:val="21"/>
                      <w:szCs w:val="21"/>
                      <w14:textFill>
                        <w14:solidFill>
                          <w14:schemeClr w14:val="tx1"/>
                        </w14:solidFill>
                      </w14:textFill>
                    </w:rPr>
                    <w:t>.01</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744"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M10浆砌石挡墙+联锁式护坡的复合断面型式</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1</w:t>
                  </w:r>
                  <w:r>
                    <w:rPr>
                      <w:rFonts w:hint="default" w:ascii="Times New Roman" w:hAnsi="Times New Roman" w:eastAsia="宋体" w:cs="Times New Roman"/>
                      <w:color w:val="000000" w:themeColor="text1"/>
                      <w:spacing w:val="-5"/>
                      <w:sz w:val="21"/>
                      <w:szCs w:val="21"/>
                      <w14:textFill>
                        <w14:solidFill>
                          <w14:schemeClr w14:val="tx1"/>
                        </w14:solidFill>
                      </w14:textFill>
                    </w:rPr>
                    <w:t>1.50</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497"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垃圾收运、河道湖库垃圾清理</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收</w:t>
                  </w:r>
                  <w:r>
                    <w:rPr>
                      <w:rFonts w:hint="default" w:ascii="Times New Roman" w:hAnsi="Times New Roman" w:eastAsia="宋体" w:cs="Times New Roman"/>
                      <w:color w:val="000000" w:themeColor="text1"/>
                      <w:spacing w:val="-3"/>
                      <w:sz w:val="21"/>
                      <w:szCs w:val="21"/>
                      <w14:textFill>
                        <w14:solidFill>
                          <w14:schemeClr w14:val="tx1"/>
                        </w14:solidFill>
                      </w14:textFill>
                    </w:rPr>
                    <w:t>容垃圾</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吨</w:t>
                  </w:r>
                  <w:r>
                    <w:rPr>
                      <w:rFonts w:hint="default" w:ascii="Times New Roman" w:hAnsi="Times New Roman" w:eastAsia="宋体" w:cs="Times New Roman"/>
                      <w:color w:val="000000" w:themeColor="text1"/>
                      <w:spacing w:val="-5"/>
                      <w:sz w:val="21"/>
                      <w:szCs w:val="21"/>
                      <w14:textFill>
                        <w14:solidFill>
                          <w14:schemeClr w14:val="tx1"/>
                        </w14:solidFill>
                      </w14:textFill>
                    </w:rPr>
                    <w:t>/日</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1</w:t>
                  </w:r>
                  <w:r>
                    <w:rPr>
                      <w:rFonts w:hint="default" w:ascii="Times New Roman" w:hAnsi="Times New Roman" w:eastAsia="宋体" w:cs="Times New Roman"/>
                      <w:color w:val="000000" w:themeColor="text1"/>
                      <w:spacing w:val="-3"/>
                      <w:sz w:val="21"/>
                      <w:szCs w:val="21"/>
                      <w14:textFill>
                        <w14:solidFill>
                          <w14:schemeClr w14:val="tx1"/>
                        </w14:solidFill>
                      </w14:textFill>
                    </w:rPr>
                    <w:t>4.75</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生态</w:t>
                  </w:r>
                  <w:r>
                    <w:rPr>
                      <w:rFonts w:hint="default" w:ascii="Times New Roman" w:hAnsi="Times New Roman" w:eastAsia="宋体" w:cs="Times New Roman"/>
                      <w:color w:val="000000" w:themeColor="text1"/>
                      <w:spacing w:val="-1"/>
                      <w:sz w:val="21"/>
                      <w:szCs w:val="21"/>
                      <w14:textFill>
                        <w14:solidFill>
                          <w14:schemeClr w14:val="tx1"/>
                        </w14:solidFill>
                      </w14:textFill>
                    </w:rPr>
                    <w:t>隔离带</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栽植</w:t>
                  </w:r>
                  <w:r>
                    <w:rPr>
                      <w:rFonts w:hint="default" w:ascii="Times New Roman" w:hAnsi="Times New Roman" w:eastAsia="宋体" w:cs="Times New Roman"/>
                      <w:color w:val="000000" w:themeColor="text1"/>
                      <w:spacing w:val="-1"/>
                      <w:sz w:val="21"/>
                      <w:szCs w:val="21"/>
                      <w14:textFill>
                        <w14:solidFill>
                          <w14:schemeClr w14:val="tx1"/>
                        </w14:solidFill>
                      </w14:textFill>
                    </w:rPr>
                    <w:t>长度</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4.1</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垂柳</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棵</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22</w:t>
                  </w:r>
                  <w:r>
                    <w:rPr>
                      <w:rFonts w:hint="default" w:ascii="Times New Roman" w:hAnsi="Times New Roman" w:eastAsia="宋体" w:cs="Times New Roman"/>
                      <w:color w:val="000000" w:themeColor="text1"/>
                      <w:sz w:val="21"/>
                      <w:szCs w:val="21"/>
                      <w14:textFill>
                        <w14:solidFill>
                          <w14:schemeClr w14:val="tx1"/>
                        </w14:solidFill>
                      </w14:textFill>
                    </w:rPr>
                    <w:t>050</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国</w:t>
                  </w:r>
                  <w:r>
                    <w:rPr>
                      <w:rFonts w:hint="default" w:ascii="Times New Roman" w:hAnsi="Times New Roman" w:eastAsia="宋体" w:cs="Times New Roman"/>
                      <w:color w:val="000000" w:themeColor="text1"/>
                      <w:spacing w:val="-6"/>
                      <w:sz w:val="21"/>
                      <w:szCs w:val="21"/>
                      <w14:textFill>
                        <w14:solidFill>
                          <w14:schemeClr w14:val="tx1"/>
                        </w14:solidFill>
                      </w14:textFill>
                    </w:rPr>
                    <w:t>槐</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棵</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22</w:t>
                  </w:r>
                  <w:r>
                    <w:rPr>
                      <w:rFonts w:hint="default" w:ascii="Times New Roman" w:hAnsi="Times New Roman" w:eastAsia="宋体" w:cs="Times New Roman"/>
                      <w:color w:val="000000" w:themeColor="text1"/>
                      <w:sz w:val="21"/>
                      <w:szCs w:val="21"/>
                      <w14:textFill>
                        <w14:solidFill>
                          <w14:schemeClr w14:val="tx1"/>
                        </w14:solidFill>
                      </w14:textFill>
                    </w:rPr>
                    <w:t>050</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生态沟</w:t>
                  </w:r>
                  <w:r>
                    <w:rPr>
                      <w:rFonts w:hint="default" w:ascii="Times New Roman" w:hAnsi="Times New Roman" w:eastAsia="宋体" w:cs="Times New Roman"/>
                      <w:color w:val="000000" w:themeColor="text1"/>
                      <w:spacing w:val="-1"/>
                      <w:sz w:val="21"/>
                      <w:szCs w:val="21"/>
                      <w14:textFill>
                        <w14:solidFill>
                          <w14:schemeClr w14:val="tx1"/>
                        </w14:solidFill>
                      </w14:textFill>
                    </w:rPr>
                    <w:t>渠</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支</w:t>
                  </w:r>
                  <w:r>
                    <w:rPr>
                      <w:rFonts w:hint="default" w:ascii="Times New Roman" w:hAnsi="Times New Roman" w:eastAsia="宋体" w:cs="Times New Roman"/>
                      <w:color w:val="000000" w:themeColor="text1"/>
                      <w:spacing w:val="-1"/>
                      <w:sz w:val="21"/>
                      <w:szCs w:val="21"/>
                      <w14:textFill>
                        <w14:solidFill>
                          <w14:schemeClr w14:val="tx1"/>
                        </w14:solidFill>
                      </w14:textFill>
                    </w:rPr>
                    <w:t>沟口整治</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处</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长度</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3</w:t>
                  </w:r>
                  <w:r>
                    <w:rPr>
                      <w:rFonts w:hint="default" w:ascii="Times New Roman" w:hAnsi="Times New Roman" w:eastAsia="宋体" w:cs="Times New Roman"/>
                      <w:color w:val="000000" w:themeColor="text1"/>
                      <w:spacing w:val="-1"/>
                      <w:sz w:val="21"/>
                      <w:szCs w:val="21"/>
                      <w14:textFill>
                        <w14:solidFill>
                          <w14:schemeClr w14:val="tx1"/>
                        </w14:solidFill>
                      </w14:textFill>
                    </w:rPr>
                    <w:t>360</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Outline w14:w="3831" w14:cap="flat" w14:cmpd="sng">
                        <w14:solidFill>
                          <w14:srgbClr w14:val="000000"/>
                        </w14:solidFill>
                        <w14:prstDash w14:val="solid"/>
                        <w14:miter w14:val="0"/>
                      </w14:textOutline>
                      <w14:textFill>
                        <w14:solidFill>
                          <w14:schemeClr w14:val="tx1"/>
                        </w14:solidFill>
                      </w14:textFill>
                    </w:rPr>
                    <w:t>三</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Outline w14:w="3831" w14:cap="flat" w14:cmpd="sng">
                        <w14:solidFill>
                          <w14:srgbClr w14:val="000000"/>
                        </w14:solidFill>
                        <w14:prstDash w14:val="solid"/>
                        <w14:miter w14:val="0"/>
                      </w14:textOutline>
                      <w14:textFill>
                        <w14:solidFill>
                          <w14:schemeClr w14:val="tx1"/>
                        </w14:solidFill>
                      </w14:textFill>
                    </w:rPr>
                    <w:t>工</w:t>
                  </w:r>
                  <w:r>
                    <w:rPr>
                      <w:rFonts w:hint="default" w:ascii="Times New Roman" w:hAnsi="Times New Roman" w:eastAsia="宋体" w:cs="Times New Roman"/>
                      <w:color w:val="000000" w:themeColor="text1"/>
                      <w:spacing w:val="-1"/>
                      <w:sz w:val="21"/>
                      <w:szCs w:val="21"/>
                      <w14:textOutline w14:w="3831" w14:cap="flat" w14:cmpd="sng">
                        <w14:solidFill>
                          <w14:srgbClr w14:val="000000"/>
                        </w14:solidFill>
                        <w14:prstDash w14:val="solid"/>
                        <w14:miter w14:val="0"/>
                      </w14:textOutline>
                      <w14:textFill>
                        <w14:solidFill>
                          <w14:schemeClr w14:val="tx1"/>
                        </w14:solidFill>
                      </w14:textFill>
                    </w:rPr>
                    <w:t>程造价</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37"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建筑工</w:t>
                  </w:r>
                  <w:r>
                    <w:rPr>
                      <w:rFonts w:hint="default" w:ascii="Times New Roman" w:hAnsi="Times New Roman" w:eastAsia="宋体" w:cs="Times New Roman"/>
                      <w:color w:val="000000" w:themeColor="text1"/>
                      <w:spacing w:val="-1"/>
                      <w:sz w:val="21"/>
                      <w:szCs w:val="21"/>
                      <w14:textFill>
                        <w14:solidFill>
                          <w14:schemeClr w14:val="tx1"/>
                        </w14:solidFill>
                      </w14:textFill>
                    </w:rPr>
                    <w:t>程费</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万</w:t>
                  </w:r>
                  <w:r>
                    <w:rPr>
                      <w:rFonts w:hint="default" w:ascii="Times New Roman" w:hAnsi="Times New Roman" w:eastAsia="宋体" w:cs="Times New Roman"/>
                      <w:color w:val="000000" w:themeColor="text1"/>
                      <w:spacing w:val="-2"/>
                      <w:sz w:val="21"/>
                      <w:szCs w:val="21"/>
                      <w14:textFill>
                        <w14:solidFill>
                          <w14:schemeClr w14:val="tx1"/>
                        </w14:solidFill>
                      </w14:textFill>
                    </w:rPr>
                    <w:t>元</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pacing w:val="-1"/>
                      <w:sz w:val="21"/>
                      <w:szCs w:val="21"/>
                      <w:lang w:val="en-US" w:eastAsia="zh-CN"/>
                      <w14:textFill>
                        <w14:solidFill>
                          <w14:schemeClr w14:val="tx1"/>
                        </w14:solidFill>
                      </w14:textFill>
                    </w:rPr>
                    <w:t>7791.49</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临</w:t>
                  </w:r>
                  <w:r>
                    <w:rPr>
                      <w:rFonts w:hint="default" w:ascii="Times New Roman" w:hAnsi="Times New Roman" w:eastAsia="宋体" w:cs="Times New Roman"/>
                      <w:color w:val="000000" w:themeColor="text1"/>
                      <w:spacing w:val="-3"/>
                      <w:sz w:val="21"/>
                      <w:szCs w:val="21"/>
                      <w14:textFill>
                        <w14:solidFill>
                          <w14:schemeClr w14:val="tx1"/>
                        </w14:solidFill>
                      </w14:textFill>
                    </w:rPr>
                    <w:t>时费</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万</w:t>
                  </w:r>
                  <w:r>
                    <w:rPr>
                      <w:rFonts w:hint="default" w:ascii="Times New Roman" w:hAnsi="Times New Roman" w:eastAsia="宋体" w:cs="Times New Roman"/>
                      <w:color w:val="000000" w:themeColor="text1"/>
                      <w:spacing w:val="-2"/>
                      <w:sz w:val="21"/>
                      <w:szCs w:val="21"/>
                      <w14:textFill>
                        <w14:solidFill>
                          <w14:schemeClr w14:val="tx1"/>
                        </w14:solidFill>
                      </w14:textFill>
                    </w:rPr>
                    <w:t>元</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pacing w:val="-3"/>
                      <w:sz w:val="21"/>
                      <w:szCs w:val="21"/>
                      <w:lang w:val="en-US" w:eastAsia="zh-CN"/>
                      <w14:textFill>
                        <w14:solidFill>
                          <w14:schemeClr w14:val="tx1"/>
                        </w14:solidFill>
                      </w14:textFill>
                    </w:rPr>
                    <w:t>201.99</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82"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pacing w:val="-1"/>
                      <w:sz w:val="21"/>
                      <w:szCs w:val="21"/>
                      <w:lang w:eastAsia="zh-CN"/>
                      <w14:textFill>
                        <w14:solidFill>
                          <w14:schemeClr w14:val="tx1"/>
                        </w14:solidFill>
                      </w14:textFill>
                    </w:rPr>
                    <w:t>独立</w:t>
                  </w:r>
                  <w:r>
                    <w:rPr>
                      <w:rFonts w:hint="default" w:ascii="Times New Roman" w:hAnsi="Times New Roman" w:eastAsia="宋体" w:cs="Times New Roman"/>
                      <w:color w:val="000000" w:themeColor="text1"/>
                      <w:spacing w:val="-1"/>
                      <w:sz w:val="21"/>
                      <w:szCs w:val="21"/>
                      <w14:textFill>
                        <w14:solidFill>
                          <w14:schemeClr w14:val="tx1"/>
                        </w14:solidFill>
                      </w14:textFill>
                    </w:rPr>
                    <w:t>费用</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万</w:t>
                  </w:r>
                  <w:r>
                    <w:rPr>
                      <w:rFonts w:hint="default" w:ascii="Times New Roman" w:hAnsi="Times New Roman" w:eastAsia="宋体" w:cs="Times New Roman"/>
                      <w:color w:val="000000" w:themeColor="text1"/>
                      <w:spacing w:val="-2"/>
                      <w:sz w:val="21"/>
                      <w:szCs w:val="21"/>
                      <w14:textFill>
                        <w14:solidFill>
                          <w14:schemeClr w14:val="tx1"/>
                        </w14:solidFill>
                      </w14:textFill>
                    </w:rPr>
                    <w:t>元</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pacing w:val="-1"/>
                      <w:sz w:val="21"/>
                      <w:szCs w:val="21"/>
                      <w:lang w:val="en-US" w:eastAsia="zh-CN"/>
                      <w14:textFill>
                        <w14:solidFill>
                          <w14:schemeClr w14:val="tx1"/>
                        </w14:solidFill>
                      </w14:textFill>
                    </w:rPr>
                    <w:t>795.40</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基本预备费</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万</w:t>
                  </w:r>
                  <w:r>
                    <w:rPr>
                      <w:rFonts w:hint="default" w:ascii="Times New Roman" w:hAnsi="Times New Roman" w:eastAsia="宋体" w:cs="Times New Roman"/>
                      <w:color w:val="000000" w:themeColor="text1"/>
                      <w:spacing w:val="-2"/>
                      <w:sz w:val="21"/>
                      <w:szCs w:val="21"/>
                      <w14:textFill>
                        <w14:solidFill>
                          <w14:schemeClr w14:val="tx1"/>
                        </w14:solidFill>
                      </w14:textFill>
                    </w:rPr>
                    <w:t>元</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pacing w:val="-2"/>
                      <w:sz w:val="21"/>
                      <w:szCs w:val="21"/>
                      <w:lang w:val="en-US" w:eastAsia="zh-CN"/>
                      <w14:textFill>
                        <w14:solidFill>
                          <w14:schemeClr w14:val="tx1"/>
                        </w14:solidFill>
                      </w14:textFill>
                    </w:rPr>
                    <w:t>878.89</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水土</w:t>
                  </w:r>
                  <w:r>
                    <w:rPr>
                      <w:rFonts w:hint="default" w:ascii="Times New Roman" w:hAnsi="Times New Roman" w:eastAsia="宋体" w:cs="Times New Roman"/>
                      <w:color w:val="000000" w:themeColor="text1"/>
                      <w:spacing w:val="-1"/>
                      <w:sz w:val="21"/>
                      <w:szCs w:val="21"/>
                      <w14:textFill>
                        <w14:solidFill>
                          <w14:schemeClr w14:val="tx1"/>
                        </w14:solidFill>
                      </w14:textFill>
                    </w:rPr>
                    <w:t>保持费用</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万</w:t>
                  </w:r>
                  <w:r>
                    <w:rPr>
                      <w:rFonts w:hint="default" w:ascii="Times New Roman" w:hAnsi="Times New Roman" w:eastAsia="宋体" w:cs="Times New Roman"/>
                      <w:color w:val="000000" w:themeColor="text1"/>
                      <w:spacing w:val="-2"/>
                      <w:sz w:val="21"/>
                      <w:szCs w:val="21"/>
                      <w14:textFill>
                        <w14:solidFill>
                          <w14:schemeClr w14:val="tx1"/>
                        </w14:solidFill>
                      </w14:textFill>
                    </w:rPr>
                    <w:t>元</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5</w:t>
                  </w:r>
                  <w:r>
                    <w:rPr>
                      <w:rFonts w:hint="default" w:ascii="Times New Roman" w:hAnsi="Times New Roman" w:eastAsia="宋体" w:cs="Times New Roman"/>
                      <w:color w:val="000000" w:themeColor="text1"/>
                      <w:spacing w:val="-1"/>
                      <w:sz w:val="21"/>
                      <w:szCs w:val="21"/>
                      <w14:textFill>
                        <w14:solidFill>
                          <w14:schemeClr w14:val="tx1"/>
                        </w14:solidFill>
                      </w14:textFill>
                    </w:rPr>
                    <w:t>9.95</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环境保护费</w:t>
                  </w:r>
                  <w:r>
                    <w:rPr>
                      <w:rFonts w:hint="default" w:ascii="Times New Roman" w:hAnsi="Times New Roman" w:eastAsia="宋体" w:cs="Times New Roman"/>
                      <w:color w:val="000000" w:themeColor="text1"/>
                      <w:sz w:val="21"/>
                      <w:szCs w:val="21"/>
                      <w14:textFill>
                        <w14:solidFill>
                          <w14:schemeClr w14:val="tx1"/>
                        </w14:solidFill>
                      </w14:textFill>
                    </w:rPr>
                    <w:t>用</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万</w:t>
                  </w:r>
                  <w:r>
                    <w:rPr>
                      <w:rFonts w:hint="default" w:ascii="Times New Roman" w:hAnsi="Times New Roman" w:eastAsia="宋体" w:cs="Times New Roman"/>
                      <w:color w:val="000000" w:themeColor="text1"/>
                      <w:spacing w:val="-2"/>
                      <w:sz w:val="21"/>
                      <w:szCs w:val="21"/>
                      <w14:textFill>
                        <w14:solidFill>
                          <w14:schemeClr w14:val="tx1"/>
                        </w14:solidFill>
                      </w14:textFill>
                    </w:rPr>
                    <w:t>元</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8.91</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07"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工程占地补偿</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万</w:t>
                  </w:r>
                  <w:r>
                    <w:rPr>
                      <w:rFonts w:hint="default" w:ascii="Times New Roman" w:hAnsi="Times New Roman" w:eastAsia="宋体" w:cs="Times New Roman"/>
                      <w:color w:val="000000" w:themeColor="text1"/>
                      <w:spacing w:val="-2"/>
                      <w:sz w:val="21"/>
                      <w:szCs w:val="21"/>
                      <w14:textFill>
                        <w14:solidFill>
                          <w14:schemeClr w14:val="tx1"/>
                        </w14:solidFill>
                      </w14:textFill>
                    </w:rPr>
                    <w:t>元</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153.38</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总</w:t>
                  </w:r>
                  <w:r>
                    <w:rPr>
                      <w:rFonts w:hint="default" w:ascii="Times New Roman" w:hAnsi="Times New Roman" w:eastAsia="宋体" w:cs="Times New Roman"/>
                      <w:color w:val="000000" w:themeColor="text1"/>
                      <w:spacing w:val="-2"/>
                      <w:sz w:val="21"/>
                      <w:szCs w:val="21"/>
                      <w14:textFill>
                        <w14:solidFill>
                          <w14:schemeClr w14:val="tx1"/>
                        </w14:solidFill>
                      </w14:textFill>
                    </w:rPr>
                    <w:t>估算</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万</w:t>
                  </w:r>
                  <w:r>
                    <w:rPr>
                      <w:rFonts w:hint="default" w:ascii="Times New Roman" w:hAnsi="Times New Roman" w:eastAsia="宋体" w:cs="Times New Roman"/>
                      <w:color w:val="000000" w:themeColor="text1"/>
                      <w:spacing w:val="-2"/>
                      <w:sz w:val="21"/>
                      <w:szCs w:val="21"/>
                      <w14:textFill>
                        <w14:solidFill>
                          <w14:schemeClr w14:val="tx1"/>
                        </w14:solidFill>
                      </w14:textFill>
                    </w:rPr>
                    <w:t>元</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993</w:t>
                  </w:r>
                  <w:r>
                    <w:rPr>
                      <w:rFonts w:hint="eastAsia" w:cs="Times New Roman"/>
                      <w:color w:val="000000" w:themeColor="text1"/>
                      <w:spacing w:val="-1"/>
                      <w:sz w:val="21"/>
                      <w:szCs w:val="21"/>
                      <w:lang w:val="en-US" w:eastAsia="zh-CN"/>
                      <w14:textFill>
                        <w14:solidFill>
                          <w14:schemeClr w14:val="tx1"/>
                        </w14:solidFill>
                      </w14:textFill>
                    </w:rPr>
                    <w:t>0.00</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经济内部收益率</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9.2</w:t>
                  </w:r>
                  <w:r>
                    <w:rPr>
                      <w:rFonts w:hint="default" w:ascii="Times New Roman" w:hAnsi="Times New Roman" w:eastAsia="宋体" w:cs="Times New Roman"/>
                      <w:color w:val="000000" w:themeColor="text1"/>
                      <w:spacing w:val="-1"/>
                      <w:sz w:val="21"/>
                      <w:szCs w:val="21"/>
                      <w14:textFill>
                        <w14:solidFill>
                          <w14:schemeClr w14:val="tx1"/>
                        </w14:solidFill>
                      </w14:textFill>
                    </w:rPr>
                    <w:t>3</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1"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10</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经济</w:t>
                  </w:r>
                  <w:r>
                    <w:rPr>
                      <w:rFonts w:hint="default" w:ascii="Times New Roman" w:hAnsi="Times New Roman" w:eastAsia="宋体" w:cs="Times New Roman"/>
                      <w:color w:val="000000" w:themeColor="text1"/>
                      <w:spacing w:val="-1"/>
                      <w:sz w:val="21"/>
                      <w:szCs w:val="21"/>
                      <w14:textFill>
                        <w14:solidFill>
                          <w14:schemeClr w14:val="tx1"/>
                        </w14:solidFill>
                      </w14:textFill>
                    </w:rPr>
                    <w:t>净现值</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万</w:t>
                  </w:r>
                  <w:r>
                    <w:rPr>
                      <w:rFonts w:hint="default" w:ascii="Times New Roman" w:hAnsi="Times New Roman" w:eastAsia="宋体" w:cs="Times New Roman"/>
                      <w:color w:val="000000" w:themeColor="text1"/>
                      <w:spacing w:val="-2"/>
                      <w:sz w:val="21"/>
                      <w:szCs w:val="21"/>
                      <w14:textFill>
                        <w14:solidFill>
                          <w14:schemeClr w14:val="tx1"/>
                        </w14:solidFill>
                      </w14:textFill>
                    </w:rPr>
                    <w:t>元</w:t>
                  </w: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1</w:t>
                  </w:r>
                  <w:r>
                    <w:rPr>
                      <w:rFonts w:hint="default" w:ascii="Times New Roman" w:hAnsi="Times New Roman" w:eastAsia="宋体" w:cs="Times New Roman"/>
                      <w:color w:val="000000" w:themeColor="text1"/>
                      <w:spacing w:val="-4"/>
                      <w:sz w:val="21"/>
                      <w:szCs w:val="21"/>
                      <w14:textFill>
                        <w14:solidFill>
                          <w14:schemeClr w14:val="tx1"/>
                        </w14:solidFill>
                      </w14:textFill>
                    </w:rPr>
                    <w:t>155.70</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56" w:hRule="atLeast"/>
                <w:jc w:val="center"/>
              </w:trPr>
              <w:tc>
                <w:tcPr>
                  <w:tcW w:w="73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1</w:t>
                  </w:r>
                  <w:r>
                    <w:rPr>
                      <w:rFonts w:hint="default" w:ascii="Times New Roman" w:hAnsi="Times New Roman" w:eastAsia="宋体" w:cs="Times New Roman"/>
                      <w:color w:val="000000" w:themeColor="text1"/>
                      <w:spacing w:val="-7"/>
                      <w:sz w:val="21"/>
                      <w:szCs w:val="21"/>
                      <w14:textFill>
                        <w14:solidFill>
                          <w14:schemeClr w14:val="tx1"/>
                        </w14:solidFill>
                      </w14:textFill>
                    </w:rPr>
                    <w:t>1</w:t>
                  </w:r>
                </w:p>
              </w:tc>
              <w:tc>
                <w:tcPr>
                  <w:tcW w:w="1692"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经济效益费用比</w:t>
                  </w:r>
                </w:p>
              </w:tc>
              <w:tc>
                <w:tcPr>
                  <w:tcW w:w="7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2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1</w:t>
                  </w:r>
                  <w:r>
                    <w:rPr>
                      <w:rFonts w:hint="default" w:ascii="Times New Roman" w:hAnsi="Times New Roman" w:eastAsia="宋体" w:cs="Times New Roman"/>
                      <w:color w:val="000000" w:themeColor="text1"/>
                      <w:spacing w:val="-5"/>
                      <w:sz w:val="21"/>
                      <w:szCs w:val="21"/>
                      <w14:textFill>
                        <w14:solidFill>
                          <w14:schemeClr w14:val="tx1"/>
                        </w14:solidFill>
                      </w14:textFill>
                    </w:rPr>
                    <w:t>.13</w:t>
                  </w:r>
                </w:p>
              </w:tc>
              <w:tc>
                <w:tcPr>
                  <w:tcW w:w="33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bl>
          <w:p>
            <w:pPr>
              <w:spacing w:line="360" w:lineRule="auto"/>
              <w:contextualSpacing/>
              <w:jc w:val="left"/>
              <w:rPr>
                <w:rFonts w:hint="default"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w:t>
            </w:r>
            <w:r>
              <w:rPr>
                <w:rFonts w:hint="eastAsia" w:cs="宋体"/>
                <w:b/>
                <w:bCs/>
                <w:color w:val="000000" w:themeColor="text1"/>
                <w:sz w:val="24"/>
                <w:szCs w:val="24"/>
                <w:lang w:val="en-US" w:eastAsia="zh-CN"/>
                <w14:textFill>
                  <w14:solidFill>
                    <w14:schemeClr w14:val="tx1"/>
                  </w14:solidFill>
                </w14:textFill>
              </w:rPr>
              <w:t>防洪标准</w:t>
            </w:r>
          </w:p>
          <w:p>
            <w:pPr>
              <w:spacing w:line="360" w:lineRule="auto"/>
              <w:ind w:firstLine="480" w:firstLineChars="200"/>
              <w:contextualSpacing/>
              <w:jc w:val="left"/>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宁县城北河重点流域水环境综合治理工程位于宁县城北河流域，涉及城北河和湘乐川两条河流。城北河治理范围北起杨家湾子上游600m处漫水桥，南至城北河与马莲河汇流处，治理河道长度为20.08km。湘乐川治理范围东起莲池村莲花池景区，西至与湘乐川与城北河汇流处，治理河道长度为14.28km。城北河流域总治理河道长度为34.36km。</w:t>
            </w:r>
          </w:p>
          <w:p>
            <w:pPr>
              <w:spacing w:line="360" w:lineRule="auto"/>
              <w:ind w:firstLine="480" w:firstLineChars="200"/>
              <w:contextualSpacing/>
              <w:jc w:val="left"/>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城北河桩号K6+701.6~K10+793.2段（寨河段），主要措施为生态隔离带，位于河道堤防工程以外，不设防洪标准。城北河桩号K20+603.4~K21+813.7段（县城段），主要是对河道进行清淤处理，不设防洪标准。</w:t>
            </w:r>
          </w:p>
          <w:p>
            <w:pPr>
              <w:spacing w:line="360" w:lineRule="auto"/>
              <w:ind w:firstLine="480" w:firstLineChars="200"/>
              <w:contextualSpacing/>
              <w:jc w:val="left"/>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城北河桩号K10+793.2~K20+603.4段（王台至金钟段）、湘乐川桩号K4+702~K11+401段（莲池至庞川段），河道两边已按照10年一遇洪水标准修建完成，护岸级别为5级。参考《防洪标准》（GB50201—2014），该段项目区不淹标准按照2年一遇及5年一遇洪水水面计算进行比较，经洪水水面线计算比较后得知，项目区按2年一遇洪水设防。</w:t>
            </w:r>
          </w:p>
          <w:p>
            <w:pPr>
              <w:spacing w:line="360" w:lineRule="auto"/>
              <w:ind w:firstLine="480" w:firstLineChars="200"/>
              <w:contextualSpacing/>
              <w:jc w:val="left"/>
              <w:rPr>
                <w:rFonts w:hint="eastAsia" w:cs="宋体"/>
                <w:color w:val="FF0000"/>
                <w:sz w:val="24"/>
                <w:szCs w:val="24"/>
                <w:lang w:eastAsia="zh-CN"/>
              </w:rPr>
            </w:pPr>
            <w:r>
              <w:rPr>
                <w:rFonts w:hint="eastAsia" w:ascii="Times New Roman" w:hAnsi="Times New Roman" w:eastAsia="宋体" w:cs="宋体"/>
                <w:color w:val="FF0000"/>
                <w:sz w:val="24"/>
                <w:szCs w:val="24"/>
                <w:lang w:eastAsia="zh-CN"/>
              </w:rPr>
              <w:t>城北河桩号K1+724~K6+701.6段（杨家湾子至寨河段）、湘乐川桩号K11+401~ K18+984段（昔沟至寨河段），依据《防洪标准》（GB50201-2014），乡村防护区应根据人口或耕地面积分为四个防护等级，工程区为乡村防护区，防护对象为农田和村庄，防护区人口小于20万，耕地面积小于30万亩，防护等级为Ⅳ等，防洪标准(重现期)为10~20年。由于本段防护人口较少，因此确定本工程堤防防洪标准为10年。根据《堤防工程设计规范》(GB50286-2013) ，该堤防工程级别为5级</w:t>
            </w:r>
            <w:r>
              <w:rPr>
                <w:rFonts w:hint="eastAsia" w:cs="宋体"/>
                <w:color w:val="FF0000"/>
                <w:sz w:val="24"/>
                <w:szCs w:val="24"/>
                <w:lang w:eastAsia="zh-CN"/>
              </w:rPr>
              <w:t>。</w:t>
            </w:r>
          </w:p>
          <w:p>
            <w:pPr>
              <w:numPr>
                <w:ilvl w:val="0"/>
                <w:numId w:val="1"/>
              </w:numPr>
              <w:spacing w:line="360" w:lineRule="auto"/>
              <w:contextualSpacing/>
              <w:jc w:val="left"/>
              <w:rPr>
                <w:rFonts w:hint="eastAsia" w:cs="宋体"/>
                <w:b/>
                <w:bCs/>
                <w:color w:val="000000" w:themeColor="text1"/>
                <w:sz w:val="24"/>
                <w:szCs w:val="24"/>
                <w:lang w:val="en-US" w:eastAsia="zh-CN"/>
                <w14:textFill>
                  <w14:solidFill>
                    <w14:schemeClr w14:val="tx1"/>
                  </w14:solidFill>
                </w14:textFill>
              </w:rPr>
            </w:pPr>
            <w:r>
              <w:rPr>
                <w:rFonts w:hint="eastAsia" w:cs="宋体"/>
                <w:b/>
                <w:bCs/>
                <w:color w:val="000000" w:themeColor="text1"/>
                <w:sz w:val="24"/>
                <w:szCs w:val="24"/>
                <w:lang w:val="en-US" w:eastAsia="zh-CN"/>
                <w14:textFill>
                  <w14:solidFill>
                    <w14:schemeClr w14:val="tx1"/>
                  </w14:solidFill>
                </w14:textFill>
              </w:rPr>
              <w:t>工程设计</w:t>
            </w:r>
          </w:p>
          <w:p>
            <w:pPr>
              <w:numPr>
                <w:ilvl w:val="0"/>
                <w:numId w:val="0"/>
              </w:numPr>
              <w:spacing w:line="360" w:lineRule="auto"/>
              <w:ind w:firstLine="480" w:firstLineChars="200"/>
              <w:contextualSpacing/>
              <w:jc w:val="left"/>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4.1河道清淤疏浚工程</w:t>
            </w:r>
          </w:p>
          <w:p>
            <w:pPr>
              <w:numPr>
                <w:ilvl w:val="0"/>
                <w:numId w:val="2"/>
              </w:numPr>
              <w:spacing w:line="360" w:lineRule="auto"/>
              <w:ind w:firstLine="480" w:firstLineChars="200"/>
              <w:contextualSpacing/>
              <w:jc w:val="left"/>
              <w:rPr>
                <w:rFonts w:hint="eastAsia" w:cs="宋体"/>
                <w:color w:val="FF0000"/>
                <w:sz w:val="24"/>
                <w:szCs w:val="24"/>
                <w:lang w:val="en-US" w:eastAsia="zh-CN"/>
              </w:rPr>
            </w:pPr>
            <w:r>
              <w:rPr>
                <w:rFonts w:hint="eastAsia" w:cs="宋体"/>
                <w:color w:val="FF0000"/>
                <w:sz w:val="24"/>
                <w:szCs w:val="24"/>
                <w:lang w:val="en-US" w:eastAsia="zh-CN"/>
              </w:rPr>
              <w:t>清淤方案</w:t>
            </w:r>
          </w:p>
          <w:p>
            <w:pPr>
              <w:numPr>
                <w:ilvl w:val="0"/>
                <w:numId w:val="0"/>
              </w:numPr>
              <w:spacing w:line="360" w:lineRule="auto"/>
              <w:ind w:firstLine="480" w:firstLineChars="200"/>
              <w:contextualSpacing/>
              <w:jc w:val="left"/>
              <w:rPr>
                <w:rFonts w:hint="eastAsia" w:cs="宋体"/>
                <w:color w:val="FF0000"/>
                <w:sz w:val="24"/>
                <w:szCs w:val="24"/>
                <w:lang w:val="en-US" w:eastAsia="zh-CN"/>
              </w:rPr>
            </w:pPr>
            <w:r>
              <w:rPr>
                <w:rFonts w:hint="eastAsia" w:cs="宋体"/>
                <w:color w:val="FF0000"/>
                <w:sz w:val="24"/>
                <w:szCs w:val="24"/>
                <w:lang w:val="en-US" w:eastAsia="zh-CN"/>
              </w:rPr>
              <w:t>清淤疏浚方案仅对主河槽两侧淤积进行清理，基本不对主河槽进行挖深，清淤疏浚结束后不改变原河势和水流形态，使城北河河道能够维持现状河道比降，清淤疏浚时避免形成局部坑槽。根据现场踏勘情况，并结合实测河道横断面图，河道两岸无护岸工程本次清淤规划横断面的开挖坡比定为1:0.75，从主河槽向两侧放坡开挖；有现状护岸工程的，以深泓线为基准，清淤至两侧护岸。</w:t>
            </w:r>
          </w:p>
          <w:p>
            <w:pPr>
              <w:numPr>
                <w:ilvl w:val="0"/>
                <w:numId w:val="2"/>
              </w:numPr>
              <w:spacing w:line="360" w:lineRule="auto"/>
              <w:ind w:firstLine="480" w:firstLineChars="200"/>
              <w:contextualSpacing/>
              <w:jc w:val="left"/>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工程总体布置</w:t>
            </w:r>
          </w:p>
          <w:p>
            <w:pPr>
              <w:numPr>
                <w:ilvl w:val="0"/>
                <w:numId w:val="0"/>
              </w:numPr>
              <w:spacing w:line="360" w:lineRule="auto"/>
              <w:ind w:firstLine="480" w:firstLineChars="200"/>
              <w:contextualSpacing/>
              <w:jc w:val="left"/>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基槽清淤平面尺度、深度按挖槽使用要求、施工要求和水域冲淤情况设计，本次主要是在城北河流域桩号K20+603.4~K21+813.7段（县城段）主河槽内进行清淤工程，河道平面位置不变。</w:t>
            </w:r>
          </w:p>
          <w:p>
            <w:pPr>
              <w:numPr>
                <w:ilvl w:val="0"/>
                <w:numId w:val="0"/>
              </w:numPr>
              <w:spacing w:line="360" w:lineRule="auto"/>
              <w:ind w:firstLine="480" w:firstLineChars="200"/>
              <w:contextualSpacing/>
              <w:jc w:val="left"/>
              <w:rPr>
                <w:rFonts w:hint="eastAsia"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根据河道现状情况，充分利用河道上开口范围内的基础进行疏挖，治理段河道基本不扩宽，在河道束窄段适当扩宽河道上口，以扩大河道行洪断面，使河道行洪顺畅，提高现状河道防洪排水能力，疏浚后与上下游河道顺接</w:t>
            </w:r>
            <w:r>
              <w:rPr>
                <w:rFonts w:hint="eastAsia" w:cs="宋体"/>
                <w:color w:val="000000" w:themeColor="text1"/>
                <w:sz w:val="24"/>
                <w:szCs w:val="24"/>
                <w:lang w:eastAsia="zh-CN"/>
                <w14:textFill>
                  <w14:solidFill>
                    <w14:schemeClr w14:val="tx1"/>
                  </w14:solidFill>
                </w14:textFill>
              </w:rPr>
              <w:t>。</w:t>
            </w:r>
          </w:p>
          <w:p>
            <w:pPr>
              <w:numPr>
                <w:ilvl w:val="0"/>
                <w:numId w:val="0"/>
              </w:numPr>
              <w:spacing w:line="360" w:lineRule="auto"/>
              <w:ind w:firstLine="480" w:firstLineChars="200"/>
              <w:contextualSpacing/>
              <w:jc w:val="left"/>
              <w:rPr>
                <w:rFonts w:hint="eastAsia"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本次采用断面面积法计算断面工程量，根据城北河实测横断面图及设计断面</w:t>
            </w:r>
            <w:r>
              <w:rPr>
                <w:rFonts w:hint="eastAsia" w:cs="宋体"/>
                <w:color w:val="000000" w:themeColor="text1"/>
                <w:sz w:val="24"/>
                <w:szCs w:val="24"/>
                <w:lang w:eastAsia="zh-CN"/>
                <w14:textFill>
                  <w14:solidFill>
                    <w14:schemeClr w14:val="tx1"/>
                  </w14:solidFill>
                </w14:textFill>
              </w:rPr>
              <w:t>，本次城北河县城段清淤河段共分为</w:t>
            </w:r>
            <w:r>
              <w:rPr>
                <w:rFonts w:hint="eastAsia" w:cs="宋体"/>
                <w:color w:val="000000" w:themeColor="text1"/>
                <w:sz w:val="24"/>
                <w:szCs w:val="24"/>
                <w:lang w:val="en-US" w:eastAsia="zh-CN"/>
                <w14:textFill>
                  <w14:solidFill>
                    <w14:schemeClr w14:val="tx1"/>
                  </w14:solidFill>
                </w14:textFill>
              </w:rPr>
              <w:t>14个分段</w:t>
            </w:r>
            <w:r>
              <w:rPr>
                <w:rFonts w:hint="eastAsia"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eastAsia="zh-CN"/>
                <w14:textFill>
                  <w14:solidFill>
                    <w14:schemeClr w14:val="tx1"/>
                  </w14:solidFill>
                </w14:textFill>
              </w:rPr>
              <w:t>清淤总长度1.21km，清淤量为103255.32m</w:t>
            </w:r>
            <w:r>
              <w:rPr>
                <w:rFonts w:hint="eastAsia" w:ascii="Times New Roman" w:hAnsi="Times New Roman" w:eastAsia="宋体" w:cs="宋体"/>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宋体"/>
                <w:color w:val="000000" w:themeColor="text1"/>
                <w:sz w:val="24"/>
                <w:szCs w:val="24"/>
                <w:lang w:eastAsia="zh-CN"/>
                <w14:textFill>
                  <w14:solidFill>
                    <w14:schemeClr w14:val="tx1"/>
                  </w14:solidFill>
                </w14:textFill>
              </w:rPr>
              <w:t>。详</w:t>
            </w:r>
            <w:r>
              <w:rPr>
                <w:rFonts w:hint="eastAsia" w:cs="宋体"/>
                <w:color w:val="000000" w:themeColor="text1"/>
                <w:sz w:val="24"/>
                <w:szCs w:val="24"/>
                <w:lang w:eastAsia="zh-CN"/>
                <w14:textFill>
                  <w14:solidFill>
                    <w14:schemeClr w14:val="tx1"/>
                  </w14:solidFill>
                </w14:textFill>
              </w:rPr>
              <w:t>见表</w:t>
            </w:r>
            <w:r>
              <w:rPr>
                <w:rFonts w:hint="eastAsia" w:cs="宋体"/>
                <w:color w:val="000000" w:themeColor="text1"/>
                <w:sz w:val="24"/>
                <w:szCs w:val="24"/>
                <w:lang w:val="en-US" w:eastAsia="zh-CN"/>
                <w14:textFill>
                  <w14:solidFill>
                    <w14:schemeClr w14:val="tx1"/>
                  </w14:solidFill>
                </w14:textFill>
              </w:rPr>
              <w:t>2-3.</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表 </w:t>
            </w:r>
            <w:r>
              <w:rPr>
                <w:rFonts w:hint="eastAsia" w:cs="Times New Roman"/>
                <w:b/>
                <w:color w:val="000000" w:themeColor="text1"/>
                <w:kern w:val="2"/>
                <w:sz w:val="21"/>
                <w:szCs w:val="21"/>
                <w:lang w:val="en-US" w:eastAsia="zh-CN" w:bidi="ar-SA"/>
                <w14:textFill>
                  <w14:solidFill>
                    <w14:schemeClr w14:val="tx1"/>
                  </w14:solidFill>
                </w14:textFill>
              </w:rPr>
              <w:t>2-3</w:t>
            </w:r>
            <w:r>
              <w:rPr>
                <w:rFonts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城北河县城段清淤疏浚成果统计表</w:t>
            </w:r>
          </w:p>
          <w:tbl>
            <w:tblPr>
              <w:tblStyle w:val="59"/>
              <w:tblW w:w="7936" w:type="dxa"/>
              <w:jc w:val="center"/>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Layout w:type="fixed"/>
              <w:tblCellMar>
                <w:top w:w="0" w:type="dxa"/>
                <w:left w:w="0" w:type="dxa"/>
                <w:bottom w:w="0" w:type="dxa"/>
                <w:right w:w="0" w:type="dxa"/>
              </w:tblCellMar>
            </w:tblPr>
            <w:tblGrid>
              <w:gridCol w:w="738"/>
              <w:gridCol w:w="1252"/>
              <w:gridCol w:w="973"/>
              <w:gridCol w:w="975"/>
              <w:gridCol w:w="771"/>
              <w:gridCol w:w="924"/>
              <w:gridCol w:w="984"/>
              <w:gridCol w:w="1319"/>
            </w:tblGrid>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508" w:hRule="atLeast"/>
                <w:jc w:val="center"/>
              </w:trPr>
              <w:tc>
                <w:tcPr>
                  <w:tcW w:w="738"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000000" w:themeColor="text1"/>
                      <w:sz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序号</w:t>
                  </w:r>
                </w:p>
              </w:tc>
              <w:tc>
                <w:tcPr>
                  <w:tcW w:w="1252"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000000" w:themeColor="text1"/>
                      <w:sz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桩号</w:t>
                  </w:r>
                </w:p>
              </w:tc>
              <w:tc>
                <w:tcPr>
                  <w:tcW w:w="973"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清淤</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长度</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48"/>
                      <w:sz w:val="22"/>
                      <w:szCs w:val="22"/>
                      <w14:textFill>
                        <w14:solidFill>
                          <w14:schemeClr w14:val="tx1"/>
                        </w14:solidFill>
                      </w14:textFill>
                    </w:rPr>
                    <w:t>(</w:t>
                  </w:r>
                  <w:r>
                    <w:rPr>
                      <w:rFonts w:ascii="Times New Roman" w:hAnsi="Times New Roman" w:eastAsia="Times New Roman" w:cs="Times New Roman"/>
                      <w:color w:val="000000" w:themeColor="text1"/>
                      <w:sz w:val="22"/>
                      <w:szCs w:val="22"/>
                      <w14:textFill>
                        <w14:solidFill>
                          <w14:schemeClr w14:val="tx1"/>
                        </w14:solidFill>
                      </w14:textFill>
                    </w:rPr>
                    <w:t>m</w:t>
                  </w:r>
                  <w:r>
                    <w:rPr>
                      <w:rFonts w:ascii="宋体" w:hAnsi="宋体" w:eastAsia="宋体" w:cs="宋体"/>
                      <w:color w:val="000000" w:themeColor="text1"/>
                      <w:spacing w:val="48"/>
                      <w:sz w:val="22"/>
                      <w:szCs w:val="22"/>
                      <w14:textFill>
                        <w14:solidFill>
                          <w14:schemeClr w14:val="tx1"/>
                        </w14:solidFill>
                      </w14:textFill>
                    </w:rPr>
                    <w:t>)</w:t>
                  </w:r>
                </w:p>
              </w:tc>
              <w:tc>
                <w:tcPr>
                  <w:tcW w:w="975"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深泓</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4"/>
                      <w:sz w:val="22"/>
                      <w:szCs w:val="22"/>
                      <w14:textFill>
                        <w14:solidFill>
                          <w14:schemeClr w14:val="tx1"/>
                        </w14:solidFill>
                      </w14:textFill>
                    </w:rPr>
                    <w:t>高</w:t>
                  </w:r>
                  <w:r>
                    <w:rPr>
                      <w:rFonts w:ascii="宋体" w:hAnsi="宋体" w:eastAsia="宋体" w:cs="宋体"/>
                      <w:color w:val="000000" w:themeColor="text1"/>
                      <w:spacing w:val="-3"/>
                      <w:sz w:val="22"/>
                      <w:szCs w:val="22"/>
                      <w14:textFill>
                        <w14:solidFill>
                          <w14:schemeClr w14:val="tx1"/>
                        </w14:solidFill>
                      </w14:textFill>
                    </w:rPr>
                    <w:t>度</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48"/>
                      <w:sz w:val="22"/>
                      <w:szCs w:val="22"/>
                      <w14:textFill>
                        <w14:solidFill>
                          <w14:schemeClr w14:val="tx1"/>
                        </w14:solidFill>
                      </w14:textFill>
                    </w:rPr>
                    <w:t>(</w:t>
                  </w:r>
                  <w:r>
                    <w:rPr>
                      <w:rFonts w:ascii="Times New Roman" w:hAnsi="Times New Roman" w:eastAsia="Times New Roman" w:cs="Times New Roman"/>
                      <w:color w:val="000000" w:themeColor="text1"/>
                      <w:sz w:val="22"/>
                      <w:szCs w:val="22"/>
                      <w14:textFill>
                        <w14:solidFill>
                          <w14:schemeClr w14:val="tx1"/>
                        </w14:solidFill>
                      </w14:textFill>
                    </w:rPr>
                    <w:t>m</w:t>
                  </w:r>
                  <w:r>
                    <w:rPr>
                      <w:rFonts w:ascii="宋体" w:hAnsi="宋体" w:eastAsia="宋体" w:cs="宋体"/>
                      <w:color w:val="000000" w:themeColor="text1"/>
                      <w:spacing w:val="48"/>
                      <w:sz w:val="22"/>
                      <w:szCs w:val="22"/>
                      <w14:textFill>
                        <w14:solidFill>
                          <w14:schemeClr w14:val="tx1"/>
                        </w14:solidFill>
                      </w14:textFill>
                    </w:rPr>
                    <w:t>)</w:t>
                  </w:r>
                </w:p>
              </w:tc>
              <w:tc>
                <w:tcPr>
                  <w:tcW w:w="1695"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15"/>
                      <w:sz w:val="22"/>
                      <w:szCs w:val="22"/>
                      <w14:textFill>
                        <w14:solidFill>
                          <w14:schemeClr w14:val="tx1"/>
                        </w14:solidFill>
                      </w14:textFill>
                    </w:rPr>
                    <w:t>平</w:t>
                  </w:r>
                  <w:r>
                    <w:rPr>
                      <w:rFonts w:ascii="宋体" w:hAnsi="宋体" w:eastAsia="宋体" w:cs="宋体"/>
                      <w:color w:val="000000" w:themeColor="text1"/>
                      <w:spacing w:val="13"/>
                      <w:sz w:val="22"/>
                      <w:szCs w:val="22"/>
                      <w14:textFill>
                        <w14:solidFill>
                          <w14:schemeClr w14:val="tx1"/>
                        </w14:solidFill>
                      </w14:textFill>
                    </w:rPr>
                    <w:t>均清淤深度(</w:t>
                  </w:r>
                  <w:r>
                    <w:rPr>
                      <w:rFonts w:ascii="Times New Roman" w:hAnsi="Times New Roman" w:eastAsia="Times New Roman" w:cs="Times New Roman"/>
                      <w:color w:val="000000" w:themeColor="text1"/>
                      <w:sz w:val="22"/>
                      <w:szCs w:val="22"/>
                      <w14:textFill>
                        <w14:solidFill>
                          <w14:schemeClr w14:val="tx1"/>
                        </w14:solidFill>
                      </w14:textFill>
                    </w:rPr>
                    <w:t>m</w:t>
                  </w:r>
                  <w:r>
                    <w:rPr>
                      <w:rFonts w:ascii="宋体" w:hAnsi="宋体" w:eastAsia="宋体" w:cs="宋体"/>
                      <w:color w:val="000000" w:themeColor="text1"/>
                      <w:spacing w:val="13"/>
                      <w:sz w:val="22"/>
                      <w:szCs w:val="22"/>
                      <w14:textFill>
                        <w14:solidFill>
                          <w14:schemeClr w14:val="tx1"/>
                        </w14:solidFill>
                      </w14:textFill>
                    </w:rPr>
                    <w:t>)</w:t>
                  </w:r>
                </w:p>
              </w:tc>
              <w:tc>
                <w:tcPr>
                  <w:tcW w:w="984"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清</w:t>
                  </w:r>
                  <w:r>
                    <w:rPr>
                      <w:rFonts w:ascii="宋体" w:hAnsi="宋体" w:eastAsia="宋体" w:cs="宋体"/>
                      <w:color w:val="000000" w:themeColor="text1"/>
                      <w:spacing w:val="-1"/>
                      <w:sz w:val="22"/>
                      <w:szCs w:val="22"/>
                      <w14:textFill>
                        <w14:solidFill>
                          <w14:schemeClr w14:val="tx1"/>
                        </w14:solidFill>
                      </w14:textFill>
                    </w:rPr>
                    <w:t>淤面积</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4"/>
                      <w:sz w:val="22"/>
                      <w:szCs w:val="22"/>
                      <w14:textFill>
                        <w14:solidFill>
                          <w14:schemeClr w14:val="tx1"/>
                        </w14:solidFill>
                      </w14:textFill>
                    </w:rPr>
                    <w:t>(</w:t>
                  </w:r>
                  <w:r>
                    <w:rPr>
                      <w:rFonts w:ascii="Times New Roman" w:hAnsi="Times New Roman" w:eastAsia="Times New Roman" w:cs="Times New Roman"/>
                      <w:color w:val="000000" w:themeColor="text1"/>
                      <w:sz w:val="22"/>
                      <w:szCs w:val="22"/>
                      <w14:textFill>
                        <w14:solidFill>
                          <w14:schemeClr w14:val="tx1"/>
                        </w14:solidFill>
                      </w14:textFill>
                    </w:rPr>
                    <w:t>m</w:t>
                  </w:r>
                  <w:r>
                    <w:rPr>
                      <w:rFonts w:ascii="Times New Roman" w:hAnsi="Times New Roman" w:eastAsia="Times New Roman" w:cs="Times New Roman"/>
                      <w:color w:val="000000" w:themeColor="text1"/>
                      <w:spacing w:val="24"/>
                      <w:position w:val="9"/>
                      <w:sz w:val="13"/>
                      <w:szCs w:val="13"/>
                      <w14:textFill>
                        <w14:solidFill>
                          <w14:schemeClr w14:val="tx1"/>
                        </w14:solidFill>
                      </w14:textFill>
                    </w:rPr>
                    <w:t xml:space="preserve">2 </w:t>
                  </w:r>
                  <w:r>
                    <w:rPr>
                      <w:rFonts w:ascii="宋体" w:hAnsi="宋体" w:eastAsia="宋体" w:cs="宋体"/>
                      <w:color w:val="000000" w:themeColor="text1"/>
                      <w:spacing w:val="24"/>
                      <w:sz w:val="22"/>
                      <w:szCs w:val="22"/>
                      <w14:textFill>
                        <w14:solidFill>
                          <w14:schemeClr w14:val="tx1"/>
                        </w14:solidFill>
                      </w14:textFill>
                    </w:rPr>
                    <w:t>)</w:t>
                  </w:r>
                </w:p>
              </w:tc>
              <w:tc>
                <w:tcPr>
                  <w:tcW w:w="1319"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清淤</w:t>
                  </w:r>
                  <w:r>
                    <w:rPr>
                      <w:rFonts w:ascii="宋体" w:hAnsi="宋体" w:eastAsia="宋体" w:cs="宋体"/>
                      <w:color w:val="000000" w:themeColor="text1"/>
                      <w:spacing w:val="-1"/>
                      <w:sz w:val="22"/>
                      <w:szCs w:val="22"/>
                      <w14:textFill>
                        <w14:solidFill>
                          <w14:schemeClr w14:val="tx1"/>
                        </w14:solidFill>
                      </w14:textFill>
                    </w:rPr>
                    <w:t>量</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4"/>
                      <w:sz w:val="22"/>
                      <w:szCs w:val="22"/>
                      <w14:textFill>
                        <w14:solidFill>
                          <w14:schemeClr w14:val="tx1"/>
                        </w14:solidFill>
                      </w14:textFill>
                    </w:rPr>
                    <w:t>(</w:t>
                  </w:r>
                  <w:r>
                    <w:rPr>
                      <w:rFonts w:ascii="Times New Roman" w:hAnsi="Times New Roman" w:eastAsia="Times New Roman" w:cs="Times New Roman"/>
                      <w:color w:val="000000" w:themeColor="text1"/>
                      <w:sz w:val="22"/>
                      <w:szCs w:val="22"/>
                      <w14:textFill>
                        <w14:solidFill>
                          <w14:schemeClr w14:val="tx1"/>
                        </w14:solidFill>
                      </w14:textFill>
                    </w:rPr>
                    <w:t>m</w:t>
                  </w:r>
                  <w:r>
                    <w:rPr>
                      <w:rFonts w:ascii="Times New Roman" w:hAnsi="Times New Roman" w:eastAsia="Times New Roman" w:cs="Times New Roman"/>
                      <w:color w:val="000000" w:themeColor="text1"/>
                      <w:spacing w:val="24"/>
                      <w:position w:val="9"/>
                      <w:sz w:val="13"/>
                      <w:szCs w:val="13"/>
                      <w14:textFill>
                        <w14:solidFill>
                          <w14:schemeClr w14:val="tx1"/>
                        </w14:solidFill>
                      </w14:textFill>
                    </w:rPr>
                    <w:t xml:space="preserve">3 </w:t>
                  </w:r>
                  <w:r>
                    <w:rPr>
                      <w:rFonts w:ascii="宋体" w:hAnsi="宋体" w:eastAsia="宋体" w:cs="宋体"/>
                      <w:color w:val="000000" w:themeColor="text1"/>
                      <w:spacing w:val="24"/>
                      <w:sz w:val="22"/>
                      <w:szCs w:val="22"/>
                      <w14:textFill>
                        <w14:solidFill>
                          <w14:schemeClr w14:val="tx1"/>
                        </w14:solidFill>
                      </w14:textFill>
                    </w:rPr>
                    <w:t>)</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384" w:hRule="atLeast"/>
                <w:jc w:val="center"/>
              </w:trPr>
              <w:tc>
                <w:tcPr>
                  <w:tcW w:w="738"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000000" w:themeColor="text1"/>
                      <w:sz w:val="21"/>
                      <w14:textFill>
                        <w14:solidFill>
                          <w14:schemeClr w14:val="tx1"/>
                        </w14:solidFill>
                      </w14:textFill>
                    </w:rPr>
                  </w:pPr>
                </w:p>
              </w:tc>
              <w:tc>
                <w:tcPr>
                  <w:tcW w:w="1252"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000000" w:themeColor="text1"/>
                      <w:sz w:val="21"/>
                      <w14:textFill>
                        <w14:solidFill>
                          <w14:schemeClr w14:val="tx1"/>
                        </w14:solidFill>
                      </w14:textFill>
                    </w:rPr>
                  </w:pPr>
                </w:p>
              </w:tc>
              <w:tc>
                <w:tcPr>
                  <w:tcW w:w="973"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000000" w:themeColor="text1"/>
                      <w:sz w:val="21"/>
                      <w14:textFill>
                        <w14:solidFill>
                          <w14:schemeClr w14:val="tx1"/>
                        </w14:solidFill>
                      </w14:textFill>
                    </w:rPr>
                  </w:pPr>
                </w:p>
              </w:tc>
              <w:tc>
                <w:tcPr>
                  <w:tcW w:w="975"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000000" w:themeColor="text1"/>
                      <w:sz w:val="21"/>
                      <w14:textFill>
                        <w14:solidFill>
                          <w14:schemeClr w14:val="tx1"/>
                        </w14:solidFill>
                      </w14:textFill>
                    </w:rPr>
                  </w:pP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3"/>
                      <w:sz w:val="22"/>
                      <w:szCs w:val="22"/>
                      <w14:textFill>
                        <w14:solidFill>
                          <w14:schemeClr w14:val="tx1"/>
                        </w14:solidFill>
                      </w14:textFill>
                    </w:rPr>
                    <w:t>左</w:t>
                  </w:r>
                  <w:r>
                    <w:rPr>
                      <w:rFonts w:ascii="宋体" w:hAnsi="宋体" w:eastAsia="宋体" w:cs="宋体"/>
                      <w:color w:val="000000" w:themeColor="text1"/>
                      <w:spacing w:val="-2"/>
                      <w:sz w:val="22"/>
                      <w:szCs w:val="22"/>
                      <w14:textFill>
                        <w14:solidFill>
                          <w14:schemeClr w14:val="tx1"/>
                        </w14:solidFill>
                      </w14:textFill>
                    </w:rPr>
                    <w:t>岸</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3"/>
                      <w:sz w:val="22"/>
                      <w:szCs w:val="22"/>
                      <w14:textFill>
                        <w14:solidFill>
                          <w14:schemeClr w14:val="tx1"/>
                        </w14:solidFill>
                      </w14:textFill>
                    </w:rPr>
                    <w:t>右</w:t>
                  </w:r>
                  <w:r>
                    <w:rPr>
                      <w:rFonts w:ascii="宋体" w:hAnsi="宋体" w:eastAsia="宋体" w:cs="宋体"/>
                      <w:color w:val="000000" w:themeColor="text1"/>
                      <w:spacing w:val="-2"/>
                      <w:sz w:val="22"/>
                      <w:szCs w:val="22"/>
                      <w14:textFill>
                        <w14:solidFill>
                          <w14:schemeClr w14:val="tx1"/>
                        </w14:solidFill>
                      </w14:textFill>
                    </w:rPr>
                    <w:t>岸</w:t>
                  </w:r>
                </w:p>
              </w:tc>
              <w:tc>
                <w:tcPr>
                  <w:tcW w:w="984"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000000" w:themeColor="text1"/>
                      <w:sz w:val="21"/>
                      <w14:textFill>
                        <w14:solidFill>
                          <w14:schemeClr w14:val="tx1"/>
                        </w14:solidFill>
                      </w14:textFill>
                    </w:rPr>
                  </w:pPr>
                </w:p>
              </w:tc>
              <w:tc>
                <w:tcPr>
                  <w:tcW w:w="1319"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23"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1</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1"/>
                      <w:sz w:val="22"/>
                      <w:szCs w:val="22"/>
                      <w14:textFill>
                        <w14:solidFill>
                          <w14:schemeClr w14:val="tx1"/>
                        </w14:solidFill>
                      </w14:textFill>
                    </w:rPr>
                    <w:t>20</w:t>
                  </w:r>
                  <w:r>
                    <w:rPr>
                      <w:rFonts w:ascii="Times New Roman" w:hAnsi="Times New Roman" w:eastAsia="Times New Roman" w:cs="Times New Roman"/>
                      <w:color w:val="000000" w:themeColor="text1"/>
                      <w:sz w:val="22"/>
                      <w:szCs w:val="22"/>
                      <w14:textFill>
                        <w14:solidFill>
                          <w14:schemeClr w14:val="tx1"/>
                        </w14:solidFill>
                      </w14:textFill>
                    </w:rPr>
                    <w:t>+504.4</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0</w:t>
                  </w:r>
                  <w:r>
                    <w:rPr>
                      <w:rFonts w:ascii="Times New Roman" w:hAnsi="Times New Roman" w:eastAsia="Times New Roman" w:cs="Times New Roman"/>
                      <w:color w:val="000000" w:themeColor="text1"/>
                      <w:spacing w:val="-1"/>
                      <w:sz w:val="22"/>
                      <w:szCs w:val="22"/>
                      <w14:textFill>
                        <w14:solidFill>
                          <w14:schemeClr w14:val="tx1"/>
                        </w14:solidFill>
                      </w14:textFill>
                    </w:rPr>
                    <w:t>.00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898.</w:t>
                  </w:r>
                  <w:r>
                    <w:rPr>
                      <w:rFonts w:ascii="Times New Roman" w:hAnsi="Times New Roman" w:eastAsia="Times New Roman" w:cs="Times New Roman"/>
                      <w:color w:val="000000" w:themeColor="text1"/>
                      <w:spacing w:val="-1"/>
                      <w:sz w:val="22"/>
                      <w:szCs w:val="22"/>
                      <w14:textFill>
                        <w14:solidFill>
                          <w14:schemeClr w14:val="tx1"/>
                        </w14:solidFill>
                      </w14:textFill>
                    </w:rPr>
                    <w:t>62</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2.3</w:t>
                  </w:r>
                  <w:r>
                    <w:rPr>
                      <w:rFonts w:ascii="Times New Roman" w:hAnsi="Times New Roman" w:eastAsia="Times New Roman" w:cs="Times New Roman"/>
                      <w:color w:val="000000" w:themeColor="text1"/>
                      <w:sz w:val="22"/>
                      <w:szCs w:val="22"/>
                      <w14:textFill>
                        <w14:solidFill>
                          <w14:schemeClr w14:val="tx1"/>
                        </w14:solidFill>
                      </w14:textFill>
                    </w:rPr>
                    <w:t>7</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w:t>
                  </w:r>
                  <w:r>
                    <w:rPr>
                      <w:rFonts w:ascii="Times New Roman" w:hAnsi="Times New Roman" w:eastAsia="Times New Roman" w:cs="Times New Roman"/>
                      <w:color w:val="000000" w:themeColor="text1"/>
                      <w:spacing w:val="-1"/>
                      <w:sz w:val="22"/>
                      <w:szCs w:val="22"/>
                      <w14:textFill>
                        <w14:solidFill>
                          <w14:schemeClr w14:val="tx1"/>
                        </w14:solidFill>
                      </w14:textFill>
                    </w:rPr>
                    <w:t>.195</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0</w:t>
                  </w:r>
                  <w:r>
                    <w:rPr>
                      <w:rFonts w:ascii="Times New Roman" w:hAnsi="Times New Roman" w:eastAsia="Times New Roman" w:cs="Times New Roman"/>
                      <w:color w:val="000000" w:themeColor="text1"/>
                      <w:spacing w:val="-1"/>
                      <w:sz w:val="22"/>
                      <w:szCs w:val="22"/>
                      <w14:textFill>
                        <w14:solidFill>
                          <w14:schemeClr w14:val="tx1"/>
                        </w14:solidFill>
                      </w14:textFill>
                    </w:rPr>
                    <w:t>.00</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0</w:t>
                  </w:r>
                  <w:r>
                    <w:rPr>
                      <w:rFonts w:ascii="Times New Roman" w:hAnsi="Times New Roman" w:eastAsia="Times New Roman" w:cs="Times New Roman"/>
                      <w:color w:val="000000" w:themeColor="text1"/>
                      <w:spacing w:val="-1"/>
                      <w:sz w:val="22"/>
                      <w:szCs w:val="22"/>
                      <w14:textFill>
                        <w14:solidFill>
                          <w14:schemeClr w14:val="tx1"/>
                        </w14:solidFill>
                      </w14:textFill>
                    </w:rPr>
                    <w:t>.00</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20"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2</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1"/>
                      <w:sz w:val="22"/>
                      <w:szCs w:val="22"/>
                      <w14:textFill>
                        <w14:solidFill>
                          <w14:schemeClr w14:val="tx1"/>
                        </w14:solidFill>
                      </w14:textFill>
                    </w:rPr>
                    <w:t>20</w:t>
                  </w:r>
                  <w:r>
                    <w:rPr>
                      <w:rFonts w:ascii="Times New Roman" w:hAnsi="Times New Roman" w:eastAsia="Times New Roman" w:cs="Times New Roman"/>
                      <w:color w:val="000000" w:themeColor="text1"/>
                      <w:sz w:val="22"/>
                      <w:szCs w:val="22"/>
                      <w14:textFill>
                        <w14:solidFill>
                          <w14:schemeClr w14:val="tx1"/>
                        </w14:solidFill>
                      </w14:textFill>
                    </w:rPr>
                    <w:t>+603.4</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9</w:t>
                  </w:r>
                  <w:r>
                    <w:rPr>
                      <w:rFonts w:ascii="Times New Roman" w:hAnsi="Times New Roman" w:eastAsia="Times New Roman" w:cs="Times New Roman"/>
                      <w:color w:val="000000" w:themeColor="text1"/>
                      <w:spacing w:val="-1"/>
                      <w:sz w:val="22"/>
                      <w:szCs w:val="22"/>
                      <w14:textFill>
                        <w14:solidFill>
                          <w14:schemeClr w14:val="tx1"/>
                        </w14:solidFill>
                      </w14:textFill>
                    </w:rPr>
                    <w:t>9.00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898.6</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2.2</w:t>
                  </w:r>
                  <w:r>
                    <w:rPr>
                      <w:rFonts w:ascii="Times New Roman" w:hAnsi="Times New Roman" w:eastAsia="Times New Roman" w:cs="Times New Roman"/>
                      <w:color w:val="000000" w:themeColor="text1"/>
                      <w:sz w:val="22"/>
                      <w:szCs w:val="22"/>
                      <w14:textFill>
                        <w14:solidFill>
                          <w14:schemeClr w14:val="tx1"/>
                        </w14:solidFill>
                      </w14:textFill>
                    </w:rPr>
                    <w:t>95</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4.</w:t>
                  </w:r>
                  <w:r>
                    <w:rPr>
                      <w:rFonts w:ascii="Times New Roman" w:hAnsi="Times New Roman" w:eastAsia="Times New Roman" w:cs="Times New Roman"/>
                      <w:color w:val="000000" w:themeColor="text1"/>
                      <w:sz w:val="22"/>
                      <w:szCs w:val="22"/>
                      <w14:textFill>
                        <w14:solidFill>
                          <w14:schemeClr w14:val="tx1"/>
                        </w14:solidFill>
                      </w14:textFill>
                    </w:rPr>
                    <w:t>24</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46</w:t>
                  </w:r>
                  <w:r>
                    <w:rPr>
                      <w:rFonts w:ascii="Times New Roman" w:hAnsi="Times New Roman" w:eastAsia="Times New Roman" w:cs="Times New Roman"/>
                      <w:color w:val="000000" w:themeColor="text1"/>
                      <w:sz w:val="22"/>
                      <w:szCs w:val="22"/>
                      <w14:textFill>
                        <w14:solidFill>
                          <w14:schemeClr w14:val="tx1"/>
                        </w14:solidFill>
                      </w14:textFill>
                    </w:rPr>
                    <w:t>77</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4"/>
                      <w:sz w:val="22"/>
                      <w:szCs w:val="22"/>
                      <w14:textFill>
                        <w14:solidFill>
                          <w14:schemeClr w14:val="tx1"/>
                        </w14:solidFill>
                      </w14:textFill>
                    </w:rPr>
                    <w:t>15</w:t>
                  </w:r>
                  <w:r>
                    <w:rPr>
                      <w:rFonts w:ascii="Times New Roman" w:hAnsi="Times New Roman" w:eastAsia="Times New Roman" w:cs="Times New Roman"/>
                      <w:color w:val="000000" w:themeColor="text1"/>
                      <w:spacing w:val="-2"/>
                      <w:sz w:val="22"/>
                      <w:szCs w:val="22"/>
                      <w14:textFill>
                        <w14:solidFill>
                          <w14:schemeClr w14:val="tx1"/>
                        </w14:solidFill>
                      </w14:textFill>
                    </w:rPr>
                    <w:t>282.10</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139"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3</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3"/>
                      <w:sz w:val="22"/>
                      <w:szCs w:val="22"/>
                      <w14:textFill>
                        <w14:solidFill>
                          <w14:schemeClr w14:val="tx1"/>
                        </w14:solidFill>
                      </w14:textFill>
                    </w:rPr>
                    <w:t>K</w:t>
                  </w:r>
                  <w:r>
                    <w:rPr>
                      <w:rFonts w:ascii="Times New Roman" w:hAnsi="Times New Roman" w:eastAsia="Times New Roman" w:cs="Times New Roman"/>
                      <w:color w:val="000000" w:themeColor="text1"/>
                      <w:spacing w:val="-4"/>
                      <w:sz w:val="22"/>
                      <w:szCs w:val="22"/>
                      <w14:textFill>
                        <w14:solidFill>
                          <w14:schemeClr w14:val="tx1"/>
                        </w14:solidFill>
                      </w14:textFill>
                    </w:rPr>
                    <w:t>2</w:t>
                  </w:r>
                  <w:r>
                    <w:rPr>
                      <w:rFonts w:ascii="Times New Roman" w:hAnsi="Times New Roman" w:eastAsia="Times New Roman" w:cs="Times New Roman"/>
                      <w:color w:val="000000" w:themeColor="text1"/>
                      <w:spacing w:val="-3"/>
                      <w:sz w:val="22"/>
                      <w:szCs w:val="22"/>
                      <w14:textFill>
                        <w14:solidFill>
                          <w14:schemeClr w14:val="tx1"/>
                        </w14:solidFill>
                      </w14:textFill>
                    </w:rPr>
                    <w:t>0+706. 1</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5"/>
                      <w:sz w:val="22"/>
                      <w:szCs w:val="22"/>
                      <w14:textFill>
                        <w14:solidFill>
                          <w14:schemeClr w14:val="tx1"/>
                        </w14:solidFill>
                      </w14:textFill>
                    </w:rPr>
                    <w:t>1</w:t>
                  </w:r>
                  <w:r>
                    <w:rPr>
                      <w:rFonts w:ascii="Times New Roman" w:hAnsi="Times New Roman" w:eastAsia="Times New Roman" w:cs="Times New Roman"/>
                      <w:color w:val="000000" w:themeColor="text1"/>
                      <w:spacing w:val="-3"/>
                      <w:sz w:val="22"/>
                      <w:szCs w:val="22"/>
                      <w14:textFill>
                        <w14:solidFill>
                          <w14:schemeClr w14:val="tx1"/>
                        </w14:solidFill>
                      </w14:textFill>
                    </w:rPr>
                    <w:t>02.70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898.</w:t>
                  </w:r>
                  <w:r>
                    <w:rPr>
                      <w:rFonts w:ascii="Times New Roman" w:hAnsi="Times New Roman" w:eastAsia="Times New Roman" w:cs="Times New Roman"/>
                      <w:color w:val="000000" w:themeColor="text1"/>
                      <w:spacing w:val="-1"/>
                      <w:sz w:val="22"/>
                      <w:szCs w:val="22"/>
                      <w14:textFill>
                        <w14:solidFill>
                          <w14:schemeClr w14:val="tx1"/>
                        </w14:solidFill>
                      </w14:textFill>
                    </w:rPr>
                    <w:t>22</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2.1</w:t>
                  </w:r>
                  <w:r>
                    <w:rPr>
                      <w:rFonts w:ascii="Times New Roman" w:hAnsi="Times New Roman" w:eastAsia="Times New Roman" w:cs="Times New Roman"/>
                      <w:color w:val="000000" w:themeColor="text1"/>
                      <w:sz w:val="22"/>
                      <w:szCs w:val="22"/>
                      <w14:textFill>
                        <w14:solidFill>
                          <w14:schemeClr w14:val="tx1"/>
                        </w14:solidFill>
                      </w14:textFill>
                    </w:rPr>
                    <w:t>7</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6"/>
                      <w:sz w:val="22"/>
                      <w:szCs w:val="22"/>
                      <w14:textFill>
                        <w14:solidFill>
                          <w14:schemeClr w14:val="tx1"/>
                        </w14:solidFill>
                      </w14:textFill>
                    </w:rPr>
                    <w:t>1</w:t>
                  </w:r>
                  <w:r>
                    <w:rPr>
                      <w:rFonts w:ascii="Times New Roman" w:hAnsi="Times New Roman" w:eastAsia="Times New Roman" w:cs="Times New Roman"/>
                      <w:color w:val="000000" w:themeColor="text1"/>
                      <w:spacing w:val="-4"/>
                      <w:sz w:val="22"/>
                      <w:szCs w:val="22"/>
                      <w14:textFill>
                        <w14:solidFill>
                          <w14:schemeClr w14:val="tx1"/>
                        </w14:solidFill>
                      </w14:textFill>
                    </w:rPr>
                    <w:t>.11</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43</w:t>
                  </w:r>
                  <w:r>
                    <w:rPr>
                      <w:rFonts w:ascii="Times New Roman" w:hAnsi="Times New Roman" w:eastAsia="Times New Roman" w:cs="Times New Roman"/>
                      <w:color w:val="000000" w:themeColor="text1"/>
                      <w:sz w:val="22"/>
                      <w:szCs w:val="22"/>
                      <w14:textFill>
                        <w14:solidFill>
                          <w14:schemeClr w14:val="tx1"/>
                        </w14:solidFill>
                      </w14:textFill>
                    </w:rPr>
                    <w:t>61</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7152.</w:t>
                  </w:r>
                  <w:r>
                    <w:rPr>
                      <w:rFonts w:ascii="Times New Roman" w:hAnsi="Times New Roman" w:eastAsia="Times New Roman" w:cs="Times New Roman"/>
                      <w:color w:val="000000" w:themeColor="text1"/>
                      <w:sz w:val="22"/>
                      <w:szCs w:val="22"/>
                      <w14:textFill>
                        <w14:solidFill>
                          <w14:schemeClr w14:val="tx1"/>
                        </w14:solidFill>
                      </w14:textFill>
                    </w:rPr>
                    <w:t>04</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24"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4</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2"/>
                      <w:sz w:val="22"/>
                      <w:szCs w:val="22"/>
                      <w14:textFill>
                        <w14:solidFill>
                          <w14:schemeClr w14:val="tx1"/>
                        </w14:solidFill>
                      </w14:textFill>
                    </w:rPr>
                    <w:t>20+</w:t>
                  </w:r>
                  <w:r>
                    <w:rPr>
                      <w:rFonts w:ascii="Times New Roman" w:hAnsi="Times New Roman" w:eastAsia="Times New Roman" w:cs="Times New Roman"/>
                      <w:color w:val="000000" w:themeColor="text1"/>
                      <w:spacing w:val="1"/>
                      <w:sz w:val="22"/>
                      <w:szCs w:val="22"/>
                      <w14:textFill>
                        <w14:solidFill>
                          <w14:schemeClr w14:val="tx1"/>
                        </w14:solidFill>
                      </w14:textFill>
                    </w:rPr>
                    <w:t>809.8</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5"/>
                      <w:sz w:val="22"/>
                      <w:szCs w:val="22"/>
                      <w14:textFill>
                        <w14:solidFill>
                          <w14:schemeClr w14:val="tx1"/>
                        </w14:solidFill>
                      </w14:textFill>
                    </w:rPr>
                    <w:t>1</w:t>
                  </w:r>
                  <w:r>
                    <w:rPr>
                      <w:rFonts w:ascii="Times New Roman" w:hAnsi="Times New Roman" w:eastAsia="Times New Roman" w:cs="Times New Roman"/>
                      <w:color w:val="000000" w:themeColor="text1"/>
                      <w:spacing w:val="-3"/>
                      <w:sz w:val="22"/>
                      <w:szCs w:val="22"/>
                      <w14:textFill>
                        <w14:solidFill>
                          <w14:schemeClr w14:val="tx1"/>
                        </w14:solidFill>
                      </w14:textFill>
                    </w:rPr>
                    <w:t>03.70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897.</w:t>
                  </w:r>
                  <w:r>
                    <w:rPr>
                      <w:rFonts w:ascii="Times New Roman" w:hAnsi="Times New Roman" w:eastAsia="Times New Roman" w:cs="Times New Roman"/>
                      <w:color w:val="000000" w:themeColor="text1"/>
                      <w:spacing w:val="-1"/>
                      <w:sz w:val="22"/>
                      <w:szCs w:val="22"/>
                      <w14:textFill>
                        <w14:solidFill>
                          <w14:schemeClr w14:val="tx1"/>
                        </w14:solidFill>
                      </w14:textFill>
                    </w:rPr>
                    <w:t>32</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2.0</w:t>
                  </w:r>
                  <w:r>
                    <w:rPr>
                      <w:rFonts w:ascii="Times New Roman" w:hAnsi="Times New Roman" w:eastAsia="Times New Roman" w:cs="Times New Roman"/>
                      <w:color w:val="000000" w:themeColor="text1"/>
                      <w:sz w:val="22"/>
                      <w:szCs w:val="22"/>
                      <w14:textFill>
                        <w14:solidFill>
                          <w14:schemeClr w14:val="tx1"/>
                        </w14:solidFill>
                      </w14:textFill>
                    </w:rPr>
                    <w:t>3</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2.4</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44</w:t>
                  </w:r>
                  <w:r>
                    <w:rPr>
                      <w:rFonts w:ascii="Times New Roman" w:hAnsi="Times New Roman" w:eastAsia="Times New Roman" w:cs="Times New Roman"/>
                      <w:color w:val="000000" w:themeColor="text1"/>
                      <w:sz w:val="22"/>
                      <w:szCs w:val="22"/>
                      <w14:textFill>
                        <w14:solidFill>
                          <w14:schemeClr w14:val="tx1"/>
                        </w14:solidFill>
                      </w14:textFill>
                    </w:rPr>
                    <w:t>45</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9845.6</w:t>
                  </w:r>
                  <w:r>
                    <w:rPr>
                      <w:rFonts w:ascii="Times New Roman" w:hAnsi="Times New Roman" w:eastAsia="Times New Roman" w:cs="Times New Roman"/>
                      <w:color w:val="000000" w:themeColor="text1"/>
                      <w:sz w:val="22"/>
                      <w:szCs w:val="22"/>
                      <w14:textFill>
                        <w14:solidFill>
                          <w14:schemeClr w14:val="tx1"/>
                        </w14:solidFill>
                      </w14:textFill>
                    </w:rPr>
                    <w:t>8</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22"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5</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1"/>
                      <w:sz w:val="22"/>
                      <w:szCs w:val="22"/>
                      <w14:textFill>
                        <w14:solidFill>
                          <w14:schemeClr w14:val="tx1"/>
                        </w14:solidFill>
                      </w14:textFill>
                    </w:rPr>
                    <w:t>20+907.5</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9</w:t>
                  </w:r>
                  <w:r>
                    <w:rPr>
                      <w:rFonts w:ascii="Times New Roman" w:hAnsi="Times New Roman" w:eastAsia="Times New Roman" w:cs="Times New Roman"/>
                      <w:color w:val="000000" w:themeColor="text1"/>
                      <w:spacing w:val="-1"/>
                      <w:sz w:val="22"/>
                      <w:szCs w:val="22"/>
                      <w14:textFill>
                        <w14:solidFill>
                          <w14:schemeClr w14:val="tx1"/>
                        </w14:solidFill>
                      </w14:textFill>
                    </w:rPr>
                    <w:t>7.70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897.</w:t>
                  </w:r>
                  <w:r>
                    <w:rPr>
                      <w:rFonts w:ascii="Times New Roman" w:hAnsi="Times New Roman" w:eastAsia="Times New Roman" w:cs="Times New Roman"/>
                      <w:color w:val="000000" w:themeColor="text1"/>
                      <w:spacing w:val="-1"/>
                      <w:sz w:val="22"/>
                      <w:szCs w:val="22"/>
                      <w14:textFill>
                        <w14:solidFill>
                          <w14:schemeClr w14:val="tx1"/>
                        </w14:solidFill>
                      </w14:textFill>
                    </w:rPr>
                    <w:t>03</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0.325</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w:t>
                  </w:r>
                  <w:r>
                    <w:rPr>
                      <w:rFonts w:ascii="Times New Roman" w:hAnsi="Times New Roman" w:eastAsia="Times New Roman" w:cs="Times New Roman"/>
                      <w:color w:val="000000" w:themeColor="text1"/>
                      <w:spacing w:val="-1"/>
                      <w:sz w:val="22"/>
                      <w:szCs w:val="22"/>
                      <w14:textFill>
                        <w14:solidFill>
                          <w14:schemeClr w14:val="tx1"/>
                        </w14:solidFill>
                      </w14:textFill>
                    </w:rPr>
                    <w:t>04</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34</w:t>
                  </w:r>
                  <w:r>
                    <w:rPr>
                      <w:rFonts w:ascii="Times New Roman" w:hAnsi="Times New Roman" w:eastAsia="Times New Roman" w:cs="Times New Roman"/>
                      <w:color w:val="000000" w:themeColor="text1"/>
                      <w:spacing w:val="-1"/>
                      <w:sz w:val="22"/>
                      <w:szCs w:val="22"/>
                      <w14:textFill>
                        <w14:solidFill>
                          <w14:schemeClr w14:val="tx1"/>
                        </w14:solidFill>
                      </w14:textFill>
                    </w:rPr>
                    <w:t>50</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5804.63</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95"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6</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1"/>
                      <w:sz w:val="22"/>
                      <w:szCs w:val="22"/>
                      <w14:textFill>
                        <w14:solidFill>
                          <w14:schemeClr w14:val="tx1"/>
                        </w14:solidFill>
                      </w14:textFill>
                    </w:rPr>
                    <w:t>21+003</w:t>
                  </w:r>
                  <w:r>
                    <w:rPr>
                      <w:rFonts w:ascii="Times New Roman" w:hAnsi="Times New Roman" w:eastAsia="Times New Roman" w:cs="Times New Roman"/>
                      <w:color w:val="000000" w:themeColor="text1"/>
                      <w:sz w:val="22"/>
                      <w:szCs w:val="22"/>
                      <w14:textFill>
                        <w14:solidFill>
                          <w14:schemeClr w14:val="tx1"/>
                        </w14:solidFill>
                      </w14:textFill>
                    </w:rPr>
                    <w:t>.7</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9</w:t>
                  </w:r>
                  <w:r>
                    <w:rPr>
                      <w:rFonts w:ascii="Times New Roman" w:hAnsi="Times New Roman" w:eastAsia="Times New Roman" w:cs="Times New Roman"/>
                      <w:color w:val="000000" w:themeColor="text1"/>
                      <w:spacing w:val="-1"/>
                      <w:sz w:val="22"/>
                      <w:szCs w:val="22"/>
                      <w14:textFill>
                        <w14:solidFill>
                          <w14:schemeClr w14:val="tx1"/>
                        </w14:solidFill>
                      </w14:textFill>
                    </w:rPr>
                    <w:t>6.20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896.6</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0</w:t>
                  </w:r>
                  <w:r>
                    <w:rPr>
                      <w:rFonts w:ascii="Times New Roman" w:hAnsi="Times New Roman" w:eastAsia="Times New Roman" w:cs="Times New Roman"/>
                      <w:color w:val="000000" w:themeColor="text1"/>
                      <w:spacing w:val="-1"/>
                      <w:sz w:val="22"/>
                      <w:szCs w:val="22"/>
                      <w14:textFill>
                        <w14:solidFill>
                          <w14:schemeClr w14:val="tx1"/>
                        </w14:solidFill>
                      </w14:textFill>
                    </w:rPr>
                    <w:t>.42</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w:t>
                  </w:r>
                  <w:r>
                    <w:rPr>
                      <w:rFonts w:ascii="Times New Roman" w:hAnsi="Times New Roman" w:eastAsia="Times New Roman" w:cs="Times New Roman"/>
                      <w:color w:val="000000" w:themeColor="text1"/>
                      <w:spacing w:val="-1"/>
                      <w:sz w:val="22"/>
                      <w:szCs w:val="22"/>
                      <w14:textFill>
                        <w14:solidFill>
                          <w14:schemeClr w14:val="tx1"/>
                        </w14:solidFill>
                      </w14:textFill>
                    </w:rPr>
                    <w:t>33</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31</w:t>
                  </w:r>
                  <w:r>
                    <w:rPr>
                      <w:rFonts w:ascii="Times New Roman" w:hAnsi="Times New Roman" w:eastAsia="Times New Roman" w:cs="Times New Roman"/>
                      <w:color w:val="000000" w:themeColor="text1"/>
                      <w:spacing w:val="-1"/>
                      <w:sz w:val="22"/>
                      <w:szCs w:val="22"/>
                      <w14:textFill>
                        <w14:solidFill>
                          <w14:schemeClr w14:val="tx1"/>
                        </w14:solidFill>
                      </w14:textFill>
                    </w:rPr>
                    <w:t>95</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5990.63</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23"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7</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1"/>
                      <w:sz w:val="22"/>
                      <w:szCs w:val="22"/>
                      <w14:textFill>
                        <w14:solidFill>
                          <w14:schemeClr w14:val="tx1"/>
                        </w14:solidFill>
                      </w14:textFill>
                    </w:rPr>
                    <w:t>21</w:t>
                  </w:r>
                  <w:r>
                    <w:rPr>
                      <w:rFonts w:ascii="Times New Roman" w:hAnsi="Times New Roman" w:eastAsia="Times New Roman" w:cs="Times New Roman"/>
                      <w:color w:val="000000" w:themeColor="text1"/>
                      <w:sz w:val="22"/>
                      <w:szCs w:val="22"/>
                      <w14:textFill>
                        <w14:solidFill>
                          <w14:schemeClr w14:val="tx1"/>
                        </w14:solidFill>
                      </w14:textFill>
                    </w:rPr>
                    <w:t>+105.4</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5"/>
                      <w:sz w:val="22"/>
                      <w:szCs w:val="22"/>
                      <w14:textFill>
                        <w14:solidFill>
                          <w14:schemeClr w14:val="tx1"/>
                        </w14:solidFill>
                      </w14:textFill>
                    </w:rPr>
                    <w:t>1</w:t>
                  </w:r>
                  <w:r>
                    <w:rPr>
                      <w:rFonts w:ascii="Times New Roman" w:hAnsi="Times New Roman" w:eastAsia="Times New Roman" w:cs="Times New Roman"/>
                      <w:color w:val="000000" w:themeColor="text1"/>
                      <w:spacing w:val="-3"/>
                      <w:sz w:val="22"/>
                      <w:szCs w:val="22"/>
                      <w14:textFill>
                        <w14:solidFill>
                          <w14:schemeClr w14:val="tx1"/>
                        </w14:solidFill>
                      </w14:textFill>
                    </w:rPr>
                    <w:t>01.70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896.3</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0</w:t>
                  </w:r>
                  <w:r>
                    <w:rPr>
                      <w:rFonts w:ascii="Times New Roman" w:hAnsi="Times New Roman" w:eastAsia="Times New Roman" w:cs="Times New Roman"/>
                      <w:color w:val="000000" w:themeColor="text1"/>
                      <w:spacing w:val="-1"/>
                      <w:sz w:val="22"/>
                      <w:szCs w:val="22"/>
                      <w14:textFill>
                        <w14:solidFill>
                          <w14:schemeClr w14:val="tx1"/>
                        </w14:solidFill>
                      </w14:textFill>
                    </w:rPr>
                    <w:t>.33</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2.9</w:t>
                  </w:r>
                  <w:r>
                    <w:rPr>
                      <w:rFonts w:ascii="Times New Roman" w:hAnsi="Times New Roman" w:eastAsia="Times New Roman" w:cs="Times New Roman"/>
                      <w:color w:val="000000" w:themeColor="text1"/>
                      <w:sz w:val="22"/>
                      <w:szCs w:val="22"/>
                      <w14:textFill>
                        <w14:solidFill>
                          <w14:schemeClr w14:val="tx1"/>
                        </w14:solidFill>
                      </w14:textFill>
                    </w:rPr>
                    <w:t>05</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32</w:t>
                  </w:r>
                  <w:r>
                    <w:rPr>
                      <w:rFonts w:ascii="Times New Roman" w:hAnsi="Times New Roman" w:eastAsia="Times New Roman" w:cs="Times New Roman"/>
                      <w:color w:val="000000" w:themeColor="text1"/>
                      <w:spacing w:val="-1"/>
                      <w:sz w:val="22"/>
                      <w:szCs w:val="22"/>
                      <w14:textFill>
                        <w14:solidFill>
                          <w14:schemeClr w14:val="tx1"/>
                        </w14:solidFill>
                      </w14:textFill>
                    </w:rPr>
                    <w:t>14</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5198.65</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23"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8</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1"/>
                      <w:sz w:val="22"/>
                      <w:szCs w:val="22"/>
                      <w14:textFill>
                        <w14:solidFill>
                          <w14:schemeClr w14:val="tx1"/>
                        </w14:solidFill>
                      </w14:textFill>
                    </w:rPr>
                    <w:t>21+192</w:t>
                  </w:r>
                  <w:r>
                    <w:rPr>
                      <w:rFonts w:ascii="Times New Roman" w:hAnsi="Times New Roman" w:eastAsia="Times New Roman" w:cs="Times New Roman"/>
                      <w:color w:val="000000" w:themeColor="text1"/>
                      <w:sz w:val="22"/>
                      <w:szCs w:val="22"/>
                      <w14:textFill>
                        <w14:solidFill>
                          <w14:schemeClr w14:val="tx1"/>
                        </w14:solidFill>
                      </w14:textFill>
                    </w:rPr>
                    <w:t>.7</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87.30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896.</w:t>
                  </w:r>
                  <w:r>
                    <w:rPr>
                      <w:rFonts w:ascii="Times New Roman" w:hAnsi="Times New Roman" w:eastAsia="Times New Roman" w:cs="Times New Roman"/>
                      <w:color w:val="000000" w:themeColor="text1"/>
                      <w:spacing w:val="-1"/>
                      <w:sz w:val="22"/>
                      <w:szCs w:val="22"/>
                      <w14:textFill>
                        <w14:solidFill>
                          <w14:schemeClr w14:val="tx1"/>
                        </w14:solidFill>
                      </w14:textFill>
                    </w:rPr>
                    <w:t>23</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w:t>
                  </w:r>
                  <w:r>
                    <w:rPr>
                      <w:rFonts w:ascii="Times New Roman" w:hAnsi="Times New Roman" w:eastAsia="Times New Roman" w:cs="Times New Roman"/>
                      <w:color w:val="000000" w:themeColor="text1"/>
                      <w:spacing w:val="-1"/>
                      <w:sz w:val="22"/>
                      <w:szCs w:val="22"/>
                      <w14:textFill>
                        <w14:solidFill>
                          <w14:schemeClr w14:val="tx1"/>
                        </w14:solidFill>
                      </w14:textFill>
                    </w:rPr>
                    <w:t>26</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w:t>
                  </w:r>
                  <w:r>
                    <w:rPr>
                      <w:rFonts w:ascii="Times New Roman" w:hAnsi="Times New Roman" w:eastAsia="Times New Roman" w:cs="Times New Roman"/>
                      <w:color w:val="000000" w:themeColor="text1"/>
                      <w:spacing w:val="-1"/>
                      <w:sz w:val="22"/>
                      <w:szCs w:val="22"/>
                      <w14:textFill>
                        <w14:solidFill>
                          <w14:schemeClr w14:val="tx1"/>
                        </w14:solidFill>
                      </w14:textFill>
                    </w:rPr>
                    <w:t>.235</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32</w:t>
                  </w:r>
                  <w:r>
                    <w:rPr>
                      <w:rFonts w:ascii="Times New Roman" w:hAnsi="Times New Roman" w:eastAsia="Times New Roman" w:cs="Times New Roman"/>
                      <w:color w:val="000000" w:themeColor="text1"/>
                      <w:spacing w:val="-1"/>
                      <w:sz w:val="22"/>
                      <w:szCs w:val="22"/>
                      <w14:textFill>
                        <w14:solidFill>
                          <w14:schemeClr w14:val="tx1"/>
                        </w14:solidFill>
                      </w14:textFill>
                    </w:rPr>
                    <w:t>31</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4"/>
                      <w:sz w:val="22"/>
                      <w:szCs w:val="22"/>
                      <w14:textFill>
                        <w14:solidFill>
                          <w14:schemeClr w14:val="tx1"/>
                        </w14:solidFill>
                      </w14:textFill>
                    </w:rPr>
                    <w:t>10</w:t>
                  </w:r>
                  <w:r>
                    <w:rPr>
                      <w:rFonts w:ascii="Times New Roman" w:hAnsi="Times New Roman" w:eastAsia="Times New Roman" w:cs="Times New Roman"/>
                      <w:color w:val="000000" w:themeColor="text1"/>
                      <w:spacing w:val="-2"/>
                      <w:sz w:val="22"/>
                      <w:szCs w:val="22"/>
                      <w14:textFill>
                        <w14:solidFill>
                          <w14:schemeClr w14:val="tx1"/>
                        </w14:solidFill>
                      </w14:textFill>
                    </w:rPr>
                    <w:t>492.67</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23"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9</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2"/>
                      <w:sz w:val="22"/>
                      <w:szCs w:val="22"/>
                      <w14:textFill>
                        <w14:solidFill>
                          <w14:schemeClr w14:val="tx1"/>
                        </w14:solidFill>
                      </w14:textFill>
                    </w:rPr>
                    <w:t>21+</w:t>
                  </w:r>
                  <w:r>
                    <w:rPr>
                      <w:rFonts w:ascii="Times New Roman" w:hAnsi="Times New Roman" w:eastAsia="Times New Roman" w:cs="Times New Roman"/>
                      <w:color w:val="000000" w:themeColor="text1"/>
                      <w:spacing w:val="1"/>
                      <w:sz w:val="22"/>
                      <w:szCs w:val="22"/>
                      <w14:textFill>
                        <w14:solidFill>
                          <w14:schemeClr w14:val="tx1"/>
                        </w14:solidFill>
                      </w14:textFill>
                    </w:rPr>
                    <w:t>306.8</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5"/>
                      <w:sz w:val="22"/>
                      <w:szCs w:val="22"/>
                      <w14:textFill>
                        <w14:solidFill>
                          <w14:schemeClr w14:val="tx1"/>
                        </w14:solidFill>
                      </w14:textFill>
                    </w:rPr>
                    <w:t>1</w:t>
                  </w:r>
                  <w:r>
                    <w:rPr>
                      <w:rFonts w:ascii="Times New Roman" w:hAnsi="Times New Roman" w:eastAsia="Times New Roman" w:cs="Times New Roman"/>
                      <w:color w:val="000000" w:themeColor="text1"/>
                      <w:spacing w:val="-3"/>
                      <w:sz w:val="22"/>
                      <w:szCs w:val="22"/>
                      <w14:textFill>
                        <w14:solidFill>
                          <w14:schemeClr w14:val="tx1"/>
                        </w14:solidFill>
                      </w14:textFill>
                    </w:rPr>
                    <w:t>14.10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895.</w:t>
                  </w:r>
                  <w:r>
                    <w:rPr>
                      <w:rFonts w:ascii="Times New Roman" w:hAnsi="Times New Roman" w:eastAsia="Times New Roman" w:cs="Times New Roman"/>
                      <w:color w:val="000000" w:themeColor="text1"/>
                      <w:spacing w:val="-1"/>
                      <w:sz w:val="22"/>
                      <w:szCs w:val="22"/>
                      <w14:textFill>
                        <w14:solidFill>
                          <w14:schemeClr w14:val="tx1"/>
                        </w14:solidFill>
                      </w14:textFill>
                    </w:rPr>
                    <w:t>89</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2.7</w:t>
                  </w:r>
                  <w:r>
                    <w:rPr>
                      <w:rFonts w:ascii="Times New Roman" w:hAnsi="Times New Roman" w:eastAsia="Times New Roman" w:cs="Times New Roman"/>
                      <w:color w:val="000000" w:themeColor="text1"/>
                      <w:sz w:val="22"/>
                      <w:szCs w:val="22"/>
                      <w14:textFill>
                        <w14:solidFill>
                          <w14:schemeClr w14:val="tx1"/>
                        </w14:solidFill>
                      </w14:textFill>
                    </w:rPr>
                    <w:t>55</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0</w:t>
                  </w:r>
                  <w:r>
                    <w:rPr>
                      <w:rFonts w:ascii="Times New Roman" w:hAnsi="Times New Roman" w:eastAsia="Times New Roman" w:cs="Times New Roman"/>
                      <w:color w:val="000000" w:themeColor="text1"/>
                      <w:spacing w:val="-1"/>
                      <w:sz w:val="22"/>
                      <w:szCs w:val="22"/>
                      <w14:textFill>
                        <w14:solidFill>
                          <w14:schemeClr w14:val="tx1"/>
                        </w14:solidFill>
                      </w14:textFill>
                    </w:rPr>
                    <w:t>.35</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39</w:t>
                  </w:r>
                  <w:r>
                    <w:rPr>
                      <w:rFonts w:ascii="Times New Roman" w:hAnsi="Times New Roman" w:eastAsia="Times New Roman" w:cs="Times New Roman"/>
                      <w:color w:val="000000" w:themeColor="text1"/>
                      <w:spacing w:val="-1"/>
                      <w:sz w:val="22"/>
                      <w:szCs w:val="22"/>
                      <w14:textFill>
                        <w14:solidFill>
                          <w14:schemeClr w14:val="tx1"/>
                        </w14:solidFill>
                      </w14:textFill>
                    </w:rPr>
                    <w:t>09</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6068.7</w:t>
                  </w:r>
                  <w:r>
                    <w:rPr>
                      <w:rFonts w:ascii="Times New Roman" w:hAnsi="Times New Roman" w:eastAsia="Times New Roman" w:cs="Times New Roman"/>
                      <w:color w:val="000000" w:themeColor="text1"/>
                      <w:sz w:val="22"/>
                      <w:szCs w:val="22"/>
                      <w14:textFill>
                        <w14:solidFill>
                          <w14:schemeClr w14:val="tx1"/>
                        </w14:solidFill>
                      </w14:textFill>
                    </w:rPr>
                    <w:t>2</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35"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7"/>
                      <w:sz w:val="22"/>
                      <w:szCs w:val="22"/>
                      <w14:textFill>
                        <w14:solidFill>
                          <w14:schemeClr w14:val="tx1"/>
                        </w14:solidFill>
                      </w14:textFill>
                    </w:rPr>
                    <w:t>1</w:t>
                  </w:r>
                  <w:r>
                    <w:rPr>
                      <w:rFonts w:ascii="Times New Roman" w:hAnsi="Times New Roman" w:eastAsia="Times New Roman" w:cs="Times New Roman"/>
                      <w:color w:val="000000" w:themeColor="text1"/>
                      <w:spacing w:val="-6"/>
                      <w:sz w:val="22"/>
                      <w:szCs w:val="22"/>
                      <w14:textFill>
                        <w14:solidFill>
                          <w14:schemeClr w14:val="tx1"/>
                        </w14:solidFill>
                      </w14:textFill>
                    </w:rPr>
                    <w:t>0</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1"/>
                      <w:sz w:val="22"/>
                      <w:szCs w:val="22"/>
                      <w14:textFill>
                        <w14:solidFill>
                          <w14:schemeClr w14:val="tx1"/>
                        </w14:solidFill>
                      </w14:textFill>
                    </w:rPr>
                    <w:t>21+405.</w:t>
                  </w:r>
                  <w:r>
                    <w:rPr>
                      <w:rFonts w:ascii="Times New Roman" w:hAnsi="Times New Roman" w:eastAsia="Times New Roman" w:cs="Times New Roman"/>
                      <w:color w:val="000000" w:themeColor="text1"/>
                      <w:sz w:val="22"/>
                      <w:szCs w:val="22"/>
                      <w14:textFill>
                        <w14:solidFill>
                          <w14:schemeClr w14:val="tx1"/>
                        </w14:solidFill>
                      </w14:textFill>
                    </w:rPr>
                    <w:t>3</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9</w:t>
                  </w:r>
                  <w:r>
                    <w:rPr>
                      <w:rFonts w:ascii="Times New Roman" w:hAnsi="Times New Roman" w:eastAsia="Times New Roman" w:cs="Times New Roman"/>
                      <w:color w:val="000000" w:themeColor="text1"/>
                      <w:spacing w:val="-1"/>
                      <w:sz w:val="22"/>
                      <w:szCs w:val="22"/>
                      <w14:textFill>
                        <w14:solidFill>
                          <w14:schemeClr w14:val="tx1"/>
                        </w14:solidFill>
                      </w14:textFill>
                    </w:rPr>
                    <w:t>8.50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895.8</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6"/>
                      <w:sz w:val="22"/>
                      <w:szCs w:val="22"/>
                      <w14:textFill>
                        <w14:solidFill>
                          <w14:schemeClr w14:val="tx1"/>
                        </w14:solidFill>
                      </w14:textFill>
                    </w:rPr>
                    <w:t>1</w:t>
                  </w:r>
                  <w:r>
                    <w:rPr>
                      <w:rFonts w:ascii="Times New Roman" w:hAnsi="Times New Roman" w:eastAsia="Times New Roman" w:cs="Times New Roman"/>
                      <w:color w:val="000000" w:themeColor="text1"/>
                      <w:spacing w:val="-4"/>
                      <w:sz w:val="22"/>
                      <w:szCs w:val="22"/>
                      <w14:textFill>
                        <w14:solidFill>
                          <w14:schemeClr w14:val="tx1"/>
                        </w14:solidFill>
                      </w14:textFill>
                    </w:rPr>
                    <w:t>.61</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0</w:t>
                  </w:r>
                  <w:r>
                    <w:rPr>
                      <w:rFonts w:ascii="Times New Roman" w:hAnsi="Times New Roman" w:eastAsia="Times New Roman" w:cs="Times New Roman"/>
                      <w:color w:val="000000" w:themeColor="text1"/>
                      <w:spacing w:val="-1"/>
                      <w:sz w:val="22"/>
                      <w:szCs w:val="22"/>
                      <w14:textFill>
                        <w14:solidFill>
                          <w14:schemeClr w14:val="tx1"/>
                        </w14:solidFill>
                      </w14:textFill>
                    </w:rPr>
                    <w:t>.37</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32</w:t>
                  </w:r>
                  <w:r>
                    <w:rPr>
                      <w:rFonts w:ascii="Times New Roman" w:hAnsi="Times New Roman" w:eastAsia="Times New Roman" w:cs="Times New Roman"/>
                      <w:color w:val="000000" w:themeColor="text1"/>
                      <w:spacing w:val="-1"/>
                      <w:sz w:val="22"/>
                      <w:szCs w:val="22"/>
                      <w14:textFill>
                        <w14:solidFill>
                          <w14:schemeClr w14:val="tx1"/>
                        </w14:solidFill>
                      </w14:textFill>
                    </w:rPr>
                    <w:t>95</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3262.0</w:t>
                  </w:r>
                  <w:r>
                    <w:rPr>
                      <w:rFonts w:ascii="Times New Roman" w:hAnsi="Times New Roman" w:eastAsia="Times New Roman" w:cs="Times New Roman"/>
                      <w:color w:val="000000" w:themeColor="text1"/>
                      <w:sz w:val="22"/>
                      <w:szCs w:val="22"/>
                      <w14:textFill>
                        <w14:solidFill>
                          <w14:schemeClr w14:val="tx1"/>
                        </w14:solidFill>
                      </w14:textFill>
                    </w:rPr>
                    <w:t>5</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25"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7"/>
                      <w:sz w:val="22"/>
                      <w:szCs w:val="22"/>
                      <w14:textFill>
                        <w14:solidFill>
                          <w14:schemeClr w14:val="tx1"/>
                        </w14:solidFill>
                      </w14:textFill>
                    </w:rPr>
                    <w:t>1</w:t>
                  </w:r>
                  <w:r>
                    <w:rPr>
                      <w:rFonts w:ascii="Times New Roman" w:hAnsi="Times New Roman" w:eastAsia="Times New Roman" w:cs="Times New Roman"/>
                      <w:color w:val="000000" w:themeColor="text1"/>
                      <w:spacing w:val="-6"/>
                      <w:sz w:val="22"/>
                      <w:szCs w:val="22"/>
                      <w14:textFill>
                        <w14:solidFill>
                          <w14:schemeClr w14:val="tx1"/>
                        </w14:solidFill>
                      </w14:textFill>
                    </w:rPr>
                    <w:t>1</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1"/>
                      <w:sz w:val="22"/>
                      <w:szCs w:val="22"/>
                      <w14:textFill>
                        <w14:solidFill>
                          <w14:schemeClr w14:val="tx1"/>
                        </w14:solidFill>
                      </w14:textFill>
                    </w:rPr>
                    <w:t>21+532.5</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5"/>
                      <w:sz w:val="22"/>
                      <w:szCs w:val="22"/>
                      <w14:textFill>
                        <w14:solidFill>
                          <w14:schemeClr w14:val="tx1"/>
                        </w14:solidFill>
                      </w14:textFill>
                    </w:rPr>
                    <w:t>1</w:t>
                  </w:r>
                  <w:r>
                    <w:rPr>
                      <w:rFonts w:ascii="Times New Roman" w:hAnsi="Times New Roman" w:eastAsia="Times New Roman" w:cs="Times New Roman"/>
                      <w:color w:val="000000" w:themeColor="text1"/>
                      <w:spacing w:val="-3"/>
                      <w:sz w:val="22"/>
                      <w:szCs w:val="22"/>
                      <w14:textFill>
                        <w14:solidFill>
                          <w14:schemeClr w14:val="tx1"/>
                        </w14:solidFill>
                      </w14:textFill>
                    </w:rPr>
                    <w:t>27.20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895.</w:t>
                  </w:r>
                  <w:r>
                    <w:rPr>
                      <w:rFonts w:ascii="Times New Roman" w:hAnsi="Times New Roman" w:eastAsia="Times New Roman" w:cs="Times New Roman"/>
                      <w:color w:val="000000" w:themeColor="text1"/>
                      <w:spacing w:val="-1"/>
                      <w:sz w:val="22"/>
                      <w:szCs w:val="22"/>
                      <w14:textFill>
                        <w14:solidFill>
                          <w14:schemeClr w14:val="tx1"/>
                        </w14:solidFill>
                      </w14:textFill>
                    </w:rPr>
                    <w:t>42</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2.3</w:t>
                  </w:r>
                  <w:r>
                    <w:rPr>
                      <w:rFonts w:ascii="Times New Roman" w:hAnsi="Times New Roman" w:eastAsia="Times New Roman" w:cs="Times New Roman"/>
                      <w:color w:val="000000" w:themeColor="text1"/>
                      <w:sz w:val="22"/>
                      <w:szCs w:val="22"/>
                      <w14:textFill>
                        <w14:solidFill>
                          <w14:schemeClr w14:val="tx1"/>
                        </w14:solidFill>
                      </w14:textFill>
                    </w:rPr>
                    <w:t>65</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2.6</w:t>
                  </w:r>
                  <w:r>
                    <w:rPr>
                      <w:rFonts w:ascii="Times New Roman" w:hAnsi="Times New Roman" w:eastAsia="Times New Roman" w:cs="Times New Roman"/>
                      <w:color w:val="000000" w:themeColor="text1"/>
                      <w:sz w:val="22"/>
                      <w:szCs w:val="22"/>
                      <w14:textFill>
                        <w14:solidFill>
                          <w14:schemeClr w14:val="tx1"/>
                        </w14:solidFill>
                      </w14:textFill>
                    </w:rPr>
                    <w:t>25</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501</w:t>
                  </w:r>
                  <w:r>
                    <w:rPr>
                      <w:rFonts w:ascii="Times New Roman" w:hAnsi="Times New Roman" w:eastAsia="Times New Roman" w:cs="Times New Roman"/>
                      <w:color w:val="000000" w:themeColor="text1"/>
                      <w:spacing w:val="-1"/>
                      <w:sz w:val="22"/>
                      <w:szCs w:val="22"/>
                      <w14:textFill>
                        <w14:solidFill>
                          <w14:schemeClr w14:val="tx1"/>
                        </w14:solidFill>
                      </w14:textFill>
                    </w:rPr>
                    <w:t>0</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4"/>
                      <w:sz w:val="22"/>
                      <w:szCs w:val="22"/>
                      <w14:textFill>
                        <w14:solidFill>
                          <w14:schemeClr w14:val="tx1"/>
                        </w14:solidFill>
                      </w14:textFill>
                    </w:rPr>
                    <w:t>12</w:t>
                  </w:r>
                  <w:r>
                    <w:rPr>
                      <w:rFonts w:ascii="Times New Roman" w:hAnsi="Times New Roman" w:eastAsia="Times New Roman" w:cs="Times New Roman"/>
                      <w:color w:val="000000" w:themeColor="text1"/>
                      <w:spacing w:val="-2"/>
                      <w:sz w:val="22"/>
                      <w:szCs w:val="22"/>
                      <w14:textFill>
                        <w14:solidFill>
                          <w14:schemeClr w14:val="tx1"/>
                        </w14:solidFill>
                      </w14:textFill>
                    </w:rPr>
                    <w:t>499.95</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24"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7"/>
                      <w:sz w:val="22"/>
                      <w:szCs w:val="22"/>
                      <w14:textFill>
                        <w14:solidFill>
                          <w14:schemeClr w14:val="tx1"/>
                        </w14:solidFill>
                      </w14:textFill>
                    </w:rPr>
                    <w:t>1</w:t>
                  </w:r>
                  <w:r>
                    <w:rPr>
                      <w:rFonts w:ascii="Times New Roman" w:hAnsi="Times New Roman" w:eastAsia="Times New Roman" w:cs="Times New Roman"/>
                      <w:color w:val="000000" w:themeColor="text1"/>
                      <w:spacing w:val="-6"/>
                      <w:sz w:val="22"/>
                      <w:szCs w:val="22"/>
                      <w14:textFill>
                        <w14:solidFill>
                          <w14:schemeClr w14:val="tx1"/>
                        </w14:solidFill>
                      </w14:textFill>
                    </w:rPr>
                    <w:t>2</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1"/>
                      <w:sz w:val="22"/>
                      <w:szCs w:val="22"/>
                      <w14:textFill>
                        <w14:solidFill>
                          <w14:schemeClr w14:val="tx1"/>
                        </w14:solidFill>
                      </w14:textFill>
                    </w:rPr>
                    <w:t>21+610</w:t>
                  </w:r>
                  <w:r>
                    <w:rPr>
                      <w:rFonts w:ascii="Times New Roman" w:hAnsi="Times New Roman" w:eastAsia="Times New Roman" w:cs="Times New Roman"/>
                      <w:color w:val="000000" w:themeColor="text1"/>
                      <w:sz w:val="22"/>
                      <w:szCs w:val="22"/>
                      <w14:textFill>
                        <w14:solidFill>
                          <w14:schemeClr w14:val="tx1"/>
                        </w14:solidFill>
                      </w14:textFill>
                    </w:rPr>
                    <w:t>.7</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78.20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895.</w:t>
                  </w:r>
                  <w:r>
                    <w:rPr>
                      <w:rFonts w:ascii="Times New Roman" w:hAnsi="Times New Roman" w:eastAsia="Times New Roman" w:cs="Times New Roman"/>
                      <w:color w:val="000000" w:themeColor="text1"/>
                      <w:spacing w:val="-1"/>
                      <w:sz w:val="22"/>
                      <w:szCs w:val="22"/>
                      <w14:textFill>
                        <w14:solidFill>
                          <w14:schemeClr w14:val="tx1"/>
                        </w14:solidFill>
                      </w14:textFill>
                    </w:rPr>
                    <w:t>39</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0.855</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2.5</w:t>
                  </w:r>
                  <w:r>
                    <w:rPr>
                      <w:rFonts w:ascii="Times New Roman" w:hAnsi="Times New Roman" w:eastAsia="Times New Roman" w:cs="Times New Roman"/>
                      <w:color w:val="000000" w:themeColor="text1"/>
                      <w:sz w:val="22"/>
                      <w:szCs w:val="22"/>
                      <w14:textFill>
                        <w14:solidFill>
                          <w14:schemeClr w14:val="tx1"/>
                        </w14:solidFill>
                      </w14:textFill>
                    </w:rPr>
                    <w:t>1</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270</w:t>
                  </w:r>
                  <w:r>
                    <w:rPr>
                      <w:rFonts w:ascii="Times New Roman" w:hAnsi="Times New Roman" w:eastAsia="Times New Roman" w:cs="Times New Roman"/>
                      <w:color w:val="000000" w:themeColor="text1"/>
                      <w:sz w:val="22"/>
                      <w:szCs w:val="22"/>
                      <w14:textFill>
                        <w14:solidFill>
                          <w14:schemeClr w14:val="tx1"/>
                        </w14:solidFill>
                      </w14:textFill>
                    </w:rPr>
                    <w:t>8</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4</w:t>
                  </w:r>
                  <w:r>
                    <w:rPr>
                      <w:rFonts w:ascii="Times New Roman" w:hAnsi="Times New Roman" w:eastAsia="Times New Roman" w:cs="Times New Roman"/>
                      <w:color w:val="000000" w:themeColor="text1"/>
                      <w:sz w:val="22"/>
                      <w:szCs w:val="22"/>
                      <w14:textFill>
                        <w14:solidFill>
                          <w14:schemeClr w14:val="tx1"/>
                        </w14:solidFill>
                      </w14:textFill>
                    </w:rPr>
                    <w:t>556.21</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24"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7"/>
                      <w:sz w:val="22"/>
                      <w:szCs w:val="22"/>
                      <w14:textFill>
                        <w14:solidFill>
                          <w14:schemeClr w14:val="tx1"/>
                        </w14:solidFill>
                      </w14:textFill>
                    </w:rPr>
                    <w:t>1</w:t>
                  </w:r>
                  <w:r>
                    <w:rPr>
                      <w:rFonts w:ascii="Times New Roman" w:hAnsi="Times New Roman" w:eastAsia="Times New Roman" w:cs="Times New Roman"/>
                      <w:color w:val="000000" w:themeColor="text1"/>
                      <w:spacing w:val="-6"/>
                      <w:sz w:val="22"/>
                      <w:szCs w:val="22"/>
                      <w14:textFill>
                        <w14:solidFill>
                          <w14:schemeClr w14:val="tx1"/>
                        </w14:solidFill>
                      </w14:textFill>
                    </w:rPr>
                    <w:t>3</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1"/>
                      <w:sz w:val="22"/>
                      <w:szCs w:val="22"/>
                      <w14:textFill>
                        <w14:solidFill>
                          <w14:schemeClr w14:val="tx1"/>
                        </w14:solidFill>
                      </w14:textFill>
                    </w:rPr>
                    <w:t>21+695.</w:t>
                  </w:r>
                  <w:r>
                    <w:rPr>
                      <w:rFonts w:ascii="Times New Roman" w:hAnsi="Times New Roman" w:eastAsia="Times New Roman" w:cs="Times New Roman"/>
                      <w:color w:val="000000" w:themeColor="text1"/>
                      <w:sz w:val="22"/>
                      <w:szCs w:val="22"/>
                      <w14:textFill>
                        <w14:solidFill>
                          <w14:schemeClr w14:val="tx1"/>
                        </w14:solidFill>
                      </w14:textFill>
                    </w:rPr>
                    <w:t>6</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84.90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894.</w:t>
                  </w:r>
                  <w:r>
                    <w:rPr>
                      <w:rFonts w:ascii="Times New Roman" w:hAnsi="Times New Roman" w:eastAsia="Times New Roman" w:cs="Times New Roman"/>
                      <w:color w:val="000000" w:themeColor="text1"/>
                      <w:spacing w:val="-1"/>
                      <w:sz w:val="22"/>
                      <w:szCs w:val="22"/>
                      <w14:textFill>
                        <w14:solidFill>
                          <w14:schemeClr w14:val="tx1"/>
                        </w14:solidFill>
                      </w14:textFill>
                    </w:rPr>
                    <w:t>73</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6"/>
                      <w:sz w:val="22"/>
                      <w:szCs w:val="22"/>
                      <w14:textFill>
                        <w14:solidFill>
                          <w14:schemeClr w14:val="tx1"/>
                        </w14:solidFill>
                      </w14:textFill>
                    </w:rPr>
                    <w:t>1</w:t>
                  </w:r>
                  <w:r>
                    <w:rPr>
                      <w:rFonts w:ascii="Times New Roman" w:hAnsi="Times New Roman" w:eastAsia="Times New Roman" w:cs="Times New Roman"/>
                      <w:color w:val="000000" w:themeColor="text1"/>
                      <w:spacing w:val="-4"/>
                      <w:sz w:val="22"/>
                      <w:szCs w:val="22"/>
                      <w14:textFill>
                        <w14:solidFill>
                          <w14:schemeClr w14:val="tx1"/>
                        </w14:solidFill>
                      </w14:textFill>
                    </w:rPr>
                    <w:t>.97</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6"/>
                      <w:sz w:val="22"/>
                      <w:szCs w:val="22"/>
                      <w14:textFill>
                        <w14:solidFill>
                          <w14:schemeClr w14:val="tx1"/>
                        </w14:solidFill>
                      </w14:textFill>
                    </w:rPr>
                    <w:t>1</w:t>
                  </w:r>
                  <w:r>
                    <w:rPr>
                      <w:rFonts w:ascii="Times New Roman" w:hAnsi="Times New Roman" w:eastAsia="Times New Roman" w:cs="Times New Roman"/>
                      <w:color w:val="000000" w:themeColor="text1"/>
                      <w:spacing w:val="-4"/>
                      <w:sz w:val="22"/>
                      <w:szCs w:val="22"/>
                      <w14:textFill>
                        <w14:solidFill>
                          <w14:schemeClr w14:val="tx1"/>
                        </w14:solidFill>
                      </w14:textFill>
                    </w:rPr>
                    <w:t>.99</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41</w:t>
                  </w:r>
                  <w:r>
                    <w:rPr>
                      <w:rFonts w:ascii="Times New Roman" w:hAnsi="Times New Roman" w:eastAsia="Times New Roman" w:cs="Times New Roman"/>
                      <w:color w:val="000000" w:themeColor="text1"/>
                      <w:sz w:val="22"/>
                      <w:szCs w:val="22"/>
                      <w14:textFill>
                        <w14:solidFill>
                          <w14:schemeClr w14:val="tx1"/>
                        </w14:solidFill>
                      </w14:textFill>
                    </w:rPr>
                    <w:t>82</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828</w:t>
                  </w:r>
                  <w:r>
                    <w:rPr>
                      <w:rFonts w:ascii="Times New Roman" w:hAnsi="Times New Roman" w:eastAsia="Times New Roman" w:cs="Times New Roman"/>
                      <w:color w:val="000000" w:themeColor="text1"/>
                      <w:spacing w:val="-1"/>
                      <w:sz w:val="22"/>
                      <w:szCs w:val="22"/>
                      <w14:textFill>
                        <w14:solidFill>
                          <w14:schemeClr w14:val="tx1"/>
                        </w14:solidFill>
                      </w14:textFill>
                    </w:rPr>
                    <w:t>0.36</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225"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7"/>
                      <w:sz w:val="22"/>
                      <w:szCs w:val="22"/>
                      <w14:textFill>
                        <w14:solidFill>
                          <w14:schemeClr w14:val="tx1"/>
                        </w14:solidFill>
                      </w14:textFill>
                    </w:rPr>
                    <w:t>1</w:t>
                  </w:r>
                  <w:r>
                    <w:rPr>
                      <w:rFonts w:ascii="Times New Roman" w:hAnsi="Times New Roman" w:eastAsia="Times New Roman" w:cs="Times New Roman"/>
                      <w:color w:val="000000" w:themeColor="text1"/>
                      <w:spacing w:val="-6"/>
                      <w:sz w:val="22"/>
                      <w:szCs w:val="22"/>
                      <w14:textFill>
                        <w14:solidFill>
                          <w14:schemeClr w14:val="tx1"/>
                        </w14:solidFill>
                      </w14:textFill>
                    </w:rPr>
                    <w:t>4</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K</w:t>
                  </w:r>
                  <w:r>
                    <w:rPr>
                      <w:rFonts w:ascii="Times New Roman" w:hAnsi="Times New Roman" w:eastAsia="Times New Roman" w:cs="Times New Roman"/>
                      <w:color w:val="000000" w:themeColor="text1"/>
                      <w:spacing w:val="1"/>
                      <w:sz w:val="22"/>
                      <w:szCs w:val="22"/>
                      <w14:textFill>
                        <w14:solidFill>
                          <w14:schemeClr w14:val="tx1"/>
                        </w14:solidFill>
                      </w14:textFill>
                    </w:rPr>
                    <w:t>21+813</w:t>
                  </w:r>
                  <w:r>
                    <w:rPr>
                      <w:rFonts w:ascii="Times New Roman" w:hAnsi="Times New Roman" w:eastAsia="Times New Roman" w:cs="Times New Roman"/>
                      <w:color w:val="000000" w:themeColor="text1"/>
                      <w:sz w:val="22"/>
                      <w:szCs w:val="22"/>
                      <w14:textFill>
                        <w14:solidFill>
                          <w14:schemeClr w14:val="tx1"/>
                        </w14:solidFill>
                      </w14:textFill>
                    </w:rPr>
                    <w:t>.7</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20</w:t>
                  </w:r>
                  <w:r>
                    <w:rPr>
                      <w:rFonts w:ascii="Times New Roman" w:hAnsi="Times New Roman" w:eastAsia="Times New Roman" w:cs="Times New Roman"/>
                      <w:color w:val="000000" w:themeColor="text1"/>
                      <w:sz w:val="22"/>
                      <w:szCs w:val="22"/>
                      <w14:textFill>
                        <w14:solidFill>
                          <w14:schemeClr w14:val="tx1"/>
                        </w14:solidFill>
                      </w14:textFill>
                    </w:rPr>
                    <w:t>3.00</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894.</w:t>
                  </w:r>
                  <w:r>
                    <w:rPr>
                      <w:rFonts w:ascii="Times New Roman" w:hAnsi="Times New Roman" w:eastAsia="Times New Roman" w:cs="Times New Roman"/>
                      <w:color w:val="000000" w:themeColor="text1"/>
                      <w:spacing w:val="-1"/>
                      <w:sz w:val="22"/>
                      <w:szCs w:val="22"/>
                      <w14:textFill>
                        <w14:solidFill>
                          <w14:schemeClr w14:val="tx1"/>
                        </w14:solidFill>
                      </w14:textFill>
                    </w:rPr>
                    <w:t>36</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6"/>
                      <w:sz w:val="22"/>
                      <w:szCs w:val="22"/>
                      <w14:textFill>
                        <w14:solidFill>
                          <w14:schemeClr w14:val="tx1"/>
                        </w14:solidFill>
                      </w14:textFill>
                    </w:rPr>
                    <w:t>1</w:t>
                  </w:r>
                  <w:r>
                    <w:rPr>
                      <w:rFonts w:ascii="Times New Roman" w:hAnsi="Times New Roman" w:eastAsia="Times New Roman" w:cs="Times New Roman"/>
                      <w:color w:val="000000" w:themeColor="text1"/>
                      <w:spacing w:val="-4"/>
                      <w:sz w:val="22"/>
                      <w:szCs w:val="22"/>
                      <w14:textFill>
                        <w14:solidFill>
                          <w14:schemeClr w14:val="tx1"/>
                        </w14:solidFill>
                      </w14:textFill>
                    </w:rPr>
                    <w:t>.14</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6"/>
                      <w:sz w:val="22"/>
                      <w:szCs w:val="22"/>
                      <w14:textFill>
                        <w14:solidFill>
                          <w14:schemeClr w14:val="tx1"/>
                        </w14:solidFill>
                      </w14:textFill>
                    </w:rPr>
                    <w:t>1</w:t>
                  </w:r>
                  <w:r>
                    <w:rPr>
                      <w:rFonts w:ascii="Times New Roman" w:hAnsi="Times New Roman" w:eastAsia="Times New Roman" w:cs="Times New Roman"/>
                      <w:color w:val="000000" w:themeColor="text1"/>
                      <w:spacing w:val="-4"/>
                      <w:sz w:val="22"/>
                      <w:szCs w:val="22"/>
                      <w14:textFill>
                        <w14:solidFill>
                          <w14:schemeClr w14:val="tx1"/>
                        </w14:solidFill>
                      </w14:textFill>
                    </w:rPr>
                    <w:t>.16</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7</w:t>
                  </w:r>
                  <w:r>
                    <w:rPr>
                      <w:rFonts w:ascii="Times New Roman" w:hAnsi="Times New Roman" w:eastAsia="Times New Roman" w:cs="Times New Roman"/>
                      <w:color w:val="000000" w:themeColor="text1"/>
                      <w:spacing w:val="-1"/>
                      <w:sz w:val="22"/>
                      <w:szCs w:val="22"/>
                      <w14:textFill>
                        <w14:solidFill>
                          <w14:schemeClr w14:val="tx1"/>
                        </w14:solidFill>
                      </w14:textFill>
                    </w:rPr>
                    <w:t>671</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882</w:t>
                  </w:r>
                  <w:r>
                    <w:rPr>
                      <w:rFonts w:ascii="Times New Roman" w:hAnsi="Times New Roman" w:eastAsia="Times New Roman" w:cs="Times New Roman"/>
                      <w:color w:val="000000" w:themeColor="text1"/>
                      <w:spacing w:val="-1"/>
                      <w:sz w:val="22"/>
                      <w:szCs w:val="22"/>
                      <w14:textFill>
                        <w14:solidFill>
                          <w14:schemeClr w14:val="tx1"/>
                        </w14:solidFill>
                      </w14:textFill>
                    </w:rPr>
                    <w:t>1.65</w:t>
                  </w:r>
                </w:p>
              </w:tc>
            </w:tr>
            <w:tr>
              <w:tblPrEx>
                <w:tblBorders>
                  <w:top w:val="single" w:color="000000" w:sz="12" w:space="0"/>
                  <w:left w:val="none" w:color="auto" w:sz="0" w:space="0"/>
                  <w:bottom w:val="single" w:color="000000" w:sz="12" w:space="0"/>
                  <w:right w:val="single" w:color="000000" w:sz="0" w:space="0"/>
                  <w:insideH w:val="single" w:color="000000" w:sz="2" w:space="0"/>
                  <w:insideV w:val="single" w:color="000000" w:sz="4" w:space="0"/>
                </w:tblBorders>
                <w:tblCellMar>
                  <w:top w:w="0" w:type="dxa"/>
                  <w:left w:w="0" w:type="dxa"/>
                  <w:bottom w:w="0" w:type="dxa"/>
                  <w:right w:w="0" w:type="dxa"/>
                </w:tblCellMar>
              </w:tblPrEx>
              <w:trPr>
                <w:trHeight w:val="411" w:hRule="atLeast"/>
                <w:jc w:val="center"/>
              </w:trPr>
              <w:tc>
                <w:tcPr>
                  <w:tcW w:w="7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合计</w:t>
                  </w:r>
                </w:p>
              </w:tc>
              <w:tc>
                <w:tcPr>
                  <w:tcW w:w="12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position w:val="-1"/>
                      <w:sz w:val="22"/>
                      <w:szCs w:val="22"/>
                      <w14:textFill>
                        <w14:solidFill>
                          <w14:schemeClr w14:val="tx1"/>
                        </w14:solidFill>
                      </w14:textFill>
                    </w:rPr>
                    <w:t>-</w:t>
                  </w:r>
                </w:p>
              </w:tc>
              <w:tc>
                <w:tcPr>
                  <w:tcW w:w="9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5"/>
                      <w:sz w:val="22"/>
                      <w:szCs w:val="22"/>
                      <w14:textFill>
                        <w14:solidFill>
                          <w14:schemeClr w14:val="tx1"/>
                        </w14:solidFill>
                      </w14:textFill>
                    </w:rPr>
                    <w:t>1</w:t>
                  </w:r>
                  <w:r>
                    <w:rPr>
                      <w:rFonts w:ascii="Times New Roman" w:hAnsi="Times New Roman" w:eastAsia="Times New Roman" w:cs="Times New Roman"/>
                      <w:color w:val="000000" w:themeColor="text1"/>
                      <w:spacing w:val="-3"/>
                      <w:sz w:val="22"/>
                      <w:szCs w:val="22"/>
                      <w14:textFill>
                        <w14:solidFill>
                          <w14:schemeClr w14:val="tx1"/>
                        </w14:solidFill>
                      </w14:textFill>
                    </w:rPr>
                    <w:t>394.2</w:t>
                  </w:r>
                </w:p>
              </w:tc>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position w:val="-1"/>
                      <w:sz w:val="22"/>
                      <w:szCs w:val="22"/>
                      <w14:textFill>
                        <w14:solidFill>
                          <w14:schemeClr w14:val="tx1"/>
                        </w14:solidFill>
                      </w14:textFill>
                    </w:rPr>
                    <w:t>-</w:t>
                  </w:r>
                </w:p>
              </w:tc>
              <w:tc>
                <w:tcPr>
                  <w:tcW w:w="77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position w:val="-1"/>
                      <w:sz w:val="22"/>
                      <w:szCs w:val="22"/>
                      <w14:textFill>
                        <w14:solidFill>
                          <w14:schemeClr w14:val="tx1"/>
                        </w14:solidFill>
                      </w14:textFill>
                    </w:rPr>
                    <w:t>-</w:t>
                  </w:r>
                </w:p>
              </w:tc>
              <w:tc>
                <w:tcPr>
                  <w:tcW w:w="92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position w:val="-1"/>
                      <w:sz w:val="22"/>
                      <w:szCs w:val="22"/>
                      <w14:textFill>
                        <w14:solidFill>
                          <w14:schemeClr w14:val="tx1"/>
                        </w14:solidFill>
                      </w14:textFill>
                    </w:rPr>
                    <w:t>-</w:t>
                  </w:r>
                </w:p>
              </w:tc>
              <w:tc>
                <w:tcPr>
                  <w:tcW w:w="98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53</w:t>
                  </w:r>
                  <w:r>
                    <w:rPr>
                      <w:rFonts w:ascii="Times New Roman" w:hAnsi="Times New Roman" w:eastAsia="Times New Roman" w:cs="Times New Roman"/>
                      <w:color w:val="000000" w:themeColor="text1"/>
                      <w:spacing w:val="-1"/>
                      <w:sz w:val="22"/>
                      <w:szCs w:val="22"/>
                      <w14:textFill>
                        <w14:solidFill>
                          <w14:schemeClr w14:val="tx1"/>
                        </w14:solidFill>
                      </w14:textFill>
                    </w:rPr>
                    <w:t>348</w:t>
                  </w:r>
                </w:p>
              </w:tc>
              <w:tc>
                <w:tcPr>
                  <w:tcW w:w="13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4"/>
                      <w:sz w:val="22"/>
                      <w:szCs w:val="22"/>
                      <w14:textFill>
                        <w14:solidFill>
                          <w14:schemeClr w14:val="tx1"/>
                        </w14:solidFill>
                      </w14:textFill>
                    </w:rPr>
                    <w:t>1</w:t>
                  </w:r>
                  <w:r>
                    <w:rPr>
                      <w:rFonts w:ascii="Times New Roman" w:hAnsi="Times New Roman" w:eastAsia="Times New Roman" w:cs="Times New Roman"/>
                      <w:color w:val="000000" w:themeColor="text1"/>
                      <w:spacing w:val="-2"/>
                      <w:sz w:val="22"/>
                      <w:szCs w:val="22"/>
                      <w14:textFill>
                        <w14:solidFill>
                          <w14:schemeClr w14:val="tx1"/>
                        </w14:solidFill>
                      </w14:textFill>
                    </w:rPr>
                    <w:t>03255.32</w:t>
                  </w:r>
                </w:p>
              </w:tc>
            </w:tr>
          </w:tbl>
          <w:p>
            <w:pPr>
              <w:numPr>
                <w:ilvl w:val="0"/>
                <w:numId w:val="2"/>
              </w:numPr>
              <w:spacing w:line="360" w:lineRule="auto"/>
              <w:ind w:firstLine="480" w:firstLineChars="200"/>
              <w:contextualSpacing/>
              <w:jc w:val="left"/>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 xml:space="preserve">清淤疏浚方式 </w:t>
            </w:r>
          </w:p>
          <w:p>
            <w:pPr>
              <w:spacing w:line="360" w:lineRule="auto"/>
              <w:ind w:firstLine="480" w:firstLineChars="200"/>
              <w:contextualSpacing/>
              <w:jc w:val="left"/>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综合城北河河道现状考虑，本次优先考虑采用排干清淤方式。在河道施工段构筑临时围堰，将河道水排干后采用</w:t>
            </w:r>
            <w:r>
              <w:rPr>
                <w:rFonts w:hint="default" w:ascii="Times New Roman" w:hAnsi="Times New Roman" w:eastAsia="宋体" w:cs="宋体"/>
                <w:color w:val="000000" w:themeColor="text1"/>
                <w:sz w:val="24"/>
                <w:szCs w:val="24"/>
                <w:lang w:val="en-US" w:eastAsia="zh-CN"/>
                <w14:textFill>
                  <w14:solidFill>
                    <w14:schemeClr w14:val="tx1"/>
                  </w14:solidFill>
                </w14:textFill>
              </w:rPr>
              <w:t>1m³</w:t>
            </w:r>
            <w:r>
              <w:rPr>
                <w:rFonts w:hint="eastAsia" w:ascii="Times New Roman" w:hAnsi="Times New Roman" w:eastAsia="宋体" w:cs="宋体"/>
                <w:color w:val="000000" w:themeColor="text1"/>
                <w:sz w:val="24"/>
                <w:szCs w:val="24"/>
                <w:lang w:val="en-US" w:eastAsia="zh-CN"/>
                <w14:textFill>
                  <w14:solidFill>
                    <w14:schemeClr w14:val="tx1"/>
                  </w14:solidFill>
                </w14:textFill>
              </w:rPr>
              <w:t>的反铲挖掘机并配合一定的人工作业进行清淤。清掏出的淤泥（淤泥含水率小于</w:t>
            </w:r>
            <w:r>
              <w:rPr>
                <w:rFonts w:hint="default" w:ascii="Times New Roman" w:hAnsi="Times New Roman" w:eastAsia="宋体" w:cs="宋体"/>
                <w:color w:val="000000" w:themeColor="text1"/>
                <w:sz w:val="24"/>
                <w:szCs w:val="24"/>
                <w:lang w:val="en-US" w:eastAsia="zh-CN"/>
                <w14:textFill>
                  <w14:solidFill>
                    <w14:schemeClr w14:val="tx1"/>
                  </w14:solidFill>
                </w14:textFill>
              </w:rPr>
              <w:t>25%</w:t>
            </w:r>
            <w:r>
              <w:rPr>
                <w:rFonts w:hint="eastAsia" w:ascii="Times New Roman" w:hAnsi="Times New Roman" w:eastAsia="宋体" w:cs="宋体"/>
                <w:color w:val="000000" w:themeColor="text1"/>
                <w:sz w:val="24"/>
                <w:szCs w:val="24"/>
                <w:lang w:val="en-US" w:eastAsia="zh-CN"/>
                <w14:textFill>
                  <w14:solidFill>
                    <w14:schemeClr w14:val="tx1"/>
                  </w14:solidFill>
                </w14:textFill>
              </w:rPr>
              <w:t>）装入污物装载箱内提上地面，随后装入小推车运至垃圾车旁，最后装入封闭式垃圾车内集中外运出去。由于本次清淤主要为</w:t>
            </w:r>
            <w:r>
              <w:rPr>
                <w:rFonts w:hint="eastAsia" w:cs="宋体"/>
                <w:color w:val="000000" w:themeColor="text1"/>
                <w:sz w:val="24"/>
                <w:szCs w:val="24"/>
                <w:lang w:val="en-US" w:eastAsia="zh-CN"/>
                <w14:textFill>
                  <w14:solidFill>
                    <w14:schemeClr w14:val="tx1"/>
                  </w14:solidFill>
                </w14:textFill>
              </w:rPr>
              <w:t>砂石</w:t>
            </w:r>
            <w:r>
              <w:rPr>
                <w:rFonts w:hint="eastAsia" w:ascii="Times New Roman" w:hAnsi="Times New Roman" w:eastAsia="宋体" w:cs="宋体"/>
                <w:color w:val="000000" w:themeColor="text1"/>
                <w:sz w:val="24"/>
                <w:szCs w:val="24"/>
                <w:lang w:val="en-US" w:eastAsia="zh-CN"/>
                <w14:textFill>
                  <w14:solidFill>
                    <w14:schemeClr w14:val="tx1"/>
                  </w14:solidFill>
                </w14:textFill>
              </w:rPr>
              <w:t>和泥土，</w:t>
            </w:r>
            <w:r>
              <w:rPr>
                <w:rFonts w:hint="eastAsia" w:cs="宋体"/>
                <w:color w:val="000000" w:themeColor="text1"/>
                <w:sz w:val="24"/>
                <w:szCs w:val="24"/>
                <w:lang w:val="en-US" w:eastAsia="zh-CN"/>
                <w14:textFill>
                  <w14:solidFill>
                    <w14:schemeClr w14:val="tx1"/>
                  </w14:solidFill>
                </w14:textFill>
              </w:rPr>
              <w:t>外运作为筑路基层填料利用</w:t>
            </w:r>
            <w:r>
              <w:rPr>
                <w:rFonts w:hint="eastAsia" w:ascii="Times New Roman" w:hAnsi="Times New Roman" w:eastAsia="宋体" w:cs="宋体"/>
                <w:color w:val="000000" w:themeColor="text1"/>
                <w:sz w:val="24"/>
                <w:szCs w:val="24"/>
                <w:lang w:val="en-US" w:eastAsia="zh-CN"/>
                <w14:textFill>
                  <w14:solidFill>
                    <w14:schemeClr w14:val="tx1"/>
                  </w14:solidFill>
                </w14:textFill>
              </w:rPr>
              <w:t>。在清运淤泥时，立即派人将道路上洒落的土方清扫干净，给周边市民一个良好的居住环境。</w:t>
            </w:r>
          </w:p>
          <w:p>
            <w:pPr>
              <w:numPr>
                <w:ilvl w:val="0"/>
                <w:numId w:val="2"/>
              </w:numPr>
              <w:spacing w:line="360" w:lineRule="auto"/>
              <w:ind w:left="0" w:leftChars="0" w:firstLine="480" w:firstLineChars="200"/>
              <w:contextualSpacing/>
              <w:jc w:val="left"/>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泥沙堆放和处置</w:t>
            </w:r>
          </w:p>
          <w:p>
            <w:pPr>
              <w:numPr>
                <w:ilvl w:val="0"/>
                <w:numId w:val="0"/>
              </w:numPr>
              <w:spacing w:line="360" w:lineRule="auto"/>
              <w:ind w:firstLine="480" w:firstLineChars="200"/>
              <w:contextualSpacing/>
              <w:jc w:val="left"/>
              <w:rPr>
                <w:rFonts w:hint="eastAsia"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由于</w:t>
            </w:r>
            <w:r>
              <w:rPr>
                <w:rFonts w:hint="eastAsia" w:cs="宋体"/>
                <w:color w:val="000000" w:themeColor="text1"/>
                <w:sz w:val="24"/>
                <w:szCs w:val="24"/>
                <w:lang w:eastAsia="zh-CN"/>
                <w14:textFill>
                  <w14:solidFill>
                    <w14:schemeClr w14:val="tx1"/>
                  </w14:solidFill>
                </w14:textFill>
              </w:rPr>
              <w:t>本项目采用排干清淤方式，此方法的优点是泥沙含水率低，不存在排水问题，项目清理泥沙直接拉运至筑路工段作为填料利用，不在河道堆存。</w:t>
            </w:r>
          </w:p>
          <w:p>
            <w:pPr>
              <w:numPr>
                <w:ilvl w:val="0"/>
                <w:numId w:val="0"/>
              </w:numPr>
              <w:spacing w:line="360" w:lineRule="auto"/>
              <w:ind w:firstLine="480" w:firstLineChars="200"/>
              <w:contextualSpacing/>
              <w:jc w:val="left"/>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 xml:space="preserve">4.2河道护岸工程 </w:t>
            </w:r>
          </w:p>
          <w:p>
            <w:pPr>
              <w:numPr>
                <w:ilvl w:val="0"/>
                <w:numId w:val="0"/>
              </w:numPr>
              <w:spacing w:line="360" w:lineRule="auto"/>
              <w:ind w:firstLine="480" w:firstLineChars="200"/>
              <w:contextualSpacing/>
              <w:jc w:val="left"/>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 xml:space="preserve">（1）河宽确定 </w:t>
            </w:r>
          </w:p>
          <w:p>
            <w:pPr>
              <w:numPr>
                <w:ilvl w:val="0"/>
                <w:numId w:val="0"/>
              </w:numPr>
              <w:spacing w:line="360" w:lineRule="auto"/>
              <w:ind w:firstLine="480" w:firstLineChars="200"/>
              <w:contextualSpacing/>
              <w:jc w:val="left"/>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河道治理宽度为左右岸堤岸线与河床面的交线的内侧宽度，依据实测的河槽断面和稳定河宽理论值，结合河道主河槽现状宽度及参照河宽计算结果，根据水面线计算结果，结合上下游现状行洪宽度，本次水环境治理工程中生态护岸工程：</w:t>
            </w:r>
          </w:p>
          <w:p>
            <w:pPr>
              <w:numPr>
                <w:ilvl w:val="0"/>
                <w:numId w:val="0"/>
              </w:numPr>
              <w:spacing w:line="360" w:lineRule="auto"/>
              <w:ind w:firstLine="480" w:firstLineChars="200"/>
              <w:contextualSpacing/>
              <w:jc w:val="left"/>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城北河杨家湾子至寨河段治理河宽为29.20m~51.20m；湘乐川昔沟至寨河段治理河宽为24.12m~27.42m。</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护岸结构设计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本工程整体采用铰链式砼预制块生态护坡结构，局部河段采用固宾笼墙式护脚。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护岸工程填方河堤迎水坡坡比1:1.5，背水坡坡比1:1.25，堤顶宽3.0m，河堤填筑材料就地选用岸滩砾质土料，按照《堤防工程设计规范》及堤防级别确定填筑标准为：低于6m的3级及3级以下堤防土堤填筑的相对密度不小0.91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护坡结构：设计堤顶以下全断面衬砌，根据结构受力稳定计算，护坡底部基础及河床深泓线以下1.5m高面板采用C20混凝土现浇，基础底宽60cm，高50cm，斜坡面板顶部厚15cm，底部厚度25cm，长2.65m；河床深泓线以上护坡采用铰链式护坡砌块铺设，坡比1：1.5，砌块为中空造型的C30干硬性砼预制块，规格420×420×150mm，由绞索穿孔连接，砌块护坡每30m用C25混凝土浇灌接缝处理连接，缝宽30cm，生态护坡砌块空隙植草绿化。堤顶采用C20砼现浇压顶，宽50cm，厚度15cm。</w:t>
            </w:r>
          </w:p>
          <w:p>
            <w:pPr>
              <w:numPr>
                <w:ilvl w:val="0"/>
                <w:numId w:val="3"/>
              </w:numPr>
              <w:spacing w:line="360" w:lineRule="auto"/>
              <w:ind w:left="0" w:leftChars="0" w:firstLine="480" w:firstLineChars="200"/>
              <w:contextualSpacing/>
              <w:jc w:val="left"/>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穿堤涵管设计</w:t>
            </w:r>
          </w:p>
          <w:p>
            <w:pPr>
              <w:numPr>
                <w:ilvl w:val="0"/>
                <w:numId w:val="0"/>
              </w:numPr>
              <w:spacing w:line="360" w:lineRule="auto"/>
              <w:ind w:firstLine="480" w:firstLineChars="200"/>
              <w:contextualSpacing/>
              <w:jc w:val="left"/>
              <w:rPr>
                <w:rFonts w:hint="eastAsia" w:cs="宋体"/>
                <w:color w:val="000000" w:themeColor="text1"/>
                <w:sz w:val="24"/>
                <w:szCs w:val="24"/>
                <w:lang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水环境治理工程中城北河生态护岸工程在居民点及小支沟处布设穿堤涵管</w:t>
            </w:r>
            <w:r>
              <w:rPr>
                <w:rFonts w:hint="default" w:cs="宋体"/>
                <w:color w:val="000000" w:themeColor="text1"/>
                <w:sz w:val="24"/>
                <w:szCs w:val="24"/>
                <w:lang w:val="en-US" w:eastAsia="zh-CN"/>
                <w14:textFill>
                  <w14:solidFill>
                    <w14:schemeClr w14:val="tx1"/>
                  </w14:solidFill>
                </w14:textFill>
              </w:rPr>
              <w:t>5</w:t>
            </w:r>
            <w:r>
              <w:rPr>
                <w:rFonts w:hint="eastAsia" w:cs="宋体"/>
                <w:color w:val="000000" w:themeColor="text1"/>
                <w:sz w:val="24"/>
                <w:szCs w:val="24"/>
                <w:lang w:val="en-US" w:eastAsia="zh-CN"/>
                <w14:textFill>
                  <w14:solidFill>
                    <w14:schemeClr w14:val="tx1"/>
                  </w14:solidFill>
                </w14:textFill>
              </w:rPr>
              <w:t>处，湘乐川生态护岸工程在居民点及小支沟处布设穿堤涵管</w:t>
            </w:r>
            <w:r>
              <w:rPr>
                <w:rFonts w:hint="default" w:cs="宋体"/>
                <w:color w:val="000000" w:themeColor="text1"/>
                <w:sz w:val="24"/>
                <w:szCs w:val="24"/>
                <w:lang w:val="en-US" w:eastAsia="zh-CN"/>
                <w14:textFill>
                  <w14:solidFill>
                    <w14:schemeClr w14:val="tx1"/>
                  </w14:solidFill>
                </w14:textFill>
              </w:rPr>
              <w:t>5</w:t>
            </w:r>
            <w:r>
              <w:rPr>
                <w:rFonts w:hint="eastAsia" w:cs="宋体"/>
                <w:color w:val="000000" w:themeColor="text1"/>
                <w:sz w:val="24"/>
                <w:szCs w:val="24"/>
                <w:lang w:val="en-US" w:eastAsia="zh-CN"/>
                <w14:textFill>
                  <w14:solidFill>
                    <w14:schemeClr w14:val="tx1"/>
                  </w14:solidFill>
                </w14:textFill>
              </w:rPr>
              <w:t>处，共计</w:t>
            </w:r>
            <w:r>
              <w:rPr>
                <w:rFonts w:hint="default" w:cs="宋体"/>
                <w:color w:val="000000" w:themeColor="text1"/>
                <w:sz w:val="24"/>
                <w:szCs w:val="24"/>
                <w:lang w:val="en-US" w:eastAsia="zh-CN"/>
                <w14:textFill>
                  <w14:solidFill>
                    <w14:schemeClr w14:val="tx1"/>
                  </w14:solidFill>
                </w14:textFill>
              </w:rPr>
              <w:t>10</w:t>
            </w:r>
            <w:r>
              <w:rPr>
                <w:rFonts w:hint="eastAsia" w:cs="宋体"/>
                <w:color w:val="000000" w:themeColor="text1"/>
                <w:sz w:val="24"/>
                <w:szCs w:val="24"/>
                <w:lang w:val="en-US" w:eastAsia="zh-CN"/>
                <w14:textFill>
                  <w14:solidFill>
                    <w14:schemeClr w14:val="tx1"/>
                  </w14:solidFill>
                </w14:textFill>
              </w:rPr>
              <w:t>处，穿堤涵管位于生态护岸的左右岸，排洪涵管采用</w:t>
            </w:r>
            <w:r>
              <w:rPr>
                <w:rFonts w:hint="default" w:cs="宋体"/>
                <w:color w:val="000000" w:themeColor="text1"/>
                <w:sz w:val="24"/>
                <w:szCs w:val="24"/>
                <w:lang w:val="en-US" w:eastAsia="zh-CN"/>
                <w14:textFill>
                  <w14:solidFill>
                    <w14:schemeClr w14:val="tx1"/>
                  </w14:solidFill>
                </w14:textFill>
              </w:rPr>
              <w:t>Ф800</w:t>
            </w:r>
            <w:r>
              <w:rPr>
                <w:rFonts w:hint="eastAsia" w:cs="宋体"/>
                <w:color w:val="000000" w:themeColor="text1"/>
                <w:sz w:val="24"/>
                <w:szCs w:val="24"/>
                <w:lang w:val="en-US" w:eastAsia="zh-CN"/>
                <w14:textFill>
                  <w14:solidFill>
                    <w14:schemeClr w14:val="tx1"/>
                  </w14:solidFill>
                </w14:textFill>
              </w:rPr>
              <w:t>混凝土管，纵坡坡比</w:t>
            </w:r>
            <w:r>
              <w:rPr>
                <w:rFonts w:hint="default" w:cs="宋体"/>
                <w:color w:val="000000" w:themeColor="text1"/>
                <w:sz w:val="24"/>
                <w:szCs w:val="24"/>
                <w:lang w:val="en-US" w:eastAsia="zh-CN"/>
                <w14:textFill>
                  <w14:solidFill>
                    <w14:schemeClr w14:val="tx1"/>
                  </w14:solidFill>
                </w14:textFill>
              </w:rPr>
              <w:t>1/100</w:t>
            </w:r>
            <w:r>
              <w:rPr>
                <w:rFonts w:hint="eastAsia" w:cs="宋体"/>
                <w:color w:val="000000" w:themeColor="text1"/>
                <w:sz w:val="24"/>
                <w:szCs w:val="24"/>
                <w:lang w:val="en-US" w:eastAsia="zh-CN"/>
                <w14:textFill>
                  <w14:solidFill>
                    <w14:schemeClr w14:val="tx1"/>
                  </w14:solidFill>
                </w14:textFill>
              </w:rPr>
              <w:t>，背水坡涵管进口处设</w:t>
            </w:r>
            <w:r>
              <w:rPr>
                <w:rFonts w:hint="default" w:cs="宋体"/>
                <w:color w:val="000000" w:themeColor="text1"/>
                <w:sz w:val="24"/>
                <w:szCs w:val="24"/>
                <w:lang w:val="en-US" w:eastAsia="zh-CN"/>
                <w14:textFill>
                  <w14:solidFill>
                    <w14:schemeClr w14:val="tx1"/>
                  </w14:solidFill>
                </w14:textFill>
              </w:rPr>
              <w:t>C15</w:t>
            </w:r>
            <w:r>
              <w:rPr>
                <w:rFonts w:hint="eastAsia" w:cs="宋体"/>
                <w:color w:val="000000" w:themeColor="text1"/>
                <w:sz w:val="24"/>
                <w:szCs w:val="24"/>
                <w:lang w:val="en-US" w:eastAsia="zh-CN"/>
                <w14:textFill>
                  <w14:solidFill>
                    <w14:schemeClr w14:val="tx1"/>
                  </w14:solidFill>
                </w14:textFill>
              </w:rPr>
              <w:t>砼八字墙，八字墙基础为厚</w:t>
            </w:r>
            <w:r>
              <w:rPr>
                <w:rFonts w:hint="default" w:cs="宋体"/>
                <w:color w:val="000000" w:themeColor="text1"/>
                <w:sz w:val="24"/>
                <w:szCs w:val="24"/>
                <w:lang w:val="en-US" w:eastAsia="zh-CN"/>
                <w14:textFill>
                  <w14:solidFill>
                    <w14:schemeClr w14:val="tx1"/>
                  </w14:solidFill>
                </w14:textFill>
              </w:rPr>
              <w:t>20cm10%</w:t>
            </w:r>
            <w:r>
              <w:rPr>
                <w:rFonts w:hint="eastAsia" w:cs="宋体"/>
                <w:color w:val="000000" w:themeColor="text1"/>
                <w:sz w:val="24"/>
                <w:szCs w:val="24"/>
                <w:lang w:val="en-US" w:eastAsia="zh-CN"/>
                <w14:textFill>
                  <w14:solidFill>
                    <w14:schemeClr w14:val="tx1"/>
                  </w14:solidFill>
                </w14:textFill>
              </w:rPr>
              <w:t>水泥土，上层为</w:t>
            </w:r>
            <w:r>
              <w:rPr>
                <w:rFonts w:hint="default" w:cs="宋体"/>
                <w:color w:val="000000" w:themeColor="text1"/>
                <w:sz w:val="24"/>
                <w:szCs w:val="24"/>
                <w:lang w:val="en-US" w:eastAsia="zh-CN"/>
                <w14:textFill>
                  <w14:solidFill>
                    <w14:schemeClr w14:val="tx1"/>
                  </w14:solidFill>
                </w14:textFill>
              </w:rPr>
              <w:t>C15</w:t>
            </w:r>
            <w:r>
              <w:rPr>
                <w:rFonts w:hint="eastAsia" w:cs="宋体"/>
                <w:color w:val="000000" w:themeColor="text1"/>
                <w:sz w:val="24"/>
                <w:szCs w:val="24"/>
                <w:lang w:val="en-US" w:eastAsia="zh-CN"/>
                <w14:textFill>
                  <w14:solidFill>
                    <w14:schemeClr w14:val="tx1"/>
                  </w14:solidFill>
                </w14:textFill>
              </w:rPr>
              <w:t>砼垫层，厚</w:t>
            </w:r>
            <w:r>
              <w:rPr>
                <w:rFonts w:hint="default" w:cs="宋体"/>
                <w:color w:val="000000" w:themeColor="text1"/>
                <w:sz w:val="24"/>
                <w:szCs w:val="24"/>
                <w:lang w:val="en-US" w:eastAsia="zh-CN"/>
                <w14:textFill>
                  <w14:solidFill>
                    <w14:schemeClr w14:val="tx1"/>
                  </w14:solidFill>
                </w14:textFill>
              </w:rPr>
              <w:t>10cm</w:t>
            </w:r>
            <w:r>
              <w:rPr>
                <w:rFonts w:hint="eastAsia" w:cs="宋体"/>
                <w:color w:val="000000" w:themeColor="text1"/>
                <w:sz w:val="24"/>
                <w:szCs w:val="24"/>
                <w:lang w:val="en-US" w:eastAsia="zh-CN"/>
                <w14:textFill>
                  <w14:solidFill>
                    <w14:schemeClr w14:val="tx1"/>
                  </w14:solidFill>
                </w14:textFill>
              </w:rPr>
              <w:t>，底板为</w:t>
            </w:r>
            <w:r>
              <w:rPr>
                <w:rFonts w:hint="default" w:cs="宋体"/>
                <w:color w:val="000000" w:themeColor="text1"/>
                <w:sz w:val="24"/>
                <w:szCs w:val="24"/>
                <w:lang w:val="en-US" w:eastAsia="zh-CN"/>
                <w14:textFill>
                  <w14:solidFill>
                    <w14:schemeClr w14:val="tx1"/>
                  </w14:solidFill>
                </w14:textFill>
              </w:rPr>
              <w:t>C20</w:t>
            </w:r>
            <w:r>
              <w:rPr>
                <w:rFonts w:hint="eastAsia" w:cs="宋体"/>
                <w:color w:val="000000" w:themeColor="text1"/>
                <w:sz w:val="24"/>
                <w:szCs w:val="24"/>
                <w:lang w:val="en-US" w:eastAsia="zh-CN"/>
                <w14:textFill>
                  <w14:solidFill>
                    <w14:schemeClr w14:val="tx1"/>
                  </w14:solidFill>
                </w14:textFill>
              </w:rPr>
              <w:t>砼，厚</w:t>
            </w:r>
            <w:r>
              <w:rPr>
                <w:rFonts w:hint="default" w:cs="宋体"/>
                <w:color w:val="000000" w:themeColor="text1"/>
                <w:sz w:val="24"/>
                <w:szCs w:val="24"/>
                <w:lang w:val="en-US" w:eastAsia="zh-CN"/>
                <w14:textFill>
                  <w14:solidFill>
                    <w14:schemeClr w14:val="tx1"/>
                  </w14:solidFill>
                </w14:textFill>
              </w:rPr>
              <w:t>20cm</w:t>
            </w:r>
            <w:r>
              <w:rPr>
                <w:rFonts w:hint="eastAsia" w:cs="宋体"/>
                <w:color w:val="000000" w:themeColor="text1"/>
                <w:sz w:val="24"/>
                <w:szCs w:val="24"/>
                <w:lang w:val="en-US" w:eastAsia="zh-CN"/>
                <w14:textFill>
                  <w14:solidFill>
                    <w14:schemeClr w14:val="tx1"/>
                  </w14:solidFill>
                </w14:textFill>
              </w:rPr>
              <w:t>；混凝土管基础为</w:t>
            </w:r>
            <w:r>
              <w:rPr>
                <w:rFonts w:hint="default" w:cs="宋体"/>
                <w:color w:val="000000" w:themeColor="text1"/>
                <w:sz w:val="24"/>
                <w:szCs w:val="24"/>
                <w:lang w:val="en-US" w:eastAsia="zh-CN"/>
                <w14:textFill>
                  <w14:solidFill>
                    <w14:schemeClr w14:val="tx1"/>
                  </w14:solidFill>
                </w14:textFill>
              </w:rPr>
              <w:t>10%</w:t>
            </w:r>
            <w:r>
              <w:rPr>
                <w:rFonts w:hint="eastAsia" w:cs="宋体"/>
                <w:color w:val="000000" w:themeColor="text1"/>
                <w:sz w:val="24"/>
                <w:szCs w:val="24"/>
                <w:lang w:val="en-US" w:eastAsia="zh-CN"/>
                <w14:textFill>
                  <w14:solidFill>
                    <w14:schemeClr w14:val="tx1"/>
                  </w14:solidFill>
                </w14:textFill>
              </w:rPr>
              <w:t>水泥土，厚</w:t>
            </w:r>
            <w:r>
              <w:rPr>
                <w:rFonts w:hint="default" w:cs="宋体"/>
                <w:color w:val="000000" w:themeColor="text1"/>
                <w:sz w:val="24"/>
                <w:szCs w:val="24"/>
                <w:lang w:val="en-US" w:eastAsia="zh-CN"/>
                <w14:textFill>
                  <w14:solidFill>
                    <w14:schemeClr w14:val="tx1"/>
                  </w14:solidFill>
                </w14:textFill>
              </w:rPr>
              <w:t>20cm</w:t>
            </w:r>
            <w:r>
              <w:rPr>
                <w:rFonts w:hint="eastAsia" w:cs="宋体"/>
                <w:color w:val="000000" w:themeColor="text1"/>
                <w:sz w:val="24"/>
                <w:szCs w:val="24"/>
                <w:lang w:val="en-US" w:eastAsia="zh-CN"/>
                <w14:textFill>
                  <w14:solidFill>
                    <w14:schemeClr w14:val="tx1"/>
                  </w14:solidFill>
                </w14:textFill>
              </w:rPr>
              <w:t>，基础以上采用</w:t>
            </w:r>
            <w:r>
              <w:rPr>
                <w:rFonts w:hint="default" w:cs="宋体"/>
                <w:color w:val="000000" w:themeColor="text1"/>
                <w:sz w:val="24"/>
                <w:szCs w:val="24"/>
                <w:lang w:val="en-US" w:eastAsia="zh-CN"/>
                <w14:textFill>
                  <w14:solidFill>
                    <w14:schemeClr w14:val="tx1"/>
                  </w14:solidFill>
                </w14:textFill>
              </w:rPr>
              <w:t>C15</w:t>
            </w:r>
            <w:r>
              <w:rPr>
                <w:rFonts w:hint="eastAsia" w:cs="宋体"/>
                <w:color w:val="000000" w:themeColor="text1"/>
                <w:sz w:val="24"/>
                <w:szCs w:val="24"/>
                <w:lang w:val="en-US" w:eastAsia="zh-CN"/>
                <w14:textFill>
                  <w14:solidFill>
                    <w14:schemeClr w14:val="tx1"/>
                  </w14:solidFill>
                </w14:textFill>
              </w:rPr>
              <w:t>砼基座，厚</w:t>
            </w:r>
            <w:r>
              <w:rPr>
                <w:rFonts w:hint="default" w:cs="宋体"/>
                <w:color w:val="000000" w:themeColor="text1"/>
                <w:sz w:val="24"/>
                <w:szCs w:val="24"/>
                <w:lang w:val="en-US" w:eastAsia="zh-CN"/>
                <w14:textFill>
                  <w14:solidFill>
                    <w14:schemeClr w14:val="tx1"/>
                  </w14:solidFill>
                </w14:textFill>
              </w:rPr>
              <w:t>20cm</w:t>
            </w:r>
            <w:r>
              <w:rPr>
                <w:rFonts w:hint="eastAsia" w:cs="宋体"/>
                <w:color w:val="000000" w:themeColor="text1"/>
                <w:sz w:val="24"/>
                <w:szCs w:val="24"/>
                <w:lang w:val="en-US" w:eastAsia="zh-CN"/>
                <w14:textFill>
                  <w14:solidFill>
                    <w14:schemeClr w14:val="tx1"/>
                  </w14:solidFill>
                </w14:textFill>
              </w:rPr>
              <w:t>。</w:t>
            </w:r>
          </w:p>
          <w:p>
            <w:pPr>
              <w:numPr>
                <w:ilvl w:val="0"/>
                <w:numId w:val="0"/>
              </w:numPr>
              <w:spacing w:line="360" w:lineRule="auto"/>
              <w:ind w:firstLine="480" w:firstLineChars="200"/>
              <w:contextualSpacing/>
              <w:jc w:val="left"/>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 xml:space="preserve">（4）护岸与护岸、护岸与桥的连接 </w:t>
            </w:r>
          </w:p>
          <w:p>
            <w:pPr>
              <w:numPr>
                <w:ilvl w:val="0"/>
                <w:numId w:val="0"/>
              </w:numPr>
              <w:spacing w:line="360" w:lineRule="auto"/>
              <w:ind w:firstLine="480" w:firstLineChars="200"/>
              <w:contextualSpacing/>
              <w:jc w:val="left"/>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根据川区的台地的地形地貌，依据行洪防洪要求，经济实惠的原则，本次护岸设计采用两种形式，铰链式生态护坡和格宾墙式护脚。护岸与护脚连接段采用</w:t>
            </w:r>
            <w:r>
              <w:rPr>
                <w:rFonts w:hint="default" w:cs="宋体"/>
                <w:color w:val="000000" w:themeColor="text1"/>
                <w:sz w:val="24"/>
                <w:szCs w:val="24"/>
                <w:lang w:val="en-US" w:eastAsia="zh-CN"/>
                <w14:textFill>
                  <w14:solidFill>
                    <w14:schemeClr w14:val="tx1"/>
                  </w14:solidFill>
                </w14:textFill>
              </w:rPr>
              <w:t>50m</w:t>
            </w:r>
            <w:r>
              <w:rPr>
                <w:rFonts w:hint="eastAsia" w:cs="宋体"/>
                <w:color w:val="000000" w:themeColor="text1"/>
                <w:sz w:val="24"/>
                <w:szCs w:val="24"/>
                <w:lang w:val="en-US" w:eastAsia="zh-CN"/>
                <w14:textFill>
                  <w14:solidFill>
                    <w14:schemeClr w14:val="tx1"/>
                  </w14:solidFill>
                </w14:textFill>
              </w:rPr>
              <w:t>长的渐变段连接，且适应现有河槽行洪宽度，满足护岸设计实际高度。桥前护岸、桥后护岸均设</w:t>
            </w:r>
            <w:r>
              <w:rPr>
                <w:rFonts w:hint="default" w:cs="宋体"/>
                <w:color w:val="000000" w:themeColor="text1"/>
                <w:sz w:val="24"/>
                <w:szCs w:val="24"/>
                <w:lang w:val="en-US" w:eastAsia="zh-CN"/>
                <w14:textFill>
                  <w14:solidFill>
                    <w14:schemeClr w14:val="tx1"/>
                  </w14:solidFill>
                </w14:textFill>
              </w:rPr>
              <w:t>50m</w:t>
            </w:r>
            <w:r>
              <w:rPr>
                <w:rFonts w:hint="eastAsia" w:cs="宋体"/>
                <w:color w:val="000000" w:themeColor="text1"/>
                <w:sz w:val="24"/>
                <w:szCs w:val="24"/>
                <w:lang w:val="en-US" w:eastAsia="zh-CN"/>
                <w14:textFill>
                  <w14:solidFill>
                    <w14:schemeClr w14:val="tx1"/>
                  </w14:solidFill>
                </w14:textFill>
              </w:rPr>
              <w:t>长的渐变段连接。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4.3垃圾收运、河道湖库垃圾清理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FF0000"/>
                <w:sz w:val="24"/>
                <w:szCs w:val="24"/>
                <w:lang w:eastAsia="zh-CN"/>
              </w:rPr>
            </w:pPr>
            <w:r>
              <w:rPr>
                <w:rFonts w:hint="eastAsia" w:cs="宋体"/>
                <w:color w:val="000000" w:themeColor="text1"/>
                <w:sz w:val="24"/>
                <w:szCs w:val="24"/>
                <w:lang w:eastAsia="zh-CN"/>
                <w14:textFill>
                  <w14:solidFill>
                    <w14:schemeClr w14:val="tx1"/>
                  </w14:solidFill>
                </w14:textFill>
              </w:rPr>
              <w:t>项目区垃圾主要为居民生活垃圾、街道清扫垃圾、公共场所垃圾，为保证入场垃圾满足要求，按照国家标准，居民产生的生活垃圾约为 1~1.2kg，</w:t>
            </w:r>
            <w:r>
              <w:rPr>
                <w:rFonts w:hint="eastAsia" w:cs="宋体"/>
                <w:color w:val="FF0000"/>
                <w:sz w:val="24"/>
                <w:szCs w:val="24"/>
                <w:lang w:eastAsia="zh-CN"/>
              </w:rPr>
              <w:t>城北河流域共计牵扯8个行政村，总计人口12288人，主要包括金钟村、王台村、昔沟村、寨河村、川口村、庞川村、莲池村等村组，通过调查本次规划收容垃圾 14.75 吨/日。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本次规划收容垃圾主要措施为每个村组配备1名保洁员，每个行政村至少配备1名垃圾收集清运人员。每100人建设1个垃圾池，每5~10户配备1只垃圾桶，每名保洁员配备1名垃圾收集车和必要的清扫工具。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4.4生态隔离带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城北河河道两边农田较多，为防止农田面源污染，本次规划对河道两边实施生态隔离带，对河道堤顶上进行平整绿化，达到整体净化生态效果。结合当地土壤、气候等条件及景观要求，宜种植观赏性较强的乔木和灌木种类，立体种植，错落有致，逐步建成生态隔离绿化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本次种植主要为国槐和垂柳、间隔2m，河道栽植长度为44.1km，总共栽植国槐22050棵，垂柳22050棵。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4.5生态沟渠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对城北河左岸的支流进行生态沟渠治理，主要对河道内垃圾进行清理，对河道入河口进行砌护处理，总计7条支流，总计3460m。</w:t>
            </w:r>
            <w:r>
              <w:rPr>
                <w:rFonts w:hint="eastAsia" w:cs="宋体"/>
                <w:color w:val="000000" w:themeColor="text1"/>
                <w:sz w:val="24"/>
                <w:szCs w:val="24"/>
                <w:lang w:val="en-US" w:eastAsia="zh-CN"/>
                <w14:textFill>
                  <w14:solidFill>
                    <w14:schemeClr w14:val="tx1"/>
                  </w14:solidFill>
                </w14:textFill>
              </w:rPr>
              <w:t>砌护采用铅丝笼石砌护，在沟口处深泓点一下</w:t>
            </w:r>
            <w:r>
              <w:rPr>
                <w:rFonts w:hint="default" w:cs="宋体"/>
                <w:color w:val="000000" w:themeColor="text1"/>
                <w:sz w:val="24"/>
                <w:szCs w:val="24"/>
                <w:lang w:val="en-US" w:eastAsia="zh-CN"/>
                <w14:textFill>
                  <w14:solidFill>
                    <w14:schemeClr w14:val="tx1"/>
                  </w14:solidFill>
                </w14:textFill>
              </w:rPr>
              <w:t>1m</w:t>
            </w:r>
            <w:r>
              <w:rPr>
                <w:rFonts w:hint="eastAsia" w:cs="宋体"/>
                <w:color w:val="000000" w:themeColor="text1"/>
                <w:sz w:val="24"/>
                <w:szCs w:val="24"/>
                <w:lang w:val="en-US" w:eastAsia="zh-CN"/>
                <w14:textFill>
                  <w14:solidFill>
                    <w14:schemeClr w14:val="tx1"/>
                  </w14:solidFill>
                </w14:textFill>
              </w:rPr>
              <w:t>，铅丝笼石规格为</w:t>
            </w:r>
            <w:r>
              <w:rPr>
                <w:rFonts w:hint="default" w:cs="宋体"/>
                <w:color w:val="000000" w:themeColor="text1"/>
                <w:sz w:val="24"/>
                <w:szCs w:val="24"/>
                <w:lang w:val="en-US" w:eastAsia="zh-CN"/>
                <w14:textFill>
                  <w14:solidFill>
                    <w14:schemeClr w14:val="tx1"/>
                  </w14:solidFill>
                </w14:textFill>
              </w:rPr>
              <w:t>1m×1m</w:t>
            </w:r>
            <w:r>
              <w:rPr>
                <w:rFonts w:hint="eastAsia" w:cs="宋体"/>
                <w:color w:val="000000" w:themeColor="text1"/>
                <w:sz w:val="24"/>
                <w:szCs w:val="24"/>
                <w:lang w:val="en-US" w:eastAsia="zh-CN"/>
                <w14:textFill>
                  <w14:solidFill>
                    <w14:schemeClr w14:val="tx1"/>
                  </w14:solidFill>
                </w14:textFill>
              </w:rPr>
              <w:t>，总计为3块，一层为一块，第二层为两块。工程统计见下表。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contextualSpacing/>
              <w:jc w:val="center"/>
              <w:textAlignment w:val="auto"/>
              <w:rPr>
                <w:rFonts w:hint="eastAsia" w:cs="宋体"/>
                <w:b/>
                <w:bCs/>
                <w:color w:val="000000" w:themeColor="text1"/>
                <w:sz w:val="21"/>
                <w:szCs w:val="21"/>
                <w:lang w:eastAsia="zh-CN"/>
                <w14:textFill>
                  <w14:solidFill>
                    <w14:schemeClr w14:val="tx1"/>
                  </w14:solidFill>
                </w14:textFill>
              </w:rPr>
            </w:pPr>
            <w:r>
              <w:rPr>
                <w:rFonts w:hint="eastAsia" w:cs="宋体"/>
                <w:b/>
                <w:bCs/>
                <w:color w:val="000000" w:themeColor="text1"/>
                <w:sz w:val="21"/>
                <w:szCs w:val="21"/>
                <w:lang w:val="en-US" w:eastAsia="zh-CN"/>
                <w14:textFill>
                  <w14:solidFill>
                    <w14:schemeClr w14:val="tx1"/>
                  </w14:solidFill>
                </w14:textFill>
              </w:rPr>
              <w:t>表2-4    生态沟渠统计表</w:t>
            </w:r>
          </w:p>
          <w:tbl>
            <w:tblPr>
              <w:tblStyle w:val="59"/>
              <w:tblW w:w="787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1583"/>
              <w:gridCol w:w="1570"/>
              <w:gridCol w:w="1570"/>
              <w:gridCol w:w="1572"/>
              <w:gridCol w:w="158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6" w:hRule="atLeast"/>
                <w:jc w:val="center"/>
              </w:trPr>
              <w:tc>
                <w:tcPr>
                  <w:tcW w:w="1583" w:type="dxa"/>
                  <w:tcBorders>
                    <w:tl2br w:val="nil"/>
                    <w:tr2bl w:val="nil"/>
                  </w:tcBorders>
                  <w:vAlign w:val="top"/>
                </w:tcPr>
                <w:p>
                  <w:pPr>
                    <w:spacing w:before="54" w:line="222" w:lineRule="auto"/>
                    <w:ind w:left="628"/>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序号</w:t>
                  </w:r>
                </w:p>
              </w:tc>
              <w:tc>
                <w:tcPr>
                  <w:tcW w:w="1570" w:type="dxa"/>
                  <w:tcBorders>
                    <w:tl2br w:val="nil"/>
                    <w:tr2bl w:val="nil"/>
                  </w:tcBorders>
                  <w:vAlign w:val="top"/>
                </w:tcPr>
                <w:p>
                  <w:pPr>
                    <w:spacing w:before="54" w:line="221" w:lineRule="auto"/>
                    <w:ind w:left="407"/>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支</w:t>
                  </w:r>
                  <w:r>
                    <w:rPr>
                      <w:rFonts w:ascii="宋体" w:hAnsi="宋体" w:eastAsia="宋体" w:cs="宋体"/>
                      <w:color w:val="000000" w:themeColor="text1"/>
                      <w:spacing w:val="-1"/>
                      <w:sz w:val="22"/>
                      <w:szCs w:val="22"/>
                      <w14:textFill>
                        <w14:solidFill>
                          <w14:schemeClr w14:val="tx1"/>
                        </w14:solidFill>
                      </w14:textFill>
                    </w:rPr>
                    <w:t>沟序号</w:t>
                  </w:r>
                </w:p>
              </w:tc>
              <w:tc>
                <w:tcPr>
                  <w:tcW w:w="1570" w:type="dxa"/>
                  <w:tcBorders>
                    <w:tl2br w:val="nil"/>
                    <w:tr2bl w:val="nil"/>
                  </w:tcBorders>
                  <w:vAlign w:val="top"/>
                </w:tcPr>
                <w:p>
                  <w:pPr>
                    <w:spacing w:before="54" w:line="221" w:lineRule="auto"/>
                    <w:ind w:left="412"/>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支</w:t>
                  </w:r>
                  <w:r>
                    <w:rPr>
                      <w:rFonts w:ascii="宋体" w:hAnsi="宋体" w:eastAsia="宋体" w:cs="宋体"/>
                      <w:color w:val="000000" w:themeColor="text1"/>
                      <w:spacing w:val="-1"/>
                      <w:sz w:val="22"/>
                      <w:szCs w:val="22"/>
                      <w14:textFill>
                        <w14:solidFill>
                          <w14:schemeClr w14:val="tx1"/>
                        </w14:solidFill>
                      </w14:textFill>
                    </w:rPr>
                    <w:t>沟名称</w:t>
                  </w:r>
                </w:p>
              </w:tc>
              <w:tc>
                <w:tcPr>
                  <w:tcW w:w="1572" w:type="dxa"/>
                  <w:tcBorders>
                    <w:tl2br w:val="nil"/>
                    <w:tr2bl w:val="nil"/>
                  </w:tcBorders>
                  <w:vAlign w:val="top"/>
                </w:tcPr>
                <w:p>
                  <w:pPr>
                    <w:spacing w:before="54" w:line="221" w:lineRule="auto"/>
                    <w:ind w:left="422"/>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3"/>
                      <w:sz w:val="22"/>
                      <w:szCs w:val="22"/>
                      <w14:textFill>
                        <w14:solidFill>
                          <w14:schemeClr w14:val="tx1"/>
                        </w14:solidFill>
                      </w14:textFill>
                    </w:rPr>
                    <w:t>治</w:t>
                  </w:r>
                  <w:r>
                    <w:rPr>
                      <w:rFonts w:ascii="宋体" w:hAnsi="宋体" w:eastAsia="宋体" w:cs="宋体"/>
                      <w:color w:val="000000" w:themeColor="text1"/>
                      <w:spacing w:val="-2"/>
                      <w:sz w:val="22"/>
                      <w:szCs w:val="22"/>
                      <w14:textFill>
                        <w14:solidFill>
                          <w14:schemeClr w14:val="tx1"/>
                        </w14:solidFill>
                      </w14:textFill>
                    </w:rPr>
                    <w:t>理长度</w:t>
                  </w:r>
                </w:p>
              </w:tc>
              <w:tc>
                <w:tcPr>
                  <w:tcW w:w="1582" w:type="dxa"/>
                  <w:tcBorders>
                    <w:tl2br w:val="nil"/>
                    <w:tr2bl w:val="nil"/>
                  </w:tcBorders>
                  <w:vAlign w:val="top"/>
                </w:tcPr>
                <w:p>
                  <w:pPr>
                    <w:spacing w:before="54" w:line="222" w:lineRule="auto"/>
                    <w:ind w:left="645"/>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3"/>
                      <w:sz w:val="22"/>
                      <w:szCs w:val="22"/>
                      <w14:textFill>
                        <w14:solidFill>
                          <w14:schemeClr w14:val="tx1"/>
                        </w14:solidFill>
                      </w14:textFill>
                    </w:rPr>
                    <w:t>备</w:t>
                  </w:r>
                  <w:r>
                    <w:rPr>
                      <w:rFonts w:ascii="宋体" w:hAnsi="宋体" w:eastAsia="宋体" w:cs="宋体"/>
                      <w:color w:val="000000" w:themeColor="text1"/>
                      <w:spacing w:val="-2"/>
                      <w:sz w:val="22"/>
                      <w:szCs w:val="22"/>
                      <w14:textFill>
                        <w14:solidFill>
                          <w14:schemeClr w14:val="tx1"/>
                        </w14:solidFill>
                      </w14:textFill>
                    </w:rPr>
                    <w:t>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47" w:hRule="atLeast"/>
                <w:jc w:val="center"/>
              </w:trPr>
              <w:tc>
                <w:tcPr>
                  <w:tcW w:w="1583" w:type="dxa"/>
                  <w:tcBorders>
                    <w:tl2br w:val="nil"/>
                    <w:tr2bl w:val="nil"/>
                  </w:tcBorders>
                  <w:vAlign w:val="top"/>
                </w:tcPr>
                <w:p>
                  <w:pPr>
                    <w:spacing w:before="70" w:line="187" w:lineRule="auto"/>
                    <w:ind w:left="811"/>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1</w:t>
                  </w:r>
                </w:p>
              </w:tc>
              <w:tc>
                <w:tcPr>
                  <w:tcW w:w="1570" w:type="dxa"/>
                  <w:tcBorders>
                    <w:tl2br w:val="nil"/>
                    <w:tr2bl w:val="nil"/>
                  </w:tcBorders>
                  <w:vAlign w:val="top"/>
                </w:tcPr>
                <w:p>
                  <w:pPr>
                    <w:spacing w:before="32" w:line="221" w:lineRule="auto"/>
                    <w:ind w:left="534"/>
                    <w:rPr>
                      <w:rFonts w:ascii="宋体" w:hAnsi="宋体" w:eastAsia="宋体" w:cs="宋体"/>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6"/>
                      <w:sz w:val="22"/>
                      <w:szCs w:val="22"/>
                      <w14:textFill>
                        <w14:solidFill>
                          <w14:schemeClr w14:val="tx1"/>
                        </w14:solidFill>
                      </w14:textFill>
                    </w:rPr>
                    <w:t>1#</w:t>
                  </w:r>
                  <w:r>
                    <w:rPr>
                      <w:rFonts w:ascii="宋体" w:hAnsi="宋体" w:eastAsia="宋体" w:cs="宋体"/>
                      <w:color w:val="000000" w:themeColor="text1"/>
                      <w:spacing w:val="-6"/>
                      <w:sz w:val="22"/>
                      <w:szCs w:val="22"/>
                      <w14:textFill>
                        <w14:solidFill>
                          <w14:schemeClr w14:val="tx1"/>
                        </w14:solidFill>
                      </w14:textFill>
                    </w:rPr>
                    <w:t>支沟</w:t>
                  </w:r>
                </w:p>
              </w:tc>
              <w:tc>
                <w:tcPr>
                  <w:tcW w:w="1570" w:type="dxa"/>
                  <w:tcBorders>
                    <w:tl2br w:val="nil"/>
                    <w:tr2bl w:val="nil"/>
                  </w:tcBorders>
                  <w:vAlign w:val="top"/>
                </w:tcPr>
                <w:p>
                  <w:pPr>
                    <w:spacing w:before="32" w:line="221" w:lineRule="auto"/>
                    <w:ind w:left="634"/>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3"/>
                      <w:sz w:val="22"/>
                      <w:szCs w:val="22"/>
                      <w14:textFill>
                        <w14:solidFill>
                          <w14:schemeClr w14:val="tx1"/>
                        </w14:solidFill>
                      </w14:textFill>
                    </w:rPr>
                    <w:t>大</w:t>
                  </w:r>
                  <w:r>
                    <w:rPr>
                      <w:rFonts w:ascii="宋体" w:hAnsi="宋体" w:eastAsia="宋体" w:cs="宋体"/>
                      <w:color w:val="000000" w:themeColor="text1"/>
                      <w:spacing w:val="-2"/>
                      <w:sz w:val="22"/>
                      <w:szCs w:val="22"/>
                      <w14:textFill>
                        <w14:solidFill>
                          <w14:schemeClr w14:val="tx1"/>
                        </w14:solidFill>
                      </w14:textFill>
                    </w:rPr>
                    <w:t>沟</w:t>
                  </w:r>
                </w:p>
              </w:tc>
              <w:tc>
                <w:tcPr>
                  <w:tcW w:w="1572" w:type="dxa"/>
                  <w:tcBorders>
                    <w:tl2br w:val="nil"/>
                    <w:tr2bl w:val="nil"/>
                  </w:tcBorders>
                  <w:vAlign w:val="top"/>
                </w:tcPr>
                <w:p>
                  <w:pPr>
                    <w:spacing w:before="69" w:line="187" w:lineRule="auto"/>
                    <w:ind w:left="693"/>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650</w:t>
                  </w:r>
                </w:p>
              </w:tc>
              <w:tc>
                <w:tcPr>
                  <w:tcW w:w="1582" w:type="dxa"/>
                  <w:tcBorders>
                    <w:tl2br w:val="nil"/>
                    <w:tr2bl w:val="nil"/>
                  </w:tcBorders>
                  <w:vAlign w:val="top"/>
                </w:tcPr>
                <w:p>
                  <w:pPr>
                    <w:rPr>
                      <w:rFonts w:ascii="Arial"/>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48" w:hRule="atLeast"/>
                <w:jc w:val="center"/>
              </w:trPr>
              <w:tc>
                <w:tcPr>
                  <w:tcW w:w="1583" w:type="dxa"/>
                  <w:tcBorders>
                    <w:tl2br w:val="nil"/>
                    <w:tr2bl w:val="nil"/>
                  </w:tcBorders>
                  <w:vAlign w:val="top"/>
                </w:tcPr>
                <w:p>
                  <w:pPr>
                    <w:spacing w:before="70" w:line="187" w:lineRule="auto"/>
                    <w:ind w:left="790"/>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2</w:t>
                  </w:r>
                </w:p>
              </w:tc>
              <w:tc>
                <w:tcPr>
                  <w:tcW w:w="1570" w:type="dxa"/>
                  <w:tcBorders>
                    <w:tl2br w:val="nil"/>
                    <w:tr2bl w:val="nil"/>
                  </w:tcBorders>
                  <w:vAlign w:val="top"/>
                </w:tcPr>
                <w:p>
                  <w:pPr>
                    <w:spacing w:before="34" w:line="220" w:lineRule="auto"/>
                    <w:ind w:left="512"/>
                    <w:rPr>
                      <w:rFonts w:ascii="宋体" w:hAnsi="宋体" w:eastAsia="宋体" w:cs="宋体"/>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2#</w:t>
                  </w:r>
                  <w:r>
                    <w:rPr>
                      <w:rFonts w:ascii="宋体" w:hAnsi="宋体" w:eastAsia="宋体" w:cs="宋体"/>
                      <w:color w:val="000000" w:themeColor="text1"/>
                      <w:spacing w:val="-1"/>
                      <w:sz w:val="22"/>
                      <w:szCs w:val="22"/>
                      <w14:textFill>
                        <w14:solidFill>
                          <w14:schemeClr w14:val="tx1"/>
                        </w14:solidFill>
                      </w14:textFill>
                    </w:rPr>
                    <w:t>支</w:t>
                  </w:r>
                  <w:r>
                    <w:rPr>
                      <w:rFonts w:ascii="宋体" w:hAnsi="宋体" w:eastAsia="宋体" w:cs="宋体"/>
                      <w:color w:val="000000" w:themeColor="text1"/>
                      <w:sz w:val="22"/>
                      <w:szCs w:val="22"/>
                      <w14:textFill>
                        <w14:solidFill>
                          <w14:schemeClr w14:val="tx1"/>
                        </w14:solidFill>
                      </w14:textFill>
                    </w:rPr>
                    <w:t>沟</w:t>
                  </w:r>
                </w:p>
              </w:tc>
              <w:tc>
                <w:tcPr>
                  <w:tcW w:w="1570" w:type="dxa"/>
                  <w:tcBorders>
                    <w:tl2br w:val="nil"/>
                    <w:tr2bl w:val="nil"/>
                  </w:tcBorders>
                  <w:vAlign w:val="top"/>
                </w:tcPr>
                <w:p>
                  <w:pPr>
                    <w:spacing w:before="34" w:line="220" w:lineRule="auto"/>
                    <w:ind w:left="642"/>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5"/>
                      <w:sz w:val="22"/>
                      <w:szCs w:val="22"/>
                      <w14:textFill>
                        <w14:solidFill>
                          <w14:schemeClr w14:val="tx1"/>
                        </w14:solidFill>
                      </w14:textFill>
                    </w:rPr>
                    <w:t>畅</w:t>
                  </w:r>
                  <w:r>
                    <w:rPr>
                      <w:rFonts w:ascii="宋体" w:hAnsi="宋体" w:eastAsia="宋体" w:cs="宋体"/>
                      <w:color w:val="000000" w:themeColor="text1"/>
                      <w:spacing w:val="-4"/>
                      <w:sz w:val="22"/>
                      <w:szCs w:val="22"/>
                      <w14:textFill>
                        <w14:solidFill>
                          <w14:schemeClr w14:val="tx1"/>
                        </w14:solidFill>
                      </w14:textFill>
                    </w:rPr>
                    <w:t>沟</w:t>
                  </w:r>
                </w:p>
              </w:tc>
              <w:tc>
                <w:tcPr>
                  <w:tcW w:w="1572" w:type="dxa"/>
                  <w:tcBorders>
                    <w:tl2br w:val="nil"/>
                    <w:tr2bl w:val="nil"/>
                  </w:tcBorders>
                  <w:vAlign w:val="top"/>
                </w:tcPr>
                <w:p>
                  <w:pPr>
                    <w:spacing w:before="70" w:line="187" w:lineRule="auto"/>
                    <w:ind w:left="687"/>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45</w:t>
                  </w:r>
                  <w:r>
                    <w:rPr>
                      <w:rFonts w:ascii="Times New Roman" w:hAnsi="Times New Roman" w:eastAsia="Times New Roman" w:cs="Times New Roman"/>
                      <w:color w:val="000000" w:themeColor="text1"/>
                      <w:sz w:val="22"/>
                      <w:szCs w:val="22"/>
                      <w14:textFill>
                        <w14:solidFill>
                          <w14:schemeClr w14:val="tx1"/>
                        </w14:solidFill>
                      </w14:textFill>
                    </w:rPr>
                    <w:t>0</w:t>
                  </w:r>
                </w:p>
              </w:tc>
              <w:tc>
                <w:tcPr>
                  <w:tcW w:w="1582" w:type="dxa"/>
                  <w:tcBorders>
                    <w:tl2br w:val="nil"/>
                    <w:tr2bl w:val="nil"/>
                  </w:tcBorders>
                  <w:vAlign w:val="top"/>
                </w:tcPr>
                <w:p>
                  <w:pPr>
                    <w:rPr>
                      <w:rFonts w:ascii="Arial"/>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49" w:hRule="atLeast"/>
                <w:jc w:val="center"/>
              </w:trPr>
              <w:tc>
                <w:tcPr>
                  <w:tcW w:w="1583" w:type="dxa"/>
                  <w:tcBorders>
                    <w:tl2br w:val="nil"/>
                    <w:tr2bl w:val="nil"/>
                  </w:tcBorders>
                  <w:vAlign w:val="top"/>
                </w:tcPr>
                <w:p>
                  <w:pPr>
                    <w:spacing w:before="73" w:line="187" w:lineRule="auto"/>
                    <w:ind w:left="795"/>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3</w:t>
                  </w:r>
                </w:p>
              </w:tc>
              <w:tc>
                <w:tcPr>
                  <w:tcW w:w="1570" w:type="dxa"/>
                  <w:tcBorders>
                    <w:tl2br w:val="nil"/>
                    <w:tr2bl w:val="nil"/>
                  </w:tcBorders>
                  <w:vAlign w:val="top"/>
                </w:tcPr>
                <w:p>
                  <w:pPr>
                    <w:spacing w:before="36" w:line="219" w:lineRule="auto"/>
                    <w:ind w:left="517"/>
                    <w:rPr>
                      <w:rFonts w:ascii="宋体" w:hAnsi="宋体" w:eastAsia="宋体" w:cs="宋体"/>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w:t>
                  </w:r>
                  <w:r>
                    <w:rPr>
                      <w:rFonts w:ascii="宋体" w:hAnsi="宋体" w:eastAsia="宋体" w:cs="宋体"/>
                      <w:color w:val="000000" w:themeColor="text1"/>
                      <w:spacing w:val="-2"/>
                      <w:sz w:val="22"/>
                      <w:szCs w:val="22"/>
                      <w14:textFill>
                        <w14:solidFill>
                          <w14:schemeClr w14:val="tx1"/>
                        </w14:solidFill>
                      </w14:textFill>
                    </w:rPr>
                    <w:t>支</w:t>
                  </w:r>
                  <w:r>
                    <w:rPr>
                      <w:rFonts w:ascii="宋体" w:hAnsi="宋体" w:eastAsia="宋体" w:cs="宋体"/>
                      <w:color w:val="000000" w:themeColor="text1"/>
                      <w:spacing w:val="-1"/>
                      <w:sz w:val="22"/>
                      <w:szCs w:val="22"/>
                      <w14:textFill>
                        <w14:solidFill>
                          <w14:schemeClr w14:val="tx1"/>
                        </w14:solidFill>
                      </w14:textFill>
                    </w:rPr>
                    <w:t>沟</w:t>
                  </w:r>
                </w:p>
              </w:tc>
              <w:tc>
                <w:tcPr>
                  <w:tcW w:w="1570" w:type="dxa"/>
                  <w:tcBorders>
                    <w:tl2br w:val="nil"/>
                    <w:tr2bl w:val="nil"/>
                  </w:tcBorders>
                  <w:vAlign w:val="top"/>
                </w:tcPr>
                <w:p>
                  <w:pPr>
                    <w:spacing w:before="36" w:line="219" w:lineRule="auto"/>
                    <w:ind w:left="520"/>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挖</w:t>
                  </w:r>
                  <w:r>
                    <w:rPr>
                      <w:rFonts w:ascii="宋体" w:hAnsi="宋体" w:eastAsia="宋体" w:cs="宋体"/>
                      <w:color w:val="000000" w:themeColor="text1"/>
                      <w:spacing w:val="-1"/>
                      <w:sz w:val="22"/>
                      <w:szCs w:val="22"/>
                      <w14:textFill>
                        <w14:solidFill>
                          <w14:schemeClr w14:val="tx1"/>
                        </w14:solidFill>
                      </w14:textFill>
                    </w:rPr>
                    <w:t>石沟</w:t>
                  </w:r>
                </w:p>
              </w:tc>
              <w:tc>
                <w:tcPr>
                  <w:tcW w:w="1572" w:type="dxa"/>
                  <w:tcBorders>
                    <w:tl2br w:val="nil"/>
                    <w:tr2bl w:val="nil"/>
                  </w:tcBorders>
                  <w:vAlign w:val="top"/>
                </w:tcPr>
                <w:p>
                  <w:pPr>
                    <w:spacing w:before="73" w:line="187" w:lineRule="auto"/>
                    <w:ind w:left="693"/>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650</w:t>
                  </w:r>
                </w:p>
              </w:tc>
              <w:tc>
                <w:tcPr>
                  <w:tcW w:w="1582" w:type="dxa"/>
                  <w:tcBorders>
                    <w:tl2br w:val="nil"/>
                    <w:tr2bl w:val="nil"/>
                  </w:tcBorders>
                  <w:vAlign w:val="top"/>
                </w:tcPr>
                <w:p>
                  <w:pPr>
                    <w:rPr>
                      <w:rFonts w:ascii="Arial"/>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50" w:hRule="atLeast"/>
                <w:jc w:val="center"/>
              </w:trPr>
              <w:tc>
                <w:tcPr>
                  <w:tcW w:w="1583" w:type="dxa"/>
                  <w:tcBorders>
                    <w:tl2br w:val="nil"/>
                    <w:tr2bl w:val="nil"/>
                  </w:tcBorders>
                  <w:vAlign w:val="top"/>
                </w:tcPr>
                <w:p>
                  <w:pPr>
                    <w:spacing w:before="73" w:line="187" w:lineRule="auto"/>
                    <w:ind w:left="789"/>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4</w:t>
                  </w:r>
                </w:p>
              </w:tc>
              <w:tc>
                <w:tcPr>
                  <w:tcW w:w="1570" w:type="dxa"/>
                  <w:tcBorders>
                    <w:tl2br w:val="nil"/>
                    <w:tr2bl w:val="nil"/>
                  </w:tcBorders>
                  <w:vAlign w:val="top"/>
                </w:tcPr>
                <w:p>
                  <w:pPr>
                    <w:spacing w:before="35" w:line="221" w:lineRule="auto"/>
                    <w:ind w:left="511"/>
                    <w:rPr>
                      <w:rFonts w:ascii="宋体" w:hAnsi="宋体" w:eastAsia="宋体" w:cs="宋体"/>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
                      <w:sz w:val="22"/>
                      <w:szCs w:val="22"/>
                      <w14:textFill>
                        <w14:solidFill>
                          <w14:schemeClr w14:val="tx1"/>
                        </w14:solidFill>
                      </w14:textFill>
                    </w:rPr>
                    <w:t>4#</w:t>
                  </w:r>
                  <w:r>
                    <w:rPr>
                      <w:rFonts w:ascii="宋体" w:hAnsi="宋体" w:eastAsia="宋体" w:cs="宋体"/>
                      <w:color w:val="000000" w:themeColor="text1"/>
                      <w:sz w:val="22"/>
                      <w:szCs w:val="22"/>
                      <w14:textFill>
                        <w14:solidFill>
                          <w14:schemeClr w14:val="tx1"/>
                        </w14:solidFill>
                      </w14:textFill>
                    </w:rPr>
                    <w:t>支沟</w:t>
                  </w:r>
                </w:p>
              </w:tc>
              <w:tc>
                <w:tcPr>
                  <w:tcW w:w="1570" w:type="dxa"/>
                  <w:tcBorders>
                    <w:tl2br w:val="nil"/>
                    <w:tr2bl w:val="nil"/>
                  </w:tcBorders>
                  <w:vAlign w:val="top"/>
                </w:tcPr>
                <w:p>
                  <w:pPr>
                    <w:spacing w:before="36" w:line="220" w:lineRule="auto"/>
                    <w:ind w:left="529"/>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4"/>
                      <w:sz w:val="22"/>
                      <w:szCs w:val="22"/>
                      <w14:textFill>
                        <w14:solidFill>
                          <w14:schemeClr w14:val="tx1"/>
                        </w14:solidFill>
                      </w14:textFill>
                    </w:rPr>
                    <w:t>东</w:t>
                  </w:r>
                  <w:r>
                    <w:rPr>
                      <w:rFonts w:ascii="宋体" w:hAnsi="宋体" w:eastAsia="宋体" w:cs="宋体"/>
                      <w:color w:val="000000" w:themeColor="text1"/>
                      <w:spacing w:val="-3"/>
                      <w:sz w:val="22"/>
                      <w:szCs w:val="22"/>
                      <w14:textFill>
                        <w14:solidFill>
                          <w14:schemeClr w14:val="tx1"/>
                        </w14:solidFill>
                      </w14:textFill>
                    </w:rPr>
                    <w:t>台沟</w:t>
                  </w:r>
                </w:p>
              </w:tc>
              <w:tc>
                <w:tcPr>
                  <w:tcW w:w="1572" w:type="dxa"/>
                  <w:tcBorders>
                    <w:tl2br w:val="nil"/>
                    <w:tr2bl w:val="nil"/>
                  </w:tcBorders>
                  <w:vAlign w:val="top"/>
                </w:tcPr>
                <w:p>
                  <w:pPr>
                    <w:spacing w:before="73" w:line="187" w:lineRule="auto"/>
                    <w:ind w:left="693"/>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610</w:t>
                  </w:r>
                </w:p>
              </w:tc>
              <w:tc>
                <w:tcPr>
                  <w:tcW w:w="1582" w:type="dxa"/>
                  <w:tcBorders>
                    <w:tl2br w:val="nil"/>
                    <w:tr2bl w:val="nil"/>
                  </w:tcBorders>
                  <w:vAlign w:val="top"/>
                </w:tcPr>
                <w:p>
                  <w:pPr>
                    <w:rPr>
                      <w:rFonts w:ascii="Arial"/>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48" w:hRule="atLeast"/>
                <w:jc w:val="center"/>
              </w:trPr>
              <w:tc>
                <w:tcPr>
                  <w:tcW w:w="1583" w:type="dxa"/>
                  <w:tcBorders>
                    <w:tl2br w:val="nil"/>
                    <w:tr2bl w:val="nil"/>
                  </w:tcBorders>
                  <w:vAlign w:val="top"/>
                </w:tcPr>
                <w:p>
                  <w:pPr>
                    <w:spacing w:before="75" w:line="184" w:lineRule="auto"/>
                    <w:ind w:left="796"/>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5</w:t>
                  </w:r>
                </w:p>
              </w:tc>
              <w:tc>
                <w:tcPr>
                  <w:tcW w:w="1570" w:type="dxa"/>
                  <w:tcBorders>
                    <w:tl2br w:val="nil"/>
                    <w:tr2bl w:val="nil"/>
                  </w:tcBorders>
                  <w:vAlign w:val="top"/>
                </w:tcPr>
                <w:p>
                  <w:pPr>
                    <w:spacing w:before="34" w:line="220" w:lineRule="auto"/>
                    <w:ind w:left="518"/>
                    <w:rPr>
                      <w:rFonts w:ascii="宋体" w:hAnsi="宋体" w:eastAsia="宋体" w:cs="宋体"/>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3"/>
                      <w:sz w:val="22"/>
                      <w:szCs w:val="22"/>
                      <w14:textFill>
                        <w14:solidFill>
                          <w14:schemeClr w14:val="tx1"/>
                        </w14:solidFill>
                      </w14:textFill>
                    </w:rPr>
                    <w:t>5</w:t>
                  </w:r>
                  <w:r>
                    <w:rPr>
                      <w:rFonts w:ascii="Times New Roman" w:hAnsi="Times New Roman" w:eastAsia="Times New Roman" w:cs="Times New Roman"/>
                      <w:color w:val="000000" w:themeColor="text1"/>
                      <w:spacing w:val="-2"/>
                      <w:sz w:val="22"/>
                      <w:szCs w:val="22"/>
                      <w14:textFill>
                        <w14:solidFill>
                          <w14:schemeClr w14:val="tx1"/>
                        </w14:solidFill>
                      </w14:textFill>
                    </w:rPr>
                    <w:t>#</w:t>
                  </w:r>
                  <w:r>
                    <w:rPr>
                      <w:rFonts w:ascii="宋体" w:hAnsi="宋体" w:eastAsia="宋体" w:cs="宋体"/>
                      <w:color w:val="000000" w:themeColor="text1"/>
                      <w:spacing w:val="-2"/>
                      <w:sz w:val="22"/>
                      <w:szCs w:val="22"/>
                      <w14:textFill>
                        <w14:solidFill>
                          <w14:schemeClr w14:val="tx1"/>
                        </w14:solidFill>
                      </w14:textFill>
                    </w:rPr>
                    <w:t>支沟</w:t>
                  </w:r>
                </w:p>
              </w:tc>
              <w:tc>
                <w:tcPr>
                  <w:tcW w:w="1570" w:type="dxa"/>
                  <w:tcBorders>
                    <w:tl2br w:val="nil"/>
                    <w:tr2bl w:val="nil"/>
                  </w:tcBorders>
                  <w:vAlign w:val="top"/>
                </w:tcPr>
                <w:p>
                  <w:pPr>
                    <w:spacing w:before="34" w:line="220" w:lineRule="auto"/>
                    <w:ind w:left="633"/>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3"/>
                      <w:sz w:val="22"/>
                      <w:szCs w:val="22"/>
                      <w14:textFill>
                        <w14:solidFill>
                          <w14:schemeClr w14:val="tx1"/>
                        </w14:solidFill>
                      </w14:textFill>
                    </w:rPr>
                    <w:t>崔</w:t>
                  </w:r>
                  <w:r>
                    <w:rPr>
                      <w:rFonts w:ascii="宋体" w:hAnsi="宋体" w:eastAsia="宋体" w:cs="宋体"/>
                      <w:color w:val="000000" w:themeColor="text1"/>
                      <w:spacing w:val="-2"/>
                      <w:sz w:val="22"/>
                      <w:szCs w:val="22"/>
                      <w14:textFill>
                        <w14:solidFill>
                          <w14:schemeClr w14:val="tx1"/>
                        </w14:solidFill>
                      </w14:textFill>
                    </w:rPr>
                    <w:t>东</w:t>
                  </w:r>
                </w:p>
              </w:tc>
              <w:tc>
                <w:tcPr>
                  <w:tcW w:w="1572" w:type="dxa"/>
                  <w:tcBorders>
                    <w:tl2br w:val="nil"/>
                    <w:tr2bl w:val="nil"/>
                  </w:tcBorders>
                  <w:vAlign w:val="top"/>
                </w:tcPr>
                <w:p>
                  <w:pPr>
                    <w:spacing w:before="71" w:line="187" w:lineRule="auto"/>
                    <w:ind w:left="693"/>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300</w:t>
                  </w:r>
                </w:p>
              </w:tc>
              <w:tc>
                <w:tcPr>
                  <w:tcW w:w="1582" w:type="dxa"/>
                  <w:tcBorders>
                    <w:tl2br w:val="nil"/>
                    <w:tr2bl w:val="nil"/>
                  </w:tcBorders>
                  <w:vAlign w:val="top"/>
                </w:tcPr>
                <w:p>
                  <w:pPr>
                    <w:rPr>
                      <w:rFonts w:ascii="Arial"/>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49" w:hRule="atLeast"/>
                <w:jc w:val="center"/>
              </w:trPr>
              <w:tc>
                <w:tcPr>
                  <w:tcW w:w="1583" w:type="dxa"/>
                  <w:tcBorders>
                    <w:tl2br w:val="nil"/>
                    <w:tr2bl w:val="nil"/>
                  </w:tcBorders>
                  <w:vAlign w:val="top"/>
                </w:tcPr>
                <w:p>
                  <w:pPr>
                    <w:spacing w:before="72" w:line="187" w:lineRule="auto"/>
                    <w:ind w:left="795"/>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6</w:t>
                  </w:r>
                </w:p>
              </w:tc>
              <w:tc>
                <w:tcPr>
                  <w:tcW w:w="1570" w:type="dxa"/>
                  <w:tcBorders>
                    <w:tl2br w:val="nil"/>
                    <w:tr2bl w:val="nil"/>
                  </w:tcBorders>
                  <w:vAlign w:val="top"/>
                </w:tcPr>
                <w:p>
                  <w:pPr>
                    <w:spacing w:before="37" w:line="218" w:lineRule="auto"/>
                    <w:ind w:left="517"/>
                    <w:rPr>
                      <w:rFonts w:ascii="宋体" w:hAnsi="宋体" w:eastAsia="宋体" w:cs="宋体"/>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6#</w:t>
                  </w:r>
                  <w:r>
                    <w:rPr>
                      <w:rFonts w:ascii="宋体" w:hAnsi="宋体" w:eastAsia="宋体" w:cs="宋体"/>
                      <w:color w:val="000000" w:themeColor="text1"/>
                      <w:spacing w:val="-2"/>
                      <w:sz w:val="22"/>
                      <w:szCs w:val="22"/>
                      <w14:textFill>
                        <w14:solidFill>
                          <w14:schemeClr w14:val="tx1"/>
                        </w14:solidFill>
                      </w14:textFill>
                    </w:rPr>
                    <w:t>支沟</w:t>
                  </w:r>
                </w:p>
              </w:tc>
              <w:tc>
                <w:tcPr>
                  <w:tcW w:w="1570" w:type="dxa"/>
                  <w:tcBorders>
                    <w:tl2br w:val="nil"/>
                    <w:tr2bl w:val="nil"/>
                  </w:tcBorders>
                  <w:vAlign w:val="top"/>
                </w:tcPr>
                <w:p>
                  <w:pPr>
                    <w:spacing w:before="37" w:line="218" w:lineRule="auto"/>
                    <w:ind w:left="637"/>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4"/>
                      <w:sz w:val="22"/>
                      <w:szCs w:val="22"/>
                      <w14:textFill>
                        <w14:solidFill>
                          <w14:schemeClr w14:val="tx1"/>
                        </w14:solidFill>
                      </w14:textFill>
                    </w:rPr>
                    <w:t>西</w:t>
                  </w:r>
                  <w:r>
                    <w:rPr>
                      <w:rFonts w:ascii="宋体" w:hAnsi="宋体" w:eastAsia="宋体" w:cs="宋体"/>
                      <w:color w:val="000000" w:themeColor="text1"/>
                      <w:spacing w:val="-3"/>
                      <w:sz w:val="22"/>
                      <w:szCs w:val="22"/>
                      <w14:textFill>
                        <w14:solidFill>
                          <w14:schemeClr w14:val="tx1"/>
                        </w14:solidFill>
                      </w14:textFill>
                    </w:rPr>
                    <w:t>沟</w:t>
                  </w:r>
                </w:p>
              </w:tc>
              <w:tc>
                <w:tcPr>
                  <w:tcW w:w="1572" w:type="dxa"/>
                  <w:tcBorders>
                    <w:tl2br w:val="nil"/>
                    <w:tr2bl w:val="nil"/>
                  </w:tcBorders>
                  <w:vAlign w:val="top"/>
                </w:tcPr>
                <w:p>
                  <w:pPr>
                    <w:spacing w:before="72" w:line="187" w:lineRule="auto"/>
                    <w:ind w:left="694"/>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3"/>
                      <w:sz w:val="22"/>
                      <w:szCs w:val="22"/>
                      <w14:textFill>
                        <w14:solidFill>
                          <w14:schemeClr w14:val="tx1"/>
                        </w14:solidFill>
                      </w14:textFill>
                    </w:rPr>
                    <w:t>5</w:t>
                  </w:r>
                  <w:r>
                    <w:rPr>
                      <w:rFonts w:ascii="Times New Roman" w:hAnsi="Times New Roman" w:eastAsia="Times New Roman" w:cs="Times New Roman"/>
                      <w:color w:val="000000" w:themeColor="text1"/>
                      <w:spacing w:val="-2"/>
                      <w:sz w:val="22"/>
                      <w:szCs w:val="22"/>
                      <w14:textFill>
                        <w14:solidFill>
                          <w14:schemeClr w14:val="tx1"/>
                        </w14:solidFill>
                      </w14:textFill>
                    </w:rPr>
                    <w:t>00</w:t>
                  </w:r>
                </w:p>
              </w:tc>
              <w:tc>
                <w:tcPr>
                  <w:tcW w:w="1582" w:type="dxa"/>
                  <w:tcBorders>
                    <w:tl2br w:val="nil"/>
                    <w:tr2bl w:val="nil"/>
                  </w:tcBorders>
                  <w:vAlign w:val="top"/>
                </w:tcPr>
                <w:p>
                  <w:pPr>
                    <w:rPr>
                      <w:rFonts w:ascii="Arial"/>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49" w:hRule="atLeast"/>
                <w:jc w:val="center"/>
              </w:trPr>
              <w:tc>
                <w:tcPr>
                  <w:tcW w:w="1583" w:type="dxa"/>
                  <w:tcBorders>
                    <w:tl2br w:val="nil"/>
                    <w:tr2bl w:val="nil"/>
                  </w:tcBorders>
                  <w:vAlign w:val="top"/>
                </w:tcPr>
                <w:p>
                  <w:pPr>
                    <w:spacing w:before="78" w:line="184" w:lineRule="auto"/>
                    <w:ind w:left="794"/>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7</w:t>
                  </w:r>
                </w:p>
              </w:tc>
              <w:tc>
                <w:tcPr>
                  <w:tcW w:w="1570" w:type="dxa"/>
                  <w:tcBorders>
                    <w:tl2br w:val="nil"/>
                    <w:tr2bl w:val="nil"/>
                  </w:tcBorders>
                  <w:vAlign w:val="top"/>
                </w:tcPr>
                <w:p>
                  <w:pPr>
                    <w:spacing w:before="37" w:line="218" w:lineRule="auto"/>
                    <w:ind w:left="516"/>
                    <w:rPr>
                      <w:rFonts w:ascii="宋体" w:hAnsi="宋体" w:eastAsia="宋体" w:cs="宋体"/>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7#</w:t>
                  </w:r>
                  <w:r>
                    <w:rPr>
                      <w:rFonts w:ascii="宋体" w:hAnsi="宋体" w:eastAsia="宋体" w:cs="宋体"/>
                      <w:color w:val="000000" w:themeColor="text1"/>
                      <w:spacing w:val="-1"/>
                      <w:sz w:val="22"/>
                      <w:szCs w:val="22"/>
                      <w14:textFill>
                        <w14:solidFill>
                          <w14:schemeClr w14:val="tx1"/>
                        </w14:solidFill>
                      </w14:textFill>
                    </w:rPr>
                    <w:t>支沟</w:t>
                  </w:r>
                </w:p>
              </w:tc>
              <w:tc>
                <w:tcPr>
                  <w:tcW w:w="1570" w:type="dxa"/>
                  <w:tcBorders>
                    <w:tl2br w:val="nil"/>
                    <w:tr2bl w:val="nil"/>
                  </w:tcBorders>
                  <w:vAlign w:val="top"/>
                </w:tcPr>
                <w:p>
                  <w:pPr>
                    <w:spacing w:before="37" w:line="218" w:lineRule="auto"/>
                    <w:ind w:left="639"/>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4"/>
                      <w:sz w:val="22"/>
                      <w:szCs w:val="22"/>
                      <w14:textFill>
                        <w14:solidFill>
                          <w14:schemeClr w14:val="tx1"/>
                        </w14:solidFill>
                      </w14:textFill>
                    </w:rPr>
                    <w:t>胡</w:t>
                  </w:r>
                  <w:r>
                    <w:rPr>
                      <w:rFonts w:ascii="宋体" w:hAnsi="宋体" w:eastAsia="宋体" w:cs="宋体"/>
                      <w:color w:val="000000" w:themeColor="text1"/>
                      <w:spacing w:val="-3"/>
                      <w:sz w:val="22"/>
                      <w:szCs w:val="22"/>
                      <w14:textFill>
                        <w14:solidFill>
                          <w14:schemeClr w14:val="tx1"/>
                        </w14:solidFill>
                      </w14:textFill>
                    </w:rPr>
                    <w:t>沟</w:t>
                  </w:r>
                </w:p>
              </w:tc>
              <w:tc>
                <w:tcPr>
                  <w:tcW w:w="1572" w:type="dxa"/>
                  <w:tcBorders>
                    <w:tl2br w:val="nil"/>
                    <w:tr2bl w:val="nil"/>
                  </w:tcBorders>
                  <w:vAlign w:val="top"/>
                </w:tcPr>
                <w:p>
                  <w:pPr>
                    <w:spacing w:before="75" w:line="187" w:lineRule="auto"/>
                    <w:ind w:left="693"/>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300</w:t>
                  </w:r>
                </w:p>
              </w:tc>
              <w:tc>
                <w:tcPr>
                  <w:tcW w:w="1582" w:type="dxa"/>
                  <w:tcBorders>
                    <w:tl2br w:val="nil"/>
                    <w:tr2bl w:val="nil"/>
                  </w:tcBorders>
                  <w:vAlign w:val="top"/>
                </w:tcPr>
                <w:p>
                  <w:pPr>
                    <w:rPr>
                      <w:rFonts w:ascii="Arial"/>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2" w:hRule="atLeast"/>
                <w:jc w:val="center"/>
              </w:trPr>
              <w:tc>
                <w:tcPr>
                  <w:tcW w:w="4723" w:type="dxa"/>
                  <w:gridSpan w:val="3"/>
                  <w:tcBorders>
                    <w:tl2br w:val="nil"/>
                    <w:tr2bl w:val="nil"/>
                  </w:tcBorders>
                  <w:vAlign w:val="top"/>
                </w:tcPr>
                <w:p>
                  <w:pPr>
                    <w:spacing w:before="44" w:line="222" w:lineRule="auto"/>
                    <w:ind w:left="2334"/>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合计</w:t>
                  </w:r>
                </w:p>
              </w:tc>
              <w:tc>
                <w:tcPr>
                  <w:tcW w:w="1572" w:type="dxa"/>
                  <w:tcBorders>
                    <w:tl2br w:val="nil"/>
                    <w:tr2bl w:val="nil"/>
                  </w:tcBorders>
                  <w:vAlign w:val="top"/>
                </w:tcPr>
                <w:p>
                  <w:pPr>
                    <w:spacing w:before="80" w:line="187" w:lineRule="auto"/>
                    <w:ind w:left="638"/>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34</w:t>
                  </w:r>
                  <w:r>
                    <w:rPr>
                      <w:rFonts w:ascii="Times New Roman" w:hAnsi="Times New Roman" w:eastAsia="Times New Roman" w:cs="Times New Roman"/>
                      <w:color w:val="000000" w:themeColor="text1"/>
                      <w:spacing w:val="-1"/>
                      <w:sz w:val="22"/>
                      <w:szCs w:val="22"/>
                      <w14:textFill>
                        <w14:solidFill>
                          <w14:schemeClr w14:val="tx1"/>
                        </w14:solidFill>
                      </w14:textFill>
                    </w:rPr>
                    <w:t>60</w:t>
                  </w:r>
                </w:p>
              </w:tc>
              <w:tc>
                <w:tcPr>
                  <w:tcW w:w="1582" w:type="dxa"/>
                  <w:tcBorders>
                    <w:tl2br w:val="nil"/>
                    <w:tr2bl w:val="nil"/>
                  </w:tcBorders>
                  <w:vAlign w:val="top"/>
                </w:tcPr>
                <w:p>
                  <w:pPr>
                    <w:rPr>
                      <w:rFonts w:ascii="Arial"/>
                      <w:color w:val="000000" w:themeColor="text1"/>
                      <w:sz w:val="21"/>
                      <w14:textFill>
                        <w14:solidFill>
                          <w14:schemeClr w14:val="tx1"/>
                        </w14:solidFill>
                      </w14:textFill>
                    </w:rPr>
                  </w:pPr>
                </w:p>
              </w:tc>
            </w:tr>
          </w:tbl>
          <w:p>
            <w:pPr>
              <w:numPr>
                <w:ilvl w:val="0"/>
                <w:numId w:val="0"/>
              </w:numPr>
              <w:spacing w:line="360" w:lineRule="auto"/>
              <w:ind w:leftChars="0"/>
              <w:contextualSpacing/>
              <w:jc w:val="left"/>
              <w:rPr>
                <w:rFonts w:ascii="宋体" w:hAnsi="宋体" w:cs="宋体"/>
                <w:color w:val="000000" w:themeColor="text1"/>
                <w:kern w:val="0"/>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678" w:type="dxa"/>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总平面及现场布置</w:t>
            </w:r>
          </w:p>
        </w:tc>
        <w:tc>
          <w:tcPr>
            <w:tcW w:w="7844" w:type="dxa"/>
            <w:noWrap w:val="0"/>
            <w:vAlign w:val="center"/>
          </w:tcPr>
          <w:p>
            <w:pPr>
              <w:spacing w:line="360" w:lineRule="auto"/>
              <w:ind w:firstLine="480" w:firstLineChars="200"/>
              <w:contextualSpacing/>
              <w:jc w:val="left"/>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施工总布置遵照因地制宜、有利生产、易于管理、安全可靠、经济合理及少占耕地的原则；根据本工程特点，结合类似工程施工经验，采用既集中又分散布置方式，即按施工区域合理布置施工场区。材料加工厂、物资仓库和管理生活设施区在</w:t>
            </w:r>
            <w:r>
              <w:rPr>
                <w:rFonts w:hint="eastAsia" w:cs="宋体"/>
                <w:color w:val="000000" w:themeColor="text1"/>
                <w:sz w:val="24"/>
                <w:szCs w:val="24"/>
                <w:lang w:eastAsia="zh-CN"/>
                <w14:textFill>
                  <w14:solidFill>
                    <w14:schemeClr w14:val="tx1"/>
                  </w14:solidFill>
                </w14:textFill>
              </w:rPr>
              <w:t>川道</w:t>
            </w:r>
            <w:r>
              <w:rPr>
                <w:rFonts w:hint="eastAsia" w:ascii="Times New Roman" w:hAnsi="Times New Roman" w:eastAsia="宋体" w:cs="宋体"/>
                <w:color w:val="000000" w:themeColor="text1"/>
                <w:sz w:val="24"/>
                <w:szCs w:val="24"/>
                <w:lang w:eastAsia="zh-CN"/>
                <w14:textFill>
                  <w14:solidFill>
                    <w14:schemeClr w14:val="tx1"/>
                  </w14:solidFill>
                </w14:textFill>
              </w:rPr>
              <w:t>左右岸滩地布置，施工用料可根据施工需要沿河堤线定点布置，施工道路、用水用电可在施工区就近利用，采取分散布置</w:t>
            </w:r>
            <w:r>
              <w:rPr>
                <w:rFonts w:hint="eastAsia"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eastAsia="zh-CN"/>
                <w14:textFill>
                  <w14:solidFill>
                    <w14:schemeClr w14:val="tx1"/>
                  </w14:solidFill>
                </w14:textFill>
              </w:rPr>
              <w:t>详见附图平面布置图</w:t>
            </w:r>
            <w:r>
              <w:rPr>
                <w:rFonts w:hint="eastAsia" w:ascii="Times New Roman" w:hAnsi="Times New Roman" w:eastAsia="宋体" w:cs="宋体"/>
                <w:color w:val="000000" w:themeColor="text1"/>
                <w:sz w:val="24"/>
                <w:szCs w:val="24"/>
                <w:lang w:val="en-US" w:eastAsia="zh-CN"/>
                <w14:textFill>
                  <w14:solidFill>
                    <w14:schemeClr w14:val="tx1"/>
                  </w14:solidFill>
                </w14:textFill>
              </w:rPr>
              <w:t>及施工平面布设图。</w:t>
            </w:r>
          </w:p>
          <w:p>
            <w:pPr>
              <w:pStyle w:val="55"/>
              <w:bidi w:val="0"/>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①临时堆料场、</w:t>
            </w:r>
            <w:r>
              <w:rPr>
                <w:rFonts w:hint="eastAsia" w:cs="宋体"/>
                <w:color w:val="000000" w:themeColor="text1"/>
                <w:kern w:val="2"/>
                <w:sz w:val="24"/>
                <w:szCs w:val="24"/>
                <w:highlight w:val="none"/>
                <w:lang w:val="en-US" w:eastAsia="zh-CN" w:bidi="ar-SA"/>
                <w14:textFill>
                  <w14:solidFill>
                    <w14:schemeClr w14:val="tx1"/>
                  </w14:solidFill>
                </w14:textFill>
              </w:rPr>
              <w:t>临时堆</w:t>
            </w: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土场设置</w:t>
            </w:r>
          </w:p>
          <w:p>
            <w:pPr>
              <w:pStyle w:val="55"/>
              <w:bidi w:val="0"/>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本项目</w:t>
            </w:r>
            <w:r>
              <w:rPr>
                <w:rFonts w:hint="eastAsia" w:cs="宋体"/>
                <w:color w:val="000000" w:themeColor="text1"/>
                <w:kern w:val="2"/>
                <w:sz w:val="24"/>
                <w:szCs w:val="24"/>
                <w:highlight w:val="none"/>
                <w:lang w:val="en-US" w:eastAsia="zh-CN" w:bidi="ar-SA"/>
                <w14:textFill>
                  <w14:solidFill>
                    <w14:schemeClr w14:val="tx1"/>
                  </w14:solidFill>
                </w14:textFill>
              </w:rPr>
              <w:t>施工所用混凝土购买成品商砼，不在现场拌和。项目</w:t>
            </w: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共设置临时堆料场</w:t>
            </w:r>
            <w:r>
              <w:rPr>
                <w:rFonts w:hint="eastAsia" w:cs="宋体"/>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处，主要存放堤岸线整治的石料、钢丝等原料堆放以及河岸整治的土方，分别位于</w:t>
            </w:r>
            <w:r>
              <w:rPr>
                <w:rFonts w:hint="eastAsia" w:cs="宋体"/>
                <w:color w:val="000000" w:themeColor="text1"/>
                <w:kern w:val="2"/>
                <w:sz w:val="24"/>
                <w:szCs w:val="24"/>
                <w:highlight w:val="none"/>
                <w:lang w:val="en-US" w:eastAsia="zh-CN" w:bidi="ar-SA"/>
                <w14:textFill>
                  <w14:solidFill>
                    <w14:schemeClr w14:val="tx1"/>
                  </w14:solidFill>
                </w14:textFill>
              </w:rPr>
              <w:t>张家庄、庞家川、高庙和焦家湾</w:t>
            </w: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为临时占地</w:t>
            </w: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w:t>
            </w:r>
            <w:r>
              <w:rPr>
                <w:rFonts w:hint="eastAsia" w:cs="宋体"/>
                <w:color w:val="000000" w:themeColor="text1"/>
                <w:kern w:val="2"/>
                <w:sz w:val="24"/>
                <w:szCs w:val="24"/>
                <w:highlight w:val="none"/>
                <w:lang w:val="en-US" w:eastAsia="zh-CN" w:bidi="ar-SA"/>
                <w14:textFill>
                  <w14:solidFill>
                    <w14:schemeClr w14:val="tx1"/>
                  </w14:solidFill>
                </w14:textFill>
              </w:rPr>
              <w:t>临时占地27亩，</w:t>
            </w: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设置的料场远离河道，位于河流的</w:t>
            </w:r>
            <w:r>
              <w:rPr>
                <w:rFonts w:hint="eastAsia" w:cs="宋体"/>
                <w:color w:val="000000" w:themeColor="text1"/>
                <w:kern w:val="2"/>
                <w:sz w:val="24"/>
                <w:szCs w:val="24"/>
                <w:highlight w:val="none"/>
                <w:lang w:val="en-US" w:eastAsia="zh-CN" w:bidi="ar-SA"/>
                <w14:textFill>
                  <w14:solidFill>
                    <w14:schemeClr w14:val="tx1"/>
                  </w14:solidFill>
                </w14:textFill>
              </w:rPr>
              <w:t>侧</w:t>
            </w: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方向。临时堆料场、</w:t>
            </w:r>
            <w:r>
              <w:rPr>
                <w:rFonts w:hint="eastAsia" w:cs="宋体"/>
                <w:color w:val="000000" w:themeColor="text1"/>
                <w:kern w:val="2"/>
                <w:sz w:val="24"/>
                <w:szCs w:val="24"/>
                <w:highlight w:val="none"/>
                <w:lang w:val="en-US" w:eastAsia="zh-CN" w:bidi="ar-SA"/>
                <w14:textFill>
                  <w14:solidFill>
                    <w14:schemeClr w14:val="tx1"/>
                  </w14:solidFill>
                </w14:textFill>
              </w:rPr>
              <w:t>临时堆</w:t>
            </w: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土场要求进行简单防渗，进行遮挡，且在周边设置排水渠，施工完成后由应及时进行土地整治及绿化措施临时堆料场、弃土场设置</w:t>
            </w:r>
            <w:r>
              <w:rPr>
                <w:rFonts w:hint="eastAsia" w:cs="宋体"/>
                <w:color w:val="000000" w:themeColor="text1"/>
                <w:kern w:val="2"/>
                <w:sz w:val="24"/>
                <w:szCs w:val="24"/>
                <w:highlight w:val="none"/>
                <w:lang w:val="en-US" w:eastAsia="zh-CN" w:bidi="ar-SA"/>
                <w14:textFill>
                  <w14:solidFill>
                    <w14:schemeClr w14:val="tx1"/>
                  </w14:solidFill>
                </w14:textFill>
              </w:rPr>
              <w:t>。</w:t>
            </w:r>
          </w:p>
          <w:p>
            <w:pPr>
              <w:pStyle w:val="55"/>
              <w:bidi w:val="0"/>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②施工场地的设置</w:t>
            </w:r>
          </w:p>
          <w:p>
            <w:pPr>
              <w:pStyle w:val="55"/>
              <w:bidi w:val="0"/>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本项目</w:t>
            </w:r>
            <w:r>
              <w:rPr>
                <w:rFonts w:ascii="Times New Roman" w:hAnsi="Times New Roman" w:eastAsia="宋体" w:cs="Times New Roman"/>
                <w:color w:val="000000" w:themeColor="text1"/>
                <w:sz w:val="24"/>
                <w:szCs w:val="24"/>
                <w:highlight w:val="none"/>
                <w14:textFill>
                  <w14:solidFill>
                    <w14:schemeClr w14:val="tx1"/>
                  </w14:solidFill>
                </w14:textFill>
              </w:rPr>
              <w:t>不布设施工场地</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不在现场设置施工机械维修场所</w:t>
            </w: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w:t>
            </w:r>
          </w:p>
          <w:p>
            <w:pPr>
              <w:pStyle w:val="55"/>
              <w:bidi w:val="0"/>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③施工道路的设置</w:t>
            </w:r>
          </w:p>
          <w:p>
            <w:pPr>
              <w:pStyle w:val="55"/>
              <w:bidi w:val="0"/>
              <w:rPr>
                <w:color w:val="000000" w:themeColor="text1"/>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工程区河段自上而下修建有各类公路、漫水桥及泄水管涵，因此，左右岸贯通利用现有河道上的公路、漫水桥及泄水管涵，作为施工便道，可以满足施工需求。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78" w:type="dxa"/>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施工方案</w:t>
            </w:r>
          </w:p>
        </w:tc>
        <w:tc>
          <w:tcPr>
            <w:tcW w:w="7844"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left="0" w:right="0"/>
              <w:jc w:val="left"/>
              <w:textAlignment w:val="auto"/>
              <w:outlineLvl w:val="2"/>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1</w:t>
            </w:r>
            <w:r>
              <w:rPr>
                <w:rFonts w:hint="default" w:ascii="Times New Roman" w:hAnsi="Times New Roman" w:cs="Times New Roman"/>
                <w:b/>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河道疏浚清淤施工</w:t>
            </w:r>
          </w:p>
          <w:p>
            <w:pPr>
              <w:keepNext w:val="0"/>
              <w:keepLines w:val="0"/>
              <w:pageBreakBefore w:val="0"/>
              <w:kinsoku/>
              <w:wordWrap/>
              <w:overflowPunct/>
              <w:topLinePunct w:val="0"/>
              <w:autoSpaceDE/>
              <w:autoSpaceDN/>
              <w:bidi w:val="0"/>
              <w:adjustRightInd/>
              <w:snapToGrid/>
              <w:spacing w:line="360" w:lineRule="auto"/>
              <w:ind w:left="0" w:right="0" w:firstLine="481"/>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城北河清淤</w:t>
            </w:r>
            <w:r>
              <w:rPr>
                <w:rFonts w:hint="default" w:ascii="Times New Roman" w:hAnsi="Times New Roman" w:eastAsia="宋体" w:cs="Times New Roman"/>
                <w:color w:val="000000" w:themeColor="text1"/>
                <w:spacing w:val="-5"/>
                <w:sz w:val="24"/>
                <w:szCs w:val="24"/>
                <w14:textFill>
                  <w14:solidFill>
                    <w14:schemeClr w14:val="tx1"/>
                  </w14:solidFill>
                </w14:textFill>
              </w:rPr>
              <w:t>厚</w:t>
            </w:r>
            <w:r>
              <w:rPr>
                <w:rFonts w:hint="default" w:ascii="Times New Roman" w:hAnsi="Times New Roman" w:eastAsia="宋体" w:cs="Times New Roman"/>
                <w:color w:val="000000" w:themeColor="text1"/>
                <w:spacing w:val="-3"/>
                <w:sz w:val="24"/>
                <w:szCs w:val="24"/>
                <w14:textFill>
                  <w14:solidFill>
                    <w14:schemeClr w14:val="tx1"/>
                  </w14:solidFill>
                </w14:textFill>
              </w:rPr>
              <w:t>度约为</w:t>
            </w:r>
            <w:r>
              <w:rPr>
                <w:rFonts w:hint="default" w:ascii="Times New Roman" w:hAnsi="Times New Roman" w:eastAsia="Times New Roman" w:cs="Times New Roman"/>
                <w:color w:val="000000" w:themeColor="text1"/>
                <w:spacing w:val="-3"/>
                <w:sz w:val="24"/>
                <w:szCs w:val="24"/>
                <w14:textFill>
                  <w14:solidFill>
                    <w14:schemeClr w14:val="tx1"/>
                  </w14:solidFill>
                </w14:textFill>
              </w:rPr>
              <w:t>0.325m~4.24m</w:t>
            </w:r>
            <w:r>
              <w:rPr>
                <w:rFonts w:hint="default" w:ascii="Times New Roman" w:hAnsi="Times New Roman" w:eastAsia="宋体" w:cs="Times New Roman"/>
                <w:color w:val="000000" w:themeColor="text1"/>
                <w:spacing w:val="-3"/>
                <w:sz w:val="24"/>
                <w:szCs w:val="24"/>
                <w14:textFill>
                  <w14:solidFill>
                    <w14:schemeClr w14:val="tx1"/>
                  </w14:solidFill>
                </w14:textFill>
              </w:rPr>
              <w:t>，河道清淤断面约为</w:t>
            </w:r>
            <w:r>
              <w:rPr>
                <w:rFonts w:hint="default" w:ascii="Times New Roman" w:hAnsi="Times New Roman" w:eastAsia="Times New Roman" w:cs="Times New Roman"/>
                <w:color w:val="000000" w:themeColor="text1"/>
                <w:spacing w:val="-3"/>
                <w:sz w:val="24"/>
                <w:szCs w:val="24"/>
                <w14:textFill>
                  <w14:solidFill>
                    <w14:schemeClr w14:val="tx1"/>
                  </w14:solidFill>
                </w14:textFill>
              </w:rPr>
              <w:t>22m~25m</w:t>
            </w:r>
            <w:r>
              <w:rPr>
                <w:rFonts w:hint="default" w:ascii="Times New Roman" w:hAnsi="Times New Roman" w:eastAsia="宋体" w:cs="Times New Roman"/>
                <w:color w:val="000000" w:themeColor="text1"/>
                <w:spacing w:val="-3"/>
                <w:sz w:val="24"/>
                <w:szCs w:val="24"/>
                <w14:textFill>
                  <w14:solidFill>
                    <w14:schemeClr w14:val="tx1"/>
                  </w14:solidFill>
                </w14:textFill>
              </w:rPr>
              <w:t>，在河道</w:t>
            </w:r>
            <w:r>
              <w:rPr>
                <w:rFonts w:hint="default" w:ascii="Times New Roman" w:hAnsi="Times New Roman" w:eastAsia="宋体" w:cs="Times New Roman"/>
                <w:color w:val="000000" w:themeColor="text1"/>
                <w:spacing w:val="-9"/>
                <w:sz w:val="24"/>
                <w:szCs w:val="24"/>
                <w14:textFill>
                  <w14:solidFill>
                    <w14:schemeClr w14:val="tx1"/>
                  </w14:solidFill>
                </w14:textFill>
              </w:rPr>
              <w:t>中</w:t>
            </w:r>
            <w:r>
              <w:rPr>
                <w:rFonts w:hint="default" w:ascii="Times New Roman" w:hAnsi="Times New Roman" w:eastAsia="宋体" w:cs="Times New Roman"/>
                <w:color w:val="000000" w:themeColor="text1"/>
                <w:spacing w:val="-6"/>
                <w:sz w:val="24"/>
                <w:szCs w:val="24"/>
                <w14:textFill>
                  <w14:solidFill>
                    <w14:schemeClr w14:val="tx1"/>
                  </w14:solidFill>
                </w14:textFill>
              </w:rPr>
              <w:t>间作为清淤起点，向上游和下游同时开挖。利用现有的下河道路作为机械设备</w:t>
            </w:r>
            <w:r>
              <w:rPr>
                <w:rFonts w:hint="default" w:ascii="Times New Roman" w:hAnsi="Times New Roman" w:eastAsia="宋体" w:cs="Times New Roman"/>
                <w:color w:val="000000" w:themeColor="text1"/>
                <w:spacing w:val="-3"/>
                <w:sz w:val="24"/>
                <w:szCs w:val="24"/>
                <w14:textFill>
                  <w14:solidFill>
                    <w14:schemeClr w14:val="tx1"/>
                  </w14:solidFill>
                </w14:textFill>
              </w:rPr>
              <w:t>和渣土运输的道路。按照先中央后两侧的顺序施工。首先在河道淤泥外边一</w:t>
            </w:r>
            <w:r>
              <w:rPr>
                <w:rFonts w:hint="default" w:ascii="Times New Roman" w:hAnsi="Times New Roman" w:eastAsia="宋体" w:cs="Times New Roman"/>
                <w:color w:val="000000" w:themeColor="text1"/>
                <w:sz w:val="24"/>
                <w:szCs w:val="24"/>
                <w14:textFill>
                  <w14:solidFill>
                    <w14:schemeClr w14:val="tx1"/>
                  </w14:solidFill>
                </w14:textFill>
              </w:rPr>
              <w:t>侧挖</w:t>
            </w:r>
            <w:r>
              <w:rPr>
                <w:rFonts w:hint="default" w:ascii="Times New Roman" w:hAnsi="Times New Roman" w:eastAsia="宋体" w:cs="Times New Roman"/>
                <w:color w:val="000000" w:themeColor="text1"/>
                <w:spacing w:val="-9"/>
                <w:sz w:val="24"/>
                <w:szCs w:val="24"/>
                <w14:textFill>
                  <w14:solidFill>
                    <w14:schemeClr w14:val="tx1"/>
                  </w14:solidFill>
                </w14:textFill>
              </w:rPr>
              <w:t>一</w:t>
            </w:r>
            <w:r>
              <w:rPr>
                <w:rFonts w:hint="default" w:ascii="Times New Roman" w:hAnsi="Times New Roman" w:eastAsia="宋体" w:cs="Times New Roman"/>
                <w:color w:val="000000" w:themeColor="text1"/>
                <w:spacing w:val="-6"/>
                <w:sz w:val="24"/>
                <w:szCs w:val="24"/>
                <w14:textFill>
                  <w14:solidFill>
                    <w14:schemeClr w14:val="tx1"/>
                  </w14:solidFill>
                </w14:textFill>
              </w:rPr>
              <w:t>条纵向排水沟使河水归槽。用土方对在槽边形成土埂，使少量的河水通过水槽</w:t>
            </w:r>
            <w:r>
              <w:rPr>
                <w:rFonts w:hint="default" w:ascii="Times New Roman" w:hAnsi="Times New Roman" w:eastAsia="宋体" w:cs="Times New Roman"/>
                <w:color w:val="000000" w:themeColor="text1"/>
                <w:spacing w:val="-14"/>
                <w:sz w:val="24"/>
                <w:szCs w:val="24"/>
                <w14:textFill>
                  <w14:solidFill>
                    <w14:schemeClr w14:val="tx1"/>
                  </w14:solidFill>
                </w14:textFill>
              </w:rPr>
              <w:t>排水。</w:t>
            </w:r>
            <w:r>
              <w:rPr>
                <w:rFonts w:hint="default" w:ascii="Times New Roman" w:hAnsi="Times New Roman" w:eastAsia="宋体" w:cs="Times New Roman"/>
                <w:color w:val="000000" w:themeColor="text1"/>
                <w:spacing w:val="-7"/>
                <w:sz w:val="24"/>
                <w:szCs w:val="24"/>
                <w14:textFill>
                  <w14:solidFill>
                    <w14:schemeClr w14:val="tx1"/>
                  </w14:solidFill>
                </w14:textFill>
              </w:rPr>
              <w:t>在疏掏时分别自上而下或自下而上依次清理。先进行河道中央的淤泥挖掘，</w:t>
            </w:r>
            <w:r>
              <w:rPr>
                <w:rFonts w:hint="default" w:ascii="Times New Roman" w:hAnsi="Times New Roman" w:eastAsia="宋体" w:cs="Times New Roman"/>
                <w:color w:val="000000" w:themeColor="text1"/>
                <w:spacing w:val="-4"/>
                <w:sz w:val="24"/>
                <w:szCs w:val="24"/>
                <w14:textFill>
                  <w14:solidFill>
                    <w14:schemeClr w14:val="tx1"/>
                  </w14:solidFill>
                </w14:textFill>
              </w:rPr>
              <w:t>由于现状河道</w:t>
            </w:r>
            <w:r>
              <w:rPr>
                <w:rFonts w:hint="default" w:ascii="Times New Roman" w:hAnsi="Times New Roman" w:eastAsia="宋体" w:cs="Times New Roman"/>
                <w:color w:val="000000" w:themeColor="text1"/>
                <w:spacing w:val="-2"/>
                <w:sz w:val="24"/>
                <w:szCs w:val="24"/>
                <w14:textFill>
                  <w14:solidFill>
                    <w14:schemeClr w14:val="tx1"/>
                  </w14:solidFill>
                </w14:textFill>
              </w:rPr>
              <w:t>清淤断面宽度在</w:t>
            </w:r>
            <w:r>
              <w:rPr>
                <w:rFonts w:hint="default" w:ascii="Times New Roman" w:hAnsi="Times New Roman" w:eastAsia="Times New Roman" w:cs="Times New Roman"/>
                <w:color w:val="000000" w:themeColor="text1"/>
                <w:spacing w:val="-2"/>
                <w:sz w:val="24"/>
                <w:szCs w:val="24"/>
                <w14:textFill>
                  <w14:solidFill>
                    <w14:schemeClr w14:val="tx1"/>
                  </w14:solidFill>
                </w14:textFill>
              </w:rPr>
              <w:t>22m~25m</w:t>
            </w:r>
            <w:r>
              <w:rPr>
                <w:rFonts w:hint="default" w:ascii="Times New Roman" w:hAnsi="Times New Roman" w:eastAsia="宋体" w:cs="Times New Roman"/>
                <w:color w:val="000000" w:themeColor="text1"/>
                <w:spacing w:val="-2"/>
                <w:sz w:val="24"/>
                <w:szCs w:val="24"/>
                <w14:textFill>
                  <w14:solidFill>
                    <w14:schemeClr w14:val="tx1"/>
                  </w14:solidFill>
                </w14:textFill>
              </w:rPr>
              <w:t>之间，施工时挖掘机不能一次将河道中</w:t>
            </w:r>
            <w:r>
              <w:rPr>
                <w:rFonts w:hint="default" w:ascii="Times New Roman" w:hAnsi="Times New Roman" w:eastAsia="宋体" w:cs="Times New Roman"/>
                <w:color w:val="000000" w:themeColor="text1"/>
                <w:spacing w:val="-14"/>
                <w:sz w:val="24"/>
                <w:szCs w:val="24"/>
                <w14:textFill>
                  <w14:solidFill>
                    <w14:schemeClr w14:val="tx1"/>
                  </w14:solidFill>
                </w14:textFill>
              </w:rPr>
              <w:t>央的</w:t>
            </w:r>
            <w:r>
              <w:rPr>
                <w:rFonts w:hint="default" w:ascii="Times New Roman" w:hAnsi="Times New Roman" w:eastAsia="宋体" w:cs="Times New Roman"/>
                <w:color w:val="000000" w:themeColor="text1"/>
                <w:spacing w:val="-8"/>
                <w:sz w:val="24"/>
                <w:szCs w:val="24"/>
                <w14:textFill>
                  <w14:solidFill>
                    <w14:schemeClr w14:val="tx1"/>
                  </w14:solidFill>
                </w14:textFill>
              </w:rPr>
              <w:t>淤</w:t>
            </w:r>
            <w:r>
              <w:rPr>
                <w:rFonts w:hint="default" w:ascii="Times New Roman" w:hAnsi="Times New Roman" w:eastAsia="宋体" w:cs="Times New Roman"/>
                <w:color w:val="000000" w:themeColor="text1"/>
                <w:spacing w:val="-7"/>
                <w:sz w:val="24"/>
                <w:szCs w:val="24"/>
                <w14:textFill>
                  <w14:solidFill>
                    <w14:schemeClr w14:val="tx1"/>
                  </w14:solidFill>
                </w14:textFill>
              </w:rPr>
              <w:t>泥挖至围堰或装载机上， 故河道中央的淤泥需经过</w:t>
            </w:r>
            <w:r>
              <w:rPr>
                <w:rFonts w:hint="default" w:ascii="Times New Roman" w:hAnsi="Times New Roman" w:eastAsia="Times New Roman" w:cs="Times New Roman"/>
                <w:color w:val="000000" w:themeColor="text1"/>
                <w:spacing w:val="-7"/>
                <w:sz w:val="24"/>
                <w:szCs w:val="24"/>
                <w14:textFill>
                  <w14:solidFill>
                    <w14:schemeClr w14:val="tx1"/>
                  </w14:solidFill>
                </w14:textFill>
              </w:rPr>
              <w:t>2</w:t>
            </w:r>
            <w:r>
              <w:rPr>
                <w:rFonts w:hint="default" w:ascii="Times New Roman" w:hAnsi="Times New Roman" w:eastAsia="宋体" w:cs="Times New Roman"/>
                <w:color w:val="000000" w:themeColor="text1"/>
                <w:spacing w:val="-7"/>
                <w:sz w:val="24"/>
                <w:szCs w:val="24"/>
                <w14:textFill>
                  <w14:solidFill>
                    <w14:schemeClr w14:val="tx1"/>
                  </w14:solidFill>
                </w14:textFill>
              </w:rPr>
              <w:t>次倒运方能至河道两</w:t>
            </w:r>
            <w:r>
              <w:rPr>
                <w:rFonts w:hint="default" w:ascii="Times New Roman" w:hAnsi="Times New Roman" w:eastAsia="宋体" w:cs="Times New Roman"/>
                <w:color w:val="000000" w:themeColor="text1"/>
                <w:spacing w:val="-16"/>
                <w:sz w:val="24"/>
                <w:szCs w:val="24"/>
                <w14:textFill>
                  <w14:solidFill>
                    <w14:schemeClr w14:val="tx1"/>
                  </w14:solidFill>
                </w14:textFill>
              </w:rPr>
              <w:t>侧</w:t>
            </w:r>
            <w:r>
              <w:rPr>
                <w:rFonts w:hint="default" w:ascii="Times New Roman" w:hAnsi="Times New Roman" w:eastAsia="宋体" w:cs="Times New Roman"/>
                <w:color w:val="000000" w:themeColor="text1"/>
                <w:spacing w:val="-9"/>
                <w:sz w:val="24"/>
                <w:szCs w:val="24"/>
                <w14:textFill>
                  <w14:solidFill>
                    <w14:schemeClr w14:val="tx1"/>
                  </w14:solidFill>
                </w14:textFill>
              </w:rPr>
              <w:t>，由于采用清淤淤泥含水量大，运输过程中容易造成道路及周边环境污染，因</w:t>
            </w:r>
            <w:r>
              <w:rPr>
                <w:rFonts w:hint="default" w:ascii="Times New Roman" w:hAnsi="Times New Roman" w:eastAsia="宋体" w:cs="Times New Roman"/>
                <w:color w:val="000000" w:themeColor="text1"/>
                <w:spacing w:val="-12"/>
                <w:sz w:val="24"/>
                <w:szCs w:val="24"/>
                <w14:textFill>
                  <w14:solidFill>
                    <w14:schemeClr w14:val="tx1"/>
                  </w14:solidFill>
                </w14:textFill>
              </w:rPr>
              <w:t>此</w:t>
            </w:r>
            <w:r>
              <w:rPr>
                <w:rFonts w:hint="default" w:ascii="Times New Roman" w:hAnsi="Times New Roman" w:eastAsia="宋体" w:cs="Times New Roman"/>
                <w:color w:val="000000" w:themeColor="text1"/>
                <w:spacing w:val="-6"/>
                <w:sz w:val="24"/>
                <w:szCs w:val="24"/>
                <w14:textFill>
                  <w14:solidFill>
                    <w14:schemeClr w14:val="tx1"/>
                  </w14:solidFill>
                </w14:textFill>
              </w:rPr>
              <w:t>淤泥清出河道后需经过晾晒方可外运，清淤过程中由于河底标高无法清楚的监</w:t>
            </w:r>
            <w:r>
              <w:rPr>
                <w:rFonts w:hint="default" w:ascii="Times New Roman" w:hAnsi="Times New Roman" w:eastAsia="宋体" w:cs="Times New Roman"/>
                <w:color w:val="000000" w:themeColor="text1"/>
                <w:spacing w:val="-18"/>
                <w:sz w:val="24"/>
                <w:szCs w:val="24"/>
                <w14:textFill>
                  <w14:solidFill>
                    <w14:schemeClr w14:val="tx1"/>
                  </w14:solidFill>
                </w14:textFill>
              </w:rPr>
              <w:t>测</w:t>
            </w:r>
            <w:r>
              <w:rPr>
                <w:rFonts w:hint="default" w:ascii="Times New Roman" w:hAnsi="Times New Roman" w:eastAsia="宋体" w:cs="Times New Roman"/>
                <w:color w:val="000000" w:themeColor="text1"/>
                <w:spacing w:val="-12"/>
                <w:sz w:val="24"/>
                <w:szCs w:val="24"/>
                <w14:textFill>
                  <w14:solidFill>
                    <w14:schemeClr w14:val="tx1"/>
                  </w14:solidFill>
                </w14:textFill>
              </w:rPr>
              <w:t>到，故需准备探杆一套，在一定的区域内清淤完成后，立即用探杆检测清淤深度</w:t>
            </w:r>
            <w:r>
              <w:rPr>
                <w:rFonts w:hint="default" w:ascii="Times New Roman" w:hAnsi="Times New Roman" w:eastAsia="宋体" w:cs="Times New Roman"/>
                <w:color w:val="000000" w:themeColor="text1"/>
                <w:spacing w:val="-10"/>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left="0" w:right="0" w:firstLine="432" w:firstLineChars="200"/>
              <w:contextualSpacing/>
              <w:jc w:val="left"/>
              <w:textAlignment w:val="auto"/>
              <w:outlineLvl w:val="1"/>
              <w:rPr>
                <w:rFonts w:hint="default" w:ascii="Times New Roman" w:hAnsi="Times New Roman" w:eastAsia="宋体" w:cs="Times New Roman"/>
                <w:color w:val="000000" w:themeColor="text1"/>
                <w:spacing w:val="-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淤泥运</w:t>
            </w:r>
            <w:r>
              <w:rPr>
                <w:rFonts w:hint="default" w:ascii="Times New Roman" w:hAnsi="Times New Roman" w:eastAsia="宋体" w:cs="Times New Roman"/>
                <w:color w:val="000000" w:themeColor="text1"/>
                <w:spacing w:val="-6"/>
                <w:sz w:val="24"/>
                <w:szCs w:val="24"/>
                <w14:textFill>
                  <w14:solidFill>
                    <w14:schemeClr w14:val="tx1"/>
                  </w14:solidFill>
                </w14:textFill>
              </w:rPr>
              <w:t>输将严格按照有关渣土运输的有关规定，选用性能良好、车厢封闭较</w:t>
            </w:r>
            <w:r>
              <w:rPr>
                <w:rFonts w:hint="default" w:ascii="Times New Roman" w:hAnsi="Times New Roman" w:eastAsia="宋体" w:cs="Times New Roman"/>
                <w:color w:val="000000" w:themeColor="text1"/>
                <w:spacing w:val="-18"/>
                <w:sz w:val="24"/>
                <w:szCs w:val="24"/>
                <w14:textFill>
                  <w14:solidFill>
                    <w14:schemeClr w14:val="tx1"/>
                  </w14:solidFill>
                </w14:textFill>
              </w:rPr>
              <w:t>好</w:t>
            </w:r>
            <w:r>
              <w:rPr>
                <w:rFonts w:hint="default" w:ascii="Times New Roman" w:hAnsi="Times New Roman" w:eastAsia="宋体" w:cs="Times New Roman"/>
                <w:color w:val="000000" w:themeColor="text1"/>
                <w:spacing w:val="-10"/>
                <w:sz w:val="24"/>
                <w:szCs w:val="24"/>
                <w14:textFill>
                  <w14:solidFill>
                    <w14:schemeClr w14:val="tx1"/>
                  </w14:solidFill>
                </w14:textFill>
              </w:rPr>
              <w:t>、</w:t>
            </w:r>
            <w:r>
              <w:rPr>
                <w:rFonts w:hint="default" w:ascii="Times New Roman" w:hAnsi="Times New Roman" w:eastAsia="宋体" w:cs="Times New Roman"/>
                <w:color w:val="000000" w:themeColor="text1"/>
                <w:spacing w:val="-9"/>
                <w:sz w:val="24"/>
                <w:szCs w:val="24"/>
                <w14:textFill>
                  <w14:solidFill>
                    <w14:schemeClr w14:val="tx1"/>
                  </w14:solidFill>
                </w14:textFill>
              </w:rPr>
              <w:t>证件齐全的车辆，严格按照指定的线路行驶。做到运输车辆不超载，车厢上</w:t>
            </w:r>
            <w:r>
              <w:rPr>
                <w:rFonts w:hint="default" w:ascii="Times New Roman" w:hAnsi="Times New Roman" w:eastAsia="宋体" w:cs="Times New Roman"/>
                <w:color w:val="000000" w:themeColor="text1"/>
                <w:spacing w:val="-2"/>
                <w:sz w:val="24"/>
                <w:szCs w:val="24"/>
                <w14:textFill>
                  <w14:solidFill>
                    <w14:schemeClr w14:val="tx1"/>
                  </w14:solidFill>
                </w14:textFill>
              </w:rPr>
              <w:t>全部用篷布覆盖，避免运输过程中渣土</w:t>
            </w:r>
            <w:r>
              <w:rPr>
                <w:rFonts w:hint="default" w:ascii="Times New Roman" w:hAnsi="Times New Roman" w:eastAsia="宋体" w:cs="Times New Roman"/>
                <w:color w:val="000000" w:themeColor="text1"/>
                <w:spacing w:val="-1"/>
                <w:sz w:val="24"/>
                <w:szCs w:val="24"/>
                <w14:textFill>
                  <w14:solidFill>
                    <w14:schemeClr w14:val="tx1"/>
                  </w14:solidFill>
                </w14:textFill>
              </w:rPr>
              <w:t>散落污染周边环境</w:t>
            </w:r>
            <w:r>
              <w:rPr>
                <w:rFonts w:hint="default" w:ascii="Times New Roman" w:hAnsi="Times New Roman" w:eastAsia="宋体" w:cs="Times New Roman"/>
                <w:color w:val="000000" w:themeColor="text1"/>
                <w:spacing w:val="-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left="0" w:right="0"/>
              <w:jc w:val="left"/>
              <w:textAlignment w:val="auto"/>
              <w:outlineLvl w:val="2"/>
              <w:rPr>
                <w:rFonts w:hint="eastAsia" w:ascii="Times New Roman" w:hAnsi="Times New Roman" w:cs="Times New Roman"/>
                <w:b/>
                <w:color w:val="000000" w:themeColor="text1"/>
                <w:sz w:val="24"/>
                <w:szCs w:val="24"/>
                <w:lang w:val="en-US" w:eastAsia="zh-CN"/>
                <w14:textFill>
                  <w14:solidFill>
                    <w14:schemeClr w14:val="tx1"/>
                  </w14:solidFill>
                </w14:textFill>
              </w:rPr>
            </w:pPr>
            <w:r>
              <w:rPr>
                <w:rFonts w:hint="default" w:ascii="Times New Roman" w:hAnsi="Times New Roman" w:cs="Times New Roman"/>
                <w:b/>
                <w:color w:val="000000" w:themeColor="text1"/>
                <w:sz w:val="24"/>
                <w:szCs w:val="24"/>
                <w:lang w:val="en-US" w:eastAsia="zh-CN"/>
                <w14:textFill>
                  <w14:solidFill>
                    <w14:schemeClr w14:val="tx1"/>
                  </w14:solidFill>
                </w14:textFill>
              </w:rPr>
              <w:t>2</w:t>
            </w:r>
            <w:r>
              <w:rPr>
                <w:rFonts w:hint="eastAsia" w:cs="Times New Roman"/>
                <w:b/>
                <w:color w:val="000000" w:themeColor="text1"/>
                <w:sz w:val="24"/>
                <w:szCs w:val="24"/>
                <w:lang w:val="en-US" w:eastAsia="zh-CN"/>
                <w14:textFill>
                  <w14:solidFill>
                    <w14:schemeClr w14:val="tx1"/>
                  </w14:solidFill>
                </w14:textFill>
              </w:rPr>
              <w:t>、</w:t>
            </w:r>
            <w:r>
              <w:rPr>
                <w:rFonts w:hint="eastAsia" w:ascii="Times New Roman" w:hAnsi="Times New Roman" w:cs="Times New Roman"/>
                <w:b/>
                <w:color w:val="000000" w:themeColor="text1"/>
                <w:sz w:val="24"/>
                <w:szCs w:val="24"/>
                <w:lang w:val="en-US" w:eastAsia="zh-CN"/>
                <w14:textFill>
                  <w14:solidFill>
                    <w14:schemeClr w14:val="tx1"/>
                  </w14:solidFill>
                </w14:textFill>
              </w:rPr>
              <w:t>护岸工程施工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本工程施工以砂砾土料挖填和混凝土浇筑为主，且挖填量较大，因此工程采取分段施工法，以机械和人工相结合的施工方法。按照《堤防工程施工规范》(SL260-2014)的要求进行施工，严格控制施工质量和进度，保证按期完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eastAsia" w:ascii="Times New Roman" w:hAnsi="Times New Roman"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施工顺序为护堤基础开挖——河堤碾压——护岸砌筑——基坑回填。各分项施工须按国家有关施工规范进行，砾质土料碾压后要求压实系数不小于0.91。堤身碾压方向应平行与堤轴线，分层碾压，机械碾压时控制行车速度，不得在雨天施工</w:t>
            </w:r>
            <w:r>
              <w:rPr>
                <w:rFonts w:hint="eastAsia" w:ascii="Times New Roman" w:hAnsi="Times New Roman" w:cs="Times New Roman"/>
                <w:color w:val="000000" w:themeColor="text1"/>
                <w:spacing w:val="-2"/>
                <w:sz w:val="24"/>
                <w:szCs w:val="24"/>
                <w:lang w:eastAsia="zh-CN"/>
                <w14:textFill>
                  <w14:solidFill>
                    <w14:schemeClr w14:val="tx1"/>
                  </w14:solidFill>
                </w14:textFill>
              </w:rPr>
              <w:t>施工流程图如下：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color w:val="000000" w:themeColor="text1"/>
                <w:sz w:val="24"/>
                <w:szCs w:val="24"/>
                <w:highlight w:val="none"/>
                <w14:textFill>
                  <w14:solidFill>
                    <w14:schemeClr w14:val="tx1"/>
                  </w14:solidFill>
                </w14:textFill>
              </w:rPr>
              <w:drawing>
                <wp:inline distT="0" distB="0" distL="114300" distR="114300">
                  <wp:extent cx="4836795" cy="3703320"/>
                  <wp:effectExtent l="0" t="0" r="0" b="0"/>
                  <wp:docPr id="6" name="ECB019B1-382A-4266-B25C-5B523AA43C14-1" descr="C:/Users/ADMINI~1/AppData/Local/Temp/qt_temp.KV5224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C:/Users/ADMINI~1/AppData/Local/Temp/qt_temp.KV5224qt_temp"/>
                          <pic:cNvPicPr>
                            <a:picLocks noChangeAspect="1"/>
                          </pic:cNvPicPr>
                        </pic:nvPicPr>
                        <pic:blipFill>
                          <a:blip r:embed="rId8"/>
                          <a:stretch>
                            <a:fillRect/>
                          </a:stretch>
                        </pic:blipFill>
                        <pic:spPr>
                          <a:xfrm>
                            <a:off x="0" y="0"/>
                            <a:ext cx="4836795" cy="3703320"/>
                          </a:xfrm>
                          <a:prstGeom prst="rect">
                            <a:avLst/>
                          </a:prstGeom>
                          <a:noFill/>
                          <a:ln>
                            <a:noFill/>
                          </a:ln>
                        </pic:spPr>
                      </pic:pic>
                    </a:graphicData>
                  </a:graphic>
                </wp:inline>
              </w:drawing>
            </w:r>
            <w:r>
              <w:rPr>
                <w:rFonts w:hint="eastAsia"/>
                <w:b/>
                <w:bCs/>
                <w:color w:val="000000" w:themeColor="text1"/>
                <w:sz w:val="21"/>
                <w:szCs w:val="21"/>
                <w:highlight w:val="none"/>
                <w:lang w:eastAsia="zh-CN"/>
                <w14:textFill>
                  <w14:solidFill>
                    <w14:schemeClr w14:val="tx1"/>
                  </w14:solidFill>
                </w14:textFill>
              </w:rPr>
              <w:t>图</w:t>
            </w:r>
            <w:r>
              <w:rPr>
                <w:rFonts w:hint="eastAsia"/>
                <w:b/>
                <w:bCs/>
                <w:color w:val="000000" w:themeColor="text1"/>
                <w:sz w:val="21"/>
                <w:szCs w:val="21"/>
                <w:highlight w:val="none"/>
                <w:lang w:val="en-US" w:eastAsia="zh-CN"/>
                <w14:textFill>
                  <w14:solidFill>
                    <w14:schemeClr w14:val="tx1"/>
                  </w14:solidFill>
                </w14:textFill>
              </w:rPr>
              <w:t>2-1   护岸工程施工流程示意图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w:t>
            </w:r>
            <w:r>
              <w:rPr>
                <w:rFonts w:hint="eastAsia" w:ascii="Times New Roman" w:hAnsi="Times New Roman" w:cs="Times New Roman"/>
                <w:color w:val="000000" w:themeColor="text1"/>
                <w:spacing w:val="-2"/>
                <w:sz w:val="24"/>
                <w:szCs w:val="24"/>
                <w:lang w:eastAsia="zh-CN"/>
                <w14:textFill>
                  <w14:solidFill>
                    <w14:schemeClr w14:val="tx1"/>
                  </w14:solidFill>
                </w14:textFill>
              </w:rPr>
              <w:t>基础</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开挖工程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基槽开挖线路长，从工程造价、工程效率、安全等方面考虑，基槽开挖以机械开挖为主，人工修整为辅。开挖料就近堆放，以备填筑所用，做到统筹安排、挖填结合。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(2)砂砾土方填筑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砂砾土近距离填筑施工时， 采用装载机配合推土机推运、摊铺、平整，压路机碾压，边角及狭窄部位以人工平整和蛙式打夯机夯实，当填筑施工段距料场较远时，采用装载机装自卸汽车运输的方案施工；填筑施工时严格按照“上料—— 摊铺——平整——碾压——质检——刨毛”的程序循环作业，用河床砾质土填筑，压实度不小于0.91。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(3)混凝土工程施工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河床深泓线以上护坡采用铰链式护坡砌块铺设，坡比1 ：1.5，砌块为中空造型的C30干硬性砼预制块，规格420×420×150mm，由绞索穿孔连接，砌块护坡每30m用C25混凝土浇灌接缝处理连接，缝宽30cm，生态护坡砌块空隙植草绿化。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(4)固宾笼施工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①技术参数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基本技术指标：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格宾是将低碳钢丝经机器编织而成的六边形双绞合金属网结构。本工程固宾笼为“10%铝一锌合金”并PVC覆塑。编织网钢丝要求符合规范 GB/T228-2002标准。格宾规格型号、网孔规格、钢丝参数见下表。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contextualSpacing/>
              <w:jc w:val="center"/>
              <w:textAlignment w:val="auto"/>
              <w:rPr>
                <w:rFonts w:hint="default" w:eastAsia="宋体" w:cs="宋体"/>
                <w:b/>
                <w:bCs/>
                <w:color w:val="000000" w:themeColor="text1"/>
                <w:sz w:val="21"/>
                <w:szCs w:val="21"/>
                <w:lang w:val="en-US" w:eastAsia="zh-CN"/>
                <w14:textFill>
                  <w14:solidFill>
                    <w14:schemeClr w14:val="tx1"/>
                  </w14:solidFill>
                </w14:textFill>
              </w:rPr>
            </w:pPr>
            <w:r>
              <w:rPr>
                <w:rFonts w:hint="default" w:eastAsia="宋体" w:cs="宋体"/>
                <w:b/>
                <w:bCs/>
                <w:color w:val="000000" w:themeColor="text1"/>
                <w:sz w:val="21"/>
                <w:szCs w:val="21"/>
                <w:lang w:val="en-US" w:eastAsia="zh-CN"/>
                <w14:textFill>
                  <w14:solidFill>
                    <w14:schemeClr w14:val="tx1"/>
                  </w14:solidFill>
                </w14:textFill>
              </w:rPr>
              <w:t>表</w:t>
            </w:r>
            <w:r>
              <w:rPr>
                <w:rFonts w:hint="eastAsia" w:eastAsia="宋体" w:cs="宋体"/>
                <w:b/>
                <w:bCs/>
                <w:color w:val="000000" w:themeColor="text1"/>
                <w:sz w:val="21"/>
                <w:szCs w:val="21"/>
                <w:lang w:val="en-US" w:eastAsia="zh-CN"/>
                <w14:textFill>
                  <w14:solidFill>
                    <w14:schemeClr w14:val="tx1"/>
                  </w14:solidFill>
                </w14:textFill>
              </w:rPr>
              <w:t>2-5</w:t>
            </w:r>
            <w:r>
              <w:rPr>
                <w:rFonts w:hint="default" w:eastAsia="宋体" w:cs="宋体"/>
                <w:b/>
                <w:bCs/>
                <w:color w:val="000000" w:themeColor="text1"/>
                <w:sz w:val="21"/>
                <w:szCs w:val="21"/>
                <w:lang w:val="en-US" w:eastAsia="zh-CN"/>
                <w14:textFill>
                  <w14:solidFill>
                    <w14:schemeClr w14:val="tx1"/>
                  </w14:solidFill>
                </w14:textFill>
              </w:rPr>
              <w:t xml:space="preserve">            格宾规格型号</w:t>
            </w:r>
          </w:p>
          <w:tbl>
            <w:tblPr>
              <w:tblStyle w:val="59"/>
              <w:tblW w:w="785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738"/>
              <w:gridCol w:w="1696"/>
              <w:gridCol w:w="1359"/>
              <w:gridCol w:w="1275"/>
              <w:gridCol w:w="1251"/>
              <w:gridCol w:w="154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25" w:hRule="atLeast"/>
                <w:jc w:val="center"/>
              </w:trPr>
              <w:tc>
                <w:tcPr>
                  <w:tcW w:w="73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pacing w:val="-1"/>
                      <w:sz w:val="22"/>
                      <w:szCs w:val="22"/>
                      <w:lang w:eastAsia="zh-CN"/>
                      <w14:textFill>
                        <w14:solidFill>
                          <w14:schemeClr w14:val="tx1"/>
                        </w14:solidFill>
                      </w14:textFill>
                    </w:rPr>
                    <w:t>产品</w:t>
                  </w:r>
                  <w:r>
                    <w:rPr>
                      <w:rFonts w:ascii="宋体" w:hAnsi="宋体" w:eastAsia="宋体" w:cs="宋体"/>
                      <w:color w:val="000000" w:themeColor="text1"/>
                      <w:spacing w:val="-1"/>
                      <w:sz w:val="22"/>
                      <w:szCs w:val="22"/>
                      <w14:textFill>
                        <w14:solidFill>
                          <w14:schemeClr w14:val="tx1"/>
                        </w14:solidFill>
                      </w14:textFill>
                    </w:rPr>
                    <w:t>型规格</w:t>
                  </w:r>
                </w:p>
              </w:tc>
              <w:tc>
                <w:tcPr>
                  <w:tcW w:w="7121"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3"/>
                      <w:sz w:val="22"/>
                      <w:szCs w:val="22"/>
                      <w14:textFill>
                        <w14:solidFill>
                          <w14:schemeClr w14:val="tx1"/>
                        </w14:solidFill>
                      </w14:textFill>
                    </w:rPr>
                    <w:t>格</w:t>
                  </w:r>
                  <w:r>
                    <w:rPr>
                      <w:rFonts w:ascii="宋体" w:hAnsi="宋体" w:eastAsia="宋体" w:cs="宋体"/>
                      <w:color w:val="000000" w:themeColor="text1"/>
                      <w:spacing w:val="-2"/>
                      <w:sz w:val="22"/>
                      <w:szCs w:val="22"/>
                      <w14:textFill>
                        <w14:solidFill>
                          <w14:schemeClr w14:val="tx1"/>
                        </w14:solidFill>
                      </w14:textFill>
                    </w:rPr>
                    <w:t>宾护坡、护脚</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91" w:hRule="atLeast"/>
                <w:jc w:val="center"/>
              </w:trPr>
              <w:tc>
                <w:tcPr>
                  <w:tcW w:w="73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Arial"/>
                      <w:color w:val="000000" w:themeColor="text1"/>
                      <w:sz w:val="21"/>
                      <w14:textFill>
                        <w14:solidFill>
                          <w14:schemeClr w14:val="tx1"/>
                        </w14:solidFill>
                      </w14:textFill>
                    </w:rPr>
                  </w:pPr>
                </w:p>
              </w:tc>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尺寸</w:t>
                  </w:r>
                </w:p>
              </w:tc>
              <w:tc>
                <w:tcPr>
                  <w:tcW w:w="13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45"/>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14"/>
                      <w:sz w:val="22"/>
                      <w:szCs w:val="22"/>
                      <w14:textFill>
                        <w14:solidFill>
                          <w14:schemeClr w14:val="tx1"/>
                        </w14:solidFill>
                      </w14:textFill>
                    </w:rPr>
                    <w:t>长</w:t>
                  </w:r>
                  <w:r>
                    <w:rPr>
                      <w:rFonts w:ascii="宋体" w:hAnsi="宋体" w:eastAsia="宋体" w:cs="宋体"/>
                      <w:color w:val="000000" w:themeColor="text1"/>
                      <w:spacing w:val="-7"/>
                      <w:sz w:val="22"/>
                      <w:szCs w:val="22"/>
                      <w14:textFill>
                        <w14:solidFill>
                          <w14:schemeClr w14:val="tx1"/>
                        </w14:solidFill>
                      </w14:textFill>
                    </w:rPr>
                    <w:t xml:space="preserve"> </w:t>
                  </w:r>
                  <w:r>
                    <w:rPr>
                      <w:rFonts w:ascii="Times New Roman" w:hAnsi="Times New Roman" w:eastAsia="Times New Roman" w:cs="Times New Roman"/>
                      <w:color w:val="000000" w:themeColor="text1"/>
                      <w:spacing w:val="-7"/>
                      <w:sz w:val="22"/>
                      <w:szCs w:val="22"/>
                      <w14:textFill>
                        <w14:solidFill>
                          <w14:schemeClr w14:val="tx1"/>
                        </w14:solidFill>
                      </w14:textFill>
                    </w:rPr>
                    <w:t xml:space="preserve">L </w:t>
                  </w:r>
                  <w:r>
                    <w:rPr>
                      <w:rFonts w:ascii="宋体" w:hAnsi="宋体" w:eastAsia="宋体" w:cs="宋体"/>
                      <w:color w:val="000000" w:themeColor="text1"/>
                      <w:spacing w:val="-7"/>
                      <w:sz w:val="22"/>
                      <w:szCs w:val="22"/>
                      <w14:textFill>
                        <w14:solidFill>
                          <w14:schemeClr w14:val="tx1"/>
                        </w14:solidFill>
                      </w14:textFill>
                    </w:rPr>
                    <w:t>(</w:t>
                  </w:r>
                  <w:r>
                    <w:rPr>
                      <w:rFonts w:ascii="Times New Roman" w:hAnsi="Times New Roman" w:eastAsia="Times New Roman" w:cs="Times New Roman"/>
                      <w:color w:val="000000" w:themeColor="text1"/>
                      <w:spacing w:val="-7"/>
                      <w:sz w:val="22"/>
                      <w:szCs w:val="22"/>
                      <w14:textFill>
                        <w14:solidFill>
                          <w14:schemeClr w14:val="tx1"/>
                        </w14:solidFill>
                      </w14:textFill>
                    </w:rPr>
                    <w:t>m</w:t>
                  </w:r>
                  <w:r>
                    <w:rPr>
                      <w:rFonts w:ascii="宋体" w:hAnsi="宋体" w:eastAsia="宋体" w:cs="宋体"/>
                      <w:color w:val="000000" w:themeColor="text1"/>
                      <w:spacing w:val="-7"/>
                      <w:sz w:val="22"/>
                      <w:szCs w:val="22"/>
                      <w14:textFill>
                        <w14:solidFill>
                          <w14:schemeClr w14:val="tx1"/>
                        </w14:solidFill>
                      </w14:textFill>
                    </w:rPr>
                    <w:t>)</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3"/>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9"/>
                      <w:sz w:val="22"/>
                      <w:szCs w:val="22"/>
                      <w14:textFill>
                        <w14:solidFill>
                          <w14:schemeClr w14:val="tx1"/>
                        </w14:solidFill>
                      </w14:textFill>
                    </w:rPr>
                    <w:t xml:space="preserve">宽 </w:t>
                  </w:r>
                  <w:r>
                    <w:rPr>
                      <w:rFonts w:ascii="Times New Roman" w:hAnsi="Times New Roman" w:eastAsia="Times New Roman" w:cs="Times New Roman"/>
                      <w:color w:val="000000" w:themeColor="text1"/>
                      <w:spacing w:val="-9"/>
                      <w:sz w:val="22"/>
                      <w:szCs w:val="22"/>
                      <w14:textFill>
                        <w14:solidFill>
                          <w14:schemeClr w14:val="tx1"/>
                        </w14:solidFill>
                      </w14:textFill>
                    </w:rPr>
                    <w:t xml:space="preserve">W </w:t>
                  </w:r>
                  <w:r>
                    <w:rPr>
                      <w:rFonts w:ascii="宋体" w:hAnsi="宋体" w:eastAsia="宋体" w:cs="宋体"/>
                      <w:color w:val="000000" w:themeColor="text1"/>
                      <w:spacing w:val="-9"/>
                      <w:sz w:val="22"/>
                      <w:szCs w:val="22"/>
                      <w14:textFill>
                        <w14:solidFill>
                          <w14:schemeClr w14:val="tx1"/>
                        </w14:solidFill>
                      </w14:textFill>
                    </w:rPr>
                    <w:t>(</w:t>
                  </w:r>
                  <w:r>
                    <w:rPr>
                      <w:rFonts w:ascii="Times New Roman" w:hAnsi="Times New Roman" w:eastAsia="Times New Roman" w:cs="Times New Roman"/>
                      <w:color w:val="000000" w:themeColor="text1"/>
                      <w:spacing w:val="-9"/>
                      <w:sz w:val="22"/>
                      <w:szCs w:val="22"/>
                      <w14:textFill>
                        <w14:solidFill>
                          <w14:schemeClr w14:val="tx1"/>
                        </w14:solidFill>
                      </w14:textFill>
                    </w:rPr>
                    <w:t>m</w:t>
                  </w:r>
                  <w:r>
                    <w:rPr>
                      <w:rFonts w:ascii="宋体" w:hAnsi="宋体" w:eastAsia="宋体" w:cs="宋体"/>
                      <w:color w:val="000000" w:themeColor="text1"/>
                      <w:spacing w:val="-9"/>
                      <w:sz w:val="22"/>
                      <w:szCs w:val="22"/>
                      <w14:textFill>
                        <w14:solidFill>
                          <w14:schemeClr w14:val="tx1"/>
                        </w14:solidFill>
                      </w14:textFill>
                    </w:rPr>
                    <w:t>)</w:t>
                  </w:r>
                </w:p>
              </w:tc>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46"/>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11"/>
                      <w:sz w:val="22"/>
                      <w:szCs w:val="22"/>
                      <w14:textFill>
                        <w14:solidFill>
                          <w14:schemeClr w14:val="tx1"/>
                        </w14:solidFill>
                      </w14:textFill>
                    </w:rPr>
                    <w:t>高</w:t>
                  </w:r>
                  <w:r>
                    <w:rPr>
                      <w:rFonts w:ascii="宋体" w:hAnsi="宋体" w:eastAsia="宋体" w:cs="宋体"/>
                      <w:color w:val="000000" w:themeColor="text1"/>
                      <w:spacing w:val="-8"/>
                      <w:sz w:val="22"/>
                      <w:szCs w:val="22"/>
                      <w14:textFill>
                        <w14:solidFill>
                          <w14:schemeClr w14:val="tx1"/>
                        </w14:solidFill>
                      </w14:textFill>
                    </w:rPr>
                    <w:t xml:space="preserve"> </w:t>
                  </w:r>
                  <w:r>
                    <w:rPr>
                      <w:rFonts w:ascii="Times New Roman" w:hAnsi="Times New Roman" w:eastAsia="Times New Roman" w:cs="Times New Roman"/>
                      <w:color w:val="000000" w:themeColor="text1"/>
                      <w:spacing w:val="-8"/>
                      <w:sz w:val="22"/>
                      <w:szCs w:val="22"/>
                      <w14:textFill>
                        <w14:solidFill>
                          <w14:schemeClr w14:val="tx1"/>
                        </w14:solidFill>
                      </w14:textFill>
                    </w:rPr>
                    <w:t xml:space="preserve">H </w:t>
                  </w:r>
                  <w:r>
                    <w:rPr>
                      <w:rFonts w:ascii="宋体" w:hAnsi="宋体" w:eastAsia="宋体" w:cs="宋体"/>
                      <w:color w:val="000000" w:themeColor="text1"/>
                      <w:spacing w:val="-8"/>
                      <w:sz w:val="22"/>
                      <w:szCs w:val="22"/>
                      <w14:textFill>
                        <w14:solidFill>
                          <w14:schemeClr w14:val="tx1"/>
                        </w14:solidFill>
                      </w14:textFill>
                    </w:rPr>
                    <w:t>(</w:t>
                  </w:r>
                  <w:r>
                    <w:rPr>
                      <w:rFonts w:ascii="Times New Roman" w:hAnsi="Times New Roman" w:eastAsia="Times New Roman" w:cs="Times New Roman"/>
                      <w:color w:val="000000" w:themeColor="text1"/>
                      <w:spacing w:val="-8"/>
                      <w:sz w:val="22"/>
                      <w:szCs w:val="22"/>
                      <w14:textFill>
                        <w14:solidFill>
                          <w14:schemeClr w14:val="tx1"/>
                        </w14:solidFill>
                      </w14:textFill>
                    </w:rPr>
                    <w:t>m</w:t>
                  </w:r>
                  <w:r>
                    <w:rPr>
                      <w:rFonts w:ascii="宋体" w:hAnsi="宋体" w:eastAsia="宋体" w:cs="宋体"/>
                      <w:color w:val="000000" w:themeColor="text1"/>
                      <w:spacing w:val="-8"/>
                      <w:sz w:val="22"/>
                      <w:szCs w:val="22"/>
                      <w14:textFill>
                        <w14:solidFill>
                          <w14:schemeClr w14:val="tx1"/>
                        </w14:solidFill>
                      </w14:textFill>
                    </w:rPr>
                    <w:t>)</w:t>
                  </w:r>
                </w:p>
              </w:tc>
              <w:tc>
                <w:tcPr>
                  <w:tcW w:w="15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2"/>
                      <w:sz w:val="22"/>
                      <w:szCs w:val="22"/>
                      <w14:textFill>
                        <w14:solidFill>
                          <w14:schemeClr w14:val="tx1"/>
                        </w14:solidFill>
                      </w14:textFill>
                    </w:rPr>
                    <w:t>双</w:t>
                  </w:r>
                  <w:r>
                    <w:rPr>
                      <w:rFonts w:ascii="宋体" w:hAnsi="宋体" w:eastAsia="宋体" w:cs="宋体"/>
                      <w:color w:val="000000" w:themeColor="text1"/>
                      <w:spacing w:val="-1"/>
                      <w:sz w:val="22"/>
                      <w:szCs w:val="22"/>
                      <w14:textFill>
                        <w14:solidFill>
                          <w14:schemeClr w14:val="tx1"/>
                        </w14:solidFill>
                      </w14:textFill>
                    </w:rPr>
                    <w:t>隔片数</w:t>
                  </w:r>
                  <w:r>
                    <w:rPr>
                      <w:rFonts w:ascii="宋体" w:hAnsi="宋体" w:eastAsia="宋体" w:cs="宋体"/>
                      <w:color w:val="000000" w:themeColor="text1"/>
                      <w:spacing w:val="28"/>
                      <w:sz w:val="22"/>
                      <w:szCs w:val="22"/>
                      <w14:textFill>
                        <w14:solidFill>
                          <w14:schemeClr w14:val="tx1"/>
                        </w14:solidFill>
                      </w14:textFill>
                    </w:rPr>
                    <w:t>(</w:t>
                  </w:r>
                  <w:r>
                    <w:rPr>
                      <w:rFonts w:ascii="宋体" w:hAnsi="宋体" w:eastAsia="宋体" w:cs="宋体"/>
                      <w:color w:val="000000" w:themeColor="text1"/>
                      <w:spacing w:val="27"/>
                      <w:sz w:val="22"/>
                      <w:szCs w:val="22"/>
                      <w14:textFill>
                        <w14:solidFill>
                          <w14:schemeClr w14:val="tx1"/>
                        </w14:solidFill>
                      </w14:textFill>
                    </w:rPr>
                    <w:t>个)</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53" w:hRule="atLeast"/>
                <w:jc w:val="center"/>
              </w:trPr>
              <w:tc>
                <w:tcPr>
                  <w:tcW w:w="73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Arial"/>
                      <w:color w:val="000000" w:themeColor="text1"/>
                      <w:sz w:val="21"/>
                      <w14:textFill>
                        <w14:solidFill>
                          <w14:schemeClr w14:val="tx1"/>
                        </w14:solidFill>
                      </w14:textFill>
                    </w:rPr>
                  </w:pPr>
                </w:p>
              </w:tc>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572" w:right="171" w:hanging="395"/>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宋体" w:hAnsi="宋体" w:eastAsia="宋体" w:cs="宋体"/>
                      <w:color w:val="000000" w:themeColor="text1"/>
                      <w:spacing w:val="-4"/>
                      <w:sz w:val="22"/>
                      <w:szCs w:val="22"/>
                      <w14:textFill>
                        <w14:solidFill>
                          <w14:schemeClr w14:val="tx1"/>
                        </w14:solidFill>
                      </w14:textFill>
                    </w:rPr>
                    <w:t>常</w:t>
                  </w:r>
                  <w:r>
                    <w:rPr>
                      <w:rFonts w:ascii="宋体" w:hAnsi="宋体" w:eastAsia="宋体" w:cs="宋体"/>
                      <w:color w:val="000000" w:themeColor="text1"/>
                      <w:spacing w:val="-3"/>
                      <w:sz w:val="22"/>
                      <w:szCs w:val="22"/>
                      <w14:textFill>
                        <w14:solidFill>
                          <w14:schemeClr w14:val="tx1"/>
                        </w14:solidFill>
                      </w14:textFill>
                    </w:rPr>
                    <w:t>用</w:t>
                  </w:r>
                  <w:r>
                    <w:rPr>
                      <w:rFonts w:ascii="宋体" w:hAnsi="宋体" w:eastAsia="宋体" w:cs="宋体"/>
                      <w:color w:val="000000" w:themeColor="text1"/>
                      <w:spacing w:val="-2"/>
                      <w:sz w:val="22"/>
                      <w:szCs w:val="22"/>
                      <w14:textFill>
                        <w14:solidFill>
                          <w14:schemeClr w14:val="tx1"/>
                        </w14:solidFill>
                      </w14:textFill>
                    </w:rPr>
                    <w:t>型号</w:t>
                  </w:r>
                  <w:r>
                    <w:rPr>
                      <w:rFonts w:ascii="Times New Roman" w:hAnsi="Times New Roman" w:eastAsia="Times New Roman" w:cs="Times New Roman"/>
                      <w:color w:val="000000" w:themeColor="text1"/>
                      <w:sz w:val="22"/>
                      <w:szCs w:val="22"/>
                      <w14:textFill>
                        <w14:solidFill>
                          <w14:schemeClr w14:val="tx1"/>
                        </w14:solidFill>
                      </w14:textFill>
                    </w:rPr>
                    <w:t>1</w:t>
                  </w:r>
                </w:p>
              </w:tc>
              <w:tc>
                <w:tcPr>
                  <w:tcW w:w="13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600"/>
                    <w:jc w:val="both"/>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3</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600"/>
                    <w:jc w:val="both"/>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2</w:t>
                  </w:r>
                </w:p>
              </w:tc>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524"/>
                    <w:jc w:val="both"/>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2"/>
                      <w:sz w:val="22"/>
                      <w:szCs w:val="22"/>
                      <w14:textFill>
                        <w14:solidFill>
                          <w14:schemeClr w14:val="tx1"/>
                        </w14:solidFill>
                      </w14:textFill>
                    </w:rPr>
                    <w:t>0.</w:t>
                  </w:r>
                  <w:r>
                    <w:rPr>
                      <w:rFonts w:ascii="Times New Roman" w:hAnsi="Times New Roman" w:eastAsia="Times New Roman" w:cs="Times New Roman"/>
                      <w:color w:val="000000" w:themeColor="text1"/>
                      <w:spacing w:val="-1"/>
                      <w:sz w:val="22"/>
                      <w:szCs w:val="22"/>
                      <w14:textFill>
                        <w14:solidFill>
                          <w14:schemeClr w14:val="tx1"/>
                        </w14:solidFill>
                      </w14:textFill>
                    </w:rPr>
                    <w:t>4</w:t>
                  </w:r>
                </w:p>
              </w:tc>
              <w:tc>
                <w:tcPr>
                  <w:tcW w:w="15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618"/>
                    <w:jc w:val="both"/>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z w:val="22"/>
                      <w:szCs w:val="22"/>
                      <w14:textFill>
                        <w14:solidFill>
                          <w14:schemeClr w14:val="tx1"/>
                        </w14:solidFill>
                      </w14:textFill>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28" w:hRule="atLeast"/>
                <w:jc w:val="center"/>
              </w:trPr>
              <w:tc>
                <w:tcPr>
                  <w:tcW w:w="73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Arial"/>
                      <w:color w:val="000000" w:themeColor="text1"/>
                      <w:sz w:val="21"/>
                      <w14:textFill>
                        <w14:solidFill>
                          <w14:schemeClr w14:val="tx1"/>
                        </w14:solidFill>
                      </w14:textFill>
                    </w:rPr>
                  </w:pPr>
                </w:p>
              </w:tc>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79"/>
                    <w:jc w:val="center"/>
                    <w:textAlignment w:val="auto"/>
                    <w:rPr>
                      <w:rFonts w:ascii="宋体" w:hAnsi="宋体" w:eastAsia="宋体" w:cs="宋体"/>
                      <w:color w:val="000000" w:themeColor="text1"/>
                      <w:sz w:val="22"/>
                      <w:szCs w:val="22"/>
                      <w14:textFill>
                        <w14:solidFill>
                          <w14:schemeClr w14:val="tx1"/>
                        </w14:solidFill>
                      </w14:textFill>
                    </w:rPr>
                  </w:pPr>
                  <w:r>
                    <w:rPr>
                      <w:rFonts w:ascii="宋体" w:hAnsi="宋体" w:eastAsia="宋体" w:cs="宋体"/>
                      <w:color w:val="000000" w:themeColor="text1"/>
                      <w:spacing w:val="-4"/>
                      <w:sz w:val="22"/>
                      <w:szCs w:val="22"/>
                      <w14:textFill>
                        <w14:solidFill>
                          <w14:schemeClr w14:val="tx1"/>
                        </w14:solidFill>
                      </w14:textFill>
                    </w:rPr>
                    <w:t>允</w:t>
                  </w:r>
                  <w:r>
                    <w:rPr>
                      <w:rFonts w:ascii="宋体" w:hAnsi="宋体" w:eastAsia="宋体" w:cs="宋体"/>
                      <w:color w:val="000000" w:themeColor="text1"/>
                      <w:spacing w:val="-2"/>
                      <w:sz w:val="22"/>
                      <w:szCs w:val="22"/>
                      <w14:textFill>
                        <w14:solidFill>
                          <w14:schemeClr w14:val="tx1"/>
                        </w14:solidFill>
                      </w14:textFill>
                    </w:rPr>
                    <w:t>许公差</w:t>
                  </w:r>
                </w:p>
              </w:tc>
              <w:tc>
                <w:tcPr>
                  <w:tcW w:w="13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38"/>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2"/>
                      <w:sz w:val="22"/>
                      <w:szCs w:val="22"/>
                      <w14:textFill>
                        <w14:solidFill>
                          <w14:schemeClr w14:val="tx1"/>
                        </w14:solidFill>
                      </w14:textFill>
                    </w:rPr>
                    <w:t>±</w:t>
                  </w:r>
                  <w:r>
                    <w:rPr>
                      <w:rFonts w:ascii="Times New Roman" w:hAnsi="Times New Roman" w:eastAsia="Times New Roman" w:cs="Times New Roman"/>
                      <w:color w:val="000000" w:themeColor="text1"/>
                      <w:spacing w:val="10"/>
                      <w:sz w:val="22"/>
                      <w:szCs w:val="22"/>
                      <w14:textFill>
                        <w14:solidFill>
                          <w14:schemeClr w14:val="tx1"/>
                        </w14:solidFill>
                      </w14:textFill>
                    </w:rPr>
                    <w:t>5%</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42"/>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2"/>
                      <w:sz w:val="22"/>
                      <w:szCs w:val="22"/>
                      <w14:textFill>
                        <w14:solidFill>
                          <w14:schemeClr w14:val="tx1"/>
                        </w14:solidFill>
                      </w14:textFill>
                    </w:rPr>
                    <w:t>±</w:t>
                  </w:r>
                  <w:r>
                    <w:rPr>
                      <w:rFonts w:ascii="Times New Roman" w:hAnsi="Times New Roman" w:eastAsia="Times New Roman" w:cs="Times New Roman"/>
                      <w:color w:val="000000" w:themeColor="text1"/>
                      <w:spacing w:val="10"/>
                      <w:sz w:val="22"/>
                      <w:szCs w:val="22"/>
                      <w14:textFill>
                        <w14:solidFill>
                          <w14:schemeClr w14:val="tx1"/>
                        </w14:solidFill>
                      </w14:textFill>
                    </w:rPr>
                    <w:t>5%</w:t>
                  </w:r>
                </w:p>
              </w:tc>
              <w:tc>
                <w:tcPr>
                  <w:tcW w:w="1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47"/>
                    <w:jc w:val="center"/>
                    <w:textAlignment w:val="auto"/>
                    <w:rPr>
                      <w:rFonts w:ascii="Times New Roman" w:hAnsi="Times New Roman" w:eastAsia="Times New Roman" w:cs="Times New Roman"/>
                      <w:color w:val="000000" w:themeColor="text1"/>
                      <w:sz w:val="22"/>
                      <w:szCs w:val="22"/>
                      <w14:textFill>
                        <w14:solidFill>
                          <w14:schemeClr w14:val="tx1"/>
                        </w14:solidFill>
                      </w14:textFill>
                    </w:rPr>
                  </w:pPr>
                  <w:r>
                    <w:rPr>
                      <w:rFonts w:ascii="Times New Roman" w:hAnsi="Times New Roman" w:eastAsia="Times New Roman" w:cs="Times New Roman"/>
                      <w:color w:val="000000" w:themeColor="text1"/>
                      <w:spacing w:val="12"/>
                      <w:sz w:val="22"/>
                      <w:szCs w:val="22"/>
                      <w14:textFill>
                        <w14:solidFill>
                          <w14:schemeClr w14:val="tx1"/>
                        </w14:solidFill>
                      </w14:textFill>
                    </w:rPr>
                    <w:t>±</w:t>
                  </w:r>
                  <w:r>
                    <w:rPr>
                      <w:rFonts w:ascii="Times New Roman" w:hAnsi="Times New Roman" w:eastAsia="Times New Roman" w:cs="Times New Roman"/>
                      <w:color w:val="000000" w:themeColor="text1"/>
                      <w:spacing w:val="10"/>
                      <w:sz w:val="22"/>
                      <w:szCs w:val="22"/>
                      <w14:textFill>
                        <w14:solidFill>
                          <w14:schemeClr w14:val="tx1"/>
                        </w14:solidFill>
                      </w14:textFill>
                    </w:rPr>
                    <w:t>5%</w:t>
                  </w:r>
                </w:p>
              </w:tc>
              <w:tc>
                <w:tcPr>
                  <w:tcW w:w="15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Arial"/>
                      <w:color w:val="000000" w:themeColor="text1"/>
                      <w:sz w:val="21"/>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钢丝技术指标：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1)固宾笼钢丝采用低碳钢丝， 钢丝材质应符合现行国家标准《碳素结构钢》GB/T700规定。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2)选用-10%铝一锌合金钢丝， 经机器编织成的六边形双绞合钢丝网，固宾笼孔为80mm×l00。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3)抗张强度应在350-550N/mm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之间。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4) 覆塑前钢丝延伸率不能低于8%，实验必须用不短于25cm的样品做； 以上用于检测的钢丝必须从原材料中取样。钢丝直径公差及镀层重量符合下表要求。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contextualSpacing/>
              <w:jc w:val="center"/>
              <w:textAlignment w:val="auto"/>
              <w:rPr>
                <w:rFonts w:hint="default" w:eastAsia="宋体" w:cs="宋体"/>
                <w:b/>
                <w:bCs/>
                <w:color w:val="000000" w:themeColor="text1"/>
                <w:sz w:val="21"/>
                <w:szCs w:val="21"/>
                <w:lang w:val="en-US" w:eastAsia="zh-CN"/>
                <w14:textFill>
                  <w14:solidFill>
                    <w14:schemeClr w14:val="tx1"/>
                  </w14:solidFill>
                </w14:textFill>
              </w:rPr>
            </w:pPr>
            <w:r>
              <w:rPr>
                <w:rFonts w:hint="default" w:eastAsia="宋体" w:cs="宋体"/>
                <w:b/>
                <w:bCs/>
                <w:color w:val="000000" w:themeColor="text1"/>
                <w:sz w:val="21"/>
                <w:szCs w:val="21"/>
                <w:lang w:val="en-US" w:eastAsia="zh-CN"/>
                <w14:textFill>
                  <w14:solidFill>
                    <w14:schemeClr w14:val="tx1"/>
                  </w14:solidFill>
                </w14:textFill>
              </w:rPr>
              <w:t>表</w:t>
            </w:r>
            <w:r>
              <w:rPr>
                <w:rFonts w:hint="eastAsia" w:eastAsia="宋体" w:cs="宋体"/>
                <w:b/>
                <w:bCs/>
                <w:color w:val="000000" w:themeColor="text1"/>
                <w:sz w:val="21"/>
                <w:szCs w:val="21"/>
                <w:lang w:val="en-US" w:eastAsia="zh-CN"/>
                <w14:textFill>
                  <w14:solidFill>
                    <w14:schemeClr w14:val="tx1"/>
                  </w14:solidFill>
                </w14:textFill>
              </w:rPr>
              <w:t>2-6</w:t>
            </w:r>
            <w:r>
              <w:rPr>
                <w:rFonts w:hint="default" w:eastAsia="宋体" w:cs="宋体"/>
                <w:b/>
                <w:bCs/>
                <w:color w:val="000000" w:themeColor="text1"/>
                <w:sz w:val="21"/>
                <w:szCs w:val="21"/>
                <w:lang w:val="en-US" w:eastAsia="zh-CN"/>
                <w14:textFill>
                  <w14:solidFill>
                    <w14:schemeClr w14:val="tx1"/>
                  </w14:solidFill>
                </w14:textFill>
              </w:rPr>
              <w:t xml:space="preserve">            钢丝直径公差及最低镀层重量表</w:t>
            </w:r>
          </w:p>
          <w:tbl>
            <w:tblPr>
              <w:tblStyle w:val="59"/>
              <w:tblW w:w="783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2424"/>
              <w:gridCol w:w="1822"/>
              <w:gridCol w:w="1824"/>
              <w:gridCol w:w="1767"/>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32" w:hRule="atLeast"/>
                <w:jc w:val="center"/>
              </w:trPr>
              <w:tc>
                <w:tcPr>
                  <w:tcW w:w="2424" w:type="dxa"/>
                  <w:tcBorders>
                    <w:tl2br w:val="nil"/>
                    <w:tr2bl w:val="nil"/>
                  </w:tcBorders>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822" w:type="dxa"/>
                  <w:tcBorders>
                    <w:tl2br w:val="nil"/>
                    <w:tr2bl w:val="nil"/>
                  </w:tcBorders>
                  <w:vAlign w:val="center"/>
                </w:tcPr>
                <w:p>
                  <w:pPr>
                    <w:spacing w:before="144" w:line="222" w:lineRule="auto"/>
                    <w:ind w:left="58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网</w:t>
                  </w:r>
                  <w:r>
                    <w:rPr>
                      <w:rFonts w:hint="default" w:ascii="Times New Roman" w:hAnsi="Times New Roman" w:eastAsia="宋体" w:cs="Times New Roman"/>
                      <w:color w:val="000000" w:themeColor="text1"/>
                      <w:spacing w:val="-5"/>
                      <w:sz w:val="21"/>
                      <w:szCs w:val="21"/>
                      <w14:textFill>
                        <w14:solidFill>
                          <w14:schemeClr w14:val="tx1"/>
                        </w14:solidFill>
                      </w14:textFill>
                    </w:rPr>
                    <w:t>面钢丝</w:t>
                  </w:r>
                </w:p>
              </w:tc>
              <w:tc>
                <w:tcPr>
                  <w:tcW w:w="1824" w:type="dxa"/>
                  <w:tcBorders>
                    <w:tl2br w:val="nil"/>
                    <w:tr2bl w:val="nil"/>
                  </w:tcBorders>
                  <w:vAlign w:val="center"/>
                </w:tcPr>
                <w:p>
                  <w:pPr>
                    <w:spacing w:before="144" w:line="221" w:lineRule="auto"/>
                    <w:ind w:left="57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边端钢丝</w:t>
                  </w:r>
                </w:p>
              </w:tc>
              <w:tc>
                <w:tcPr>
                  <w:tcW w:w="1767" w:type="dxa"/>
                  <w:tcBorders>
                    <w:tl2br w:val="nil"/>
                    <w:tr2bl w:val="nil"/>
                  </w:tcBorders>
                  <w:vAlign w:val="center"/>
                </w:tcPr>
                <w:p>
                  <w:pPr>
                    <w:spacing w:before="145" w:line="221" w:lineRule="auto"/>
                    <w:ind w:left="54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绑扎钢</w:t>
                  </w:r>
                  <w:r>
                    <w:rPr>
                      <w:rFonts w:hint="default" w:ascii="Times New Roman" w:hAnsi="Times New Roman" w:eastAsia="宋体" w:cs="Times New Roman"/>
                      <w:color w:val="000000" w:themeColor="text1"/>
                      <w:spacing w:val="-1"/>
                      <w:sz w:val="21"/>
                      <w:szCs w:val="21"/>
                      <w14:textFill>
                        <w14:solidFill>
                          <w14:schemeClr w14:val="tx1"/>
                        </w14:solidFill>
                      </w14:textFill>
                    </w:rPr>
                    <w:t>丝</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7" w:hRule="atLeast"/>
                <w:jc w:val="center"/>
              </w:trPr>
              <w:tc>
                <w:tcPr>
                  <w:tcW w:w="2424" w:type="dxa"/>
                  <w:tcBorders>
                    <w:tl2br w:val="nil"/>
                    <w:tr2bl w:val="nil"/>
                  </w:tcBorders>
                  <w:vAlign w:val="center"/>
                </w:tcPr>
                <w:p>
                  <w:pPr>
                    <w:spacing w:before="124" w:line="234" w:lineRule="auto"/>
                    <w:ind w:left="69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钢</w:t>
                  </w:r>
                  <w:r>
                    <w:rPr>
                      <w:rFonts w:hint="default" w:ascii="Times New Roman" w:hAnsi="Times New Roman" w:eastAsia="宋体" w:cs="Times New Roman"/>
                      <w:color w:val="000000" w:themeColor="text1"/>
                      <w:spacing w:val="-8"/>
                      <w:sz w:val="21"/>
                      <w:szCs w:val="21"/>
                      <w14:textFill>
                        <w14:solidFill>
                          <w14:schemeClr w14:val="tx1"/>
                        </w14:solidFill>
                      </w14:textFill>
                    </w:rPr>
                    <w:t>丝直径 mm</w:t>
                  </w:r>
                </w:p>
              </w:tc>
              <w:tc>
                <w:tcPr>
                  <w:tcW w:w="1822" w:type="dxa"/>
                  <w:tcBorders>
                    <w:tl2br w:val="nil"/>
                    <w:tr2bl w:val="nil"/>
                  </w:tcBorders>
                  <w:vAlign w:val="center"/>
                </w:tcPr>
                <w:p>
                  <w:pPr>
                    <w:spacing w:before="155" w:line="187" w:lineRule="auto"/>
                    <w:ind w:left="85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1824" w:type="dxa"/>
                  <w:tcBorders>
                    <w:tl2br w:val="nil"/>
                    <w:tr2bl w:val="nil"/>
                  </w:tcBorders>
                  <w:vAlign w:val="center"/>
                </w:tcPr>
                <w:p>
                  <w:pPr>
                    <w:spacing w:before="155" w:line="187" w:lineRule="auto"/>
                    <w:ind w:left="86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3.</w:t>
                  </w:r>
                  <w:r>
                    <w:rPr>
                      <w:rFonts w:hint="default" w:ascii="Times New Roman" w:hAnsi="Times New Roman" w:eastAsia="宋体" w:cs="Times New Roman"/>
                      <w:color w:val="000000" w:themeColor="text1"/>
                      <w:spacing w:val="-1"/>
                      <w:sz w:val="21"/>
                      <w:szCs w:val="21"/>
                      <w14:textFill>
                        <w14:solidFill>
                          <w14:schemeClr w14:val="tx1"/>
                        </w14:solidFill>
                      </w14:textFill>
                    </w:rPr>
                    <w:t>4</w:t>
                  </w:r>
                </w:p>
              </w:tc>
              <w:tc>
                <w:tcPr>
                  <w:tcW w:w="1767" w:type="dxa"/>
                  <w:tcBorders>
                    <w:tl2br w:val="nil"/>
                    <w:tr2bl w:val="nil"/>
                  </w:tcBorders>
                  <w:vAlign w:val="center"/>
                </w:tcPr>
                <w:p>
                  <w:pPr>
                    <w:spacing w:before="155" w:line="187" w:lineRule="auto"/>
                    <w:ind w:left="83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9" w:hRule="atLeast"/>
                <w:jc w:val="center"/>
              </w:trPr>
              <w:tc>
                <w:tcPr>
                  <w:tcW w:w="2424" w:type="dxa"/>
                  <w:tcBorders>
                    <w:tl2br w:val="nil"/>
                    <w:tr2bl w:val="nil"/>
                  </w:tcBorders>
                  <w:vAlign w:val="center"/>
                </w:tcPr>
                <w:p>
                  <w:pPr>
                    <w:spacing w:before="126" w:line="234" w:lineRule="auto"/>
                    <w:ind w:left="16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1"/>
                      <w:sz w:val="21"/>
                      <w:szCs w:val="21"/>
                      <w14:textFill>
                        <w14:solidFill>
                          <w14:schemeClr w14:val="tx1"/>
                        </w14:solidFill>
                      </w14:textFill>
                    </w:rPr>
                    <w:t>钢</w:t>
                  </w:r>
                  <w:r>
                    <w:rPr>
                      <w:rFonts w:hint="default" w:ascii="Times New Roman" w:hAnsi="Times New Roman" w:eastAsia="宋体" w:cs="Times New Roman"/>
                      <w:color w:val="000000" w:themeColor="text1"/>
                      <w:spacing w:val="9"/>
                      <w:sz w:val="21"/>
                      <w:szCs w:val="21"/>
                      <w14:textFill>
                        <w14:solidFill>
                          <w14:schemeClr w14:val="tx1"/>
                        </w14:solidFill>
                      </w14:textFill>
                    </w:rPr>
                    <w:t>丝直径公差(±) Φ</w:t>
                  </w:r>
                  <w:r>
                    <w:rPr>
                      <w:rFonts w:hint="default" w:ascii="Times New Roman" w:hAnsi="Times New Roman" w:eastAsia="宋体" w:cs="Times New Roman"/>
                      <w:color w:val="000000" w:themeColor="text1"/>
                      <w:sz w:val="21"/>
                      <w:szCs w:val="21"/>
                      <w14:textFill>
                        <w14:solidFill>
                          <w14:schemeClr w14:val="tx1"/>
                        </w14:solidFill>
                      </w14:textFill>
                    </w:rPr>
                    <w:t>mm</w:t>
                  </w:r>
                </w:p>
              </w:tc>
              <w:tc>
                <w:tcPr>
                  <w:tcW w:w="1822" w:type="dxa"/>
                  <w:tcBorders>
                    <w:tl2br w:val="nil"/>
                    <w:tr2bl w:val="nil"/>
                  </w:tcBorders>
                  <w:vAlign w:val="center"/>
                </w:tcPr>
                <w:p>
                  <w:pPr>
                    <w:spacing w:before="159" w:line="187" w:lineRule="auto"/>
                    <w:ind w:left="807"/>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0.06</w:t>
                  </w:r>
                </w:p>
              </w:tc>
              <w:tc>
                <w:tcPr>
                  <w:tcW w:w="1824" w:type="dxa"/>
                  <w:tcBorders>
                    <w:tl2br w:val="nil"/>
                    <w:tr2bl w:val="nil"/>
                  </w:tcBorders>
                  <w:vAlign w:val="center"/>
                </w:tcPr>
                <w:p>
                  <w:pPr>
                    <w:spacing w:before="159" w:line="187" w:lineRule="auto"/>
                    <w:ind w:left="81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0.07</w:t>
                  </w:r>
                </w:p>
              </w:tc>
              <w:tc>
                <w:tcPr>
                  <w:tcW w:w="1767" w:type="dxa"/>
                  <w:tcBorders>
                    <w:tl2br w:val="nil"/>
                    <w:tr2bl w:val="nil"/>
                  </w:tcBorders>
                  <w:vAlign w:val="center"/>
                </w:tcPr>
                <w:p>
                  <w:pPr>
                    <w:spacing w:before="159" w:line="187" w:lineRule="auto"/>
                    <w:ind w:left="7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0.05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8" w:hRule="atLeast"/>
                <w:jc w:val="center"/>
              </w:trPr>
              <w:tc>
                <w:tcPr>
                  <w:tcW w:w="2424" w:type="dxa"/>
                  <w:tcBorders>
                    <w:tl2br w:val="nil"/>
                    <w:tr2bl w:val="nil"/>
                  </w:tcBorders>
                  <w:vAlign w:val="center"/>
                </w:tcPr>
                <w:p>
                  <w:pPr>
                    <w:spacing w:before="125" w:line="234" w:lineRule="auto"/>
                    <w:ind w:left="38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覆塑层最小厚度 m</w:t>
                  </w:r>
                  <w:r>
                    <w:rPr>
                      <w:rFonts w:hint="default" w:ascii="Times New Roman" w:hAnsi="Times New Roman" w:eastAsia="宋体" w:cs="Times New Roman"/>
                      <w:color w:val="000000" w:themeColor="text1"/>
                      <w:spacing w:val="-5"/>
                      <w:sz w:val="21"/>
                      <w:szCs w:val="21"/>
                      <w14:textFill>
                        <w14:solidFill>
                          <w14:schemeClr w14:val="tx1"/>
                        </w14:solidFill>
                      </w14:textFill>
                    </w:rPr>
                    <w:t>m</w:t>
                  </w:r>
                </w:p>
              </w:tc>
              <w:tc>
                <w:tcPr>
                  <w:tcW w:w="1822" w:type="dxa"/>
                  <w:tcBorders>
                    <w:tl2br w:val="nil"/>
                    <w:tr2bl w:val="nil"/>
                  </w:tcBorders>
                  <w:vAlign w:val="center"/>
                </w:tcPr>
                <w:p>
                  <w:pPr>
                    <w:spacing w:before="157" w:line="187" w:lineRule="auto"/>
                    <w:ind w:left="85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w:t>
                  </w:r>
                  <w:r>
                    <w:rPr>
                      <w:rFonts w:hint="default" w:ascii="Times New Roman" w:hAnsi="Times New Roman" w:eastAsia="宋体" w:cs="Times New Roman"/>
                      <w:color w:val="000000" w:themeColor="text1"/>
                      <w:spacing w:val="-1"/>
                      <w:sz w:val="21"/>
                      <w:szCs w:val="21"/>
                      <w14:textFill>
                        <w14:solidFill>
                          <w14:schemeClr w14:val="tx1"/>
                        </w14:solidFill>
                      </w14:textFill>
                    </w:rPr>
                    <w:t>.5</w:t>
                  </w:r>
                </w:p>
              </w:tc>
              <w:tc>
                <w:tcPr>
                  <w:tcW w:w="1824" w:type="dxa"/>
                  <w:tcBorders>
                    <w:tl2br w:val="nil"/>
                    <w:tr2bl w:val="nil"/>
                  </w:tcBorders>
                  <w:vAlign w:val="center"/>
                </w:tcPr>
                <w:p>
                  <w:pPr>
                    <w:spacing w:before="157" w:line="187" w:lineRule="auto"/>
                    <w:ind w:left="86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w:t>
                  </w:r>
                  <w:r>
                    <w:rPr>
                      <w:rFonts w:hint="default" w:ascii="Times New Roman" w:hAnsi="Times New Roman" w:eastAsia="宋体" w:cs="Times New Roman"/>
                      <w:color w:val="000000" w:themeColor="text1"/>
                      <w:spacing w:val="-1"/>
                      <w:sz w:val="21"/>
                      <w:szCs w:val="21"/>
                      <w14:textFill>
                        <w14:solidFill>
                          <w14:schemeClr w14:val="tx1"/>
                        </w14:solidFill>
                      </w14:textFill>
                    </w:rPr>
                    <w:t>.5</w:t>
                  </w:r>
                </w:p>
              </w:tc>
              <w:tc>
                <w:tcPr>
                  <w:tcW w:w="1767" w:type="dxa"/>
                  <w:tcBorders>
                    <w:tl2br w:val="nil"/>
                    <w:tr2bl w:val="nil"/>
                  </w:tcBorders>
                  <w:vAlign w:val="center"/>
                </w:tcPr>
                <w:p>
                  <w:pPr>
                    <w:spacing w:before="157" w:line="187" w:lineRule="auto"/>
                    <w:ind w:left="833"/>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w:t>
                  </w:r>
                  <w:r>
                    <w:rPr>
                      <w:rFonts w:hint="default" w:ascii="Times New Roman" w:hAnsi="Times New Roman" w:eastAsia="宋体" w:cs="Times New Roman"/>
                      <w:color w:val="000000" w:themeColor="text1"/>
                      <w:spacing w:val="-1"/>
                      <w:sz w:val="21"/>
                      <w:szCs w:val="21"/>
                      <w14:textFill>
                        <w14:solidFill>
                          <w14:schemeClr w14:val="tx1"/>
                        </w14:solidFill>
                      </w14:textFill>
                    </w:rPr>
                    <w:t>.5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14" w:hRule="atLeast"/>
                <w:jc w:val="center"/>
              </w:trPr>
              <w:tc>
                <w:tcPr>
                  <w:tcW w:w="2424" w:type="dxa"/>
                  <w:tcBorders>
                    <w:tl2br w:val="nil"/>
                    <w:tr2bl w:val="nil"/>
                  </w:tcBorders>
                  <w:vAlign w:val="center"/>
                </w:tcPr>
                <w:p>
                  <w:pPr>
                    <w:spacing w:before="127" w:line="213" w:lineRule="auto"/>
                    <w:ind w:left="56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最</w:t>
                  </w:r>
                  <w:r>
                    <w:rPr>
                      <w:rFonts w:hint="default" w:ascii="Times New Roman" w:hAnsi="Times New Roman" w:eastAsia="宋体" w:cs="Times New Roman"/>
                      <w:color w:val="000000" w:themeColor="text1"/>
                      <w:spacing w:val="4"/>
                      <w:sz w:val="21"/>
                      <w:szCs w:val="21"/>
                      <w14:textFill>
                        <w14:solidFill>
                          <w14:schemeClr w14:val="tx1"/>
                        </w14:solidFill>
                      </w14:textFill>
                    </w:rPr>
                    <w:t xml:space="preserve">小镀层量 </w:t>
                  </w:r>
                  <w:r>
                    <w:rPr>
                      <w:rFonts w:hint="default" w:ascii="Times New Roman" w:hAnsi="Times New Roman" w:eastAsia="宋体" w:cs="Times New Roman"/>
                      <w:color w:val="000000" w:themeColor="text1"/>
                      <w:sz w:val="21"/>
                      <w:szCs w:val="21"/>
                      <w14:textFill>
                        <w14:solidFill>
                          <w14:schemeClr w14:val="tx1"/>
                        </w14:solidFill>
                      </w14:textFill>
                    </w:rPr>
                    <w:t>g</w:t>
                  </w:r>
                  <w:r>
                    <w:rPr>
                      <w:rFonts w:hint="default" w:ascii="Times New Roman" w:hAnsi="Times New Roman" w:eastAsia="宋体" w:cs="Times New Roman"/>
                      <w:color w:val="000000" w:themeColor="text1"/>
                      <w:spacing w:val="4"/>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pacing w:val="4"/>
                      <w:sz w:val="21"/>
                      <w:szCs w:val="21"/>
                      <w14:textFill>
                        <w14:solidFill>
                          <w14:schemeClr w14:val="tx1"/>
                        </w14:solidFill>
                      </w14:textFill>
                    </w:rPr>
                    <w:t>²</w:t>
                  </w:r>
                </w:p>
              </w:tc>
              <w:tc>
                <w:tcPr>
                  <w:tcW w:w="1822" w:type="dxa"/>
                  <w:tcBorders>
                    <w:tl2br w:val="nil"/>
                    <w:tr2bl w:val="nil"/>
                  </w:tcBorders>
                  <w:vAlign w:val="center"/>
                </w:tcPr>
                <w:p>
                  <w:pPr>
                    <w:spacing w:before="160" w:line="187" w:lineRule="auto"/>
                    <w:ind w:left="83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24</w:t>
                  </w: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824" w:type="dxa"/>
                  <w:tcBorders>
                    <w:tl2br w:val="nil"/>
                    <w:tr2bl w:val="nil"/>
                  </w:tcBorders>
                  <w:vAlign w:val="center"/>
                </w:tcPr>
                <w:p>
                  <w:pPr>
                    <w:spacing w:before="160" w:line="187" w:lineRule="auto"/>
                    <w:ind w:left="83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26</w:t>
                  </w: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767" w:type="dxa"/>
                  <w:tcBorders>
                    <w:tl2br w:val="nil"/>
                    <w:tr2bl w:val="nil"/>
                  </w:tcBorders>
                  <w:vAlign w:val="center"/>
                </w:tcPr>
                <w:p>
                  <w:pPr>
                    <w:spacing w:before="160" w:line="187" w:lineRule="auto"/>
                    <w:ind w:left="8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23</w:t>
                  </w:r>
                  <w:r>
                    <w:rPr>
                      <w:rFonts w:hint="default" w:ascii="Times New Roman" w:hAnsi="Times New Roman" w:eastAsia="宋体" w:cs="Times New Roman"/>
                      <w:color w:val="000000" w:themeColor="text1"/>
                      <w:sz w:val="21"/>
                      <w:szCs w:val="21"/>
                      <w14:textFill>
                        <w14:solidFill>
                          <w14:schemeClr w14:val="tx1"/>
                        </w14:solidFill>
                      </w14:textFill>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5)镀10%铝锌合金层附着力检验采用缠绕试验方法，并应达到如下标准，当镀10%铝锌合金钢丝绕相当于自身直径2倍的芯轴紧密缠绕6圈时，用手指摩擦钢丝，其镀层不会剥落或开裂。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6)网面裁剪后末端与端丝的联接处是整个结构的薄弱环节，为加强网面与端熊的连接强度，需采用专业的翻边机将网面钢丝缠绕在端丝上&gt;2.5圈，不能采用手工绞，翻边强度35KN/m，格宾供货单位需提供由中国国家认证认可监督管理委员会认证的检测单位出具的网面翻边强度检测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7)绑扎钢丝必须采用与网面钢丝一样材质的钢丝，为保证联接强度需严格按照间隔10~15cm单圈一双圈交替绞合。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8)为防止河道垃圾易挂在固宾笼上影响环境，要求绑扎钢丝端头全部朝下或做特殊处理。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覆塑指标：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1)PVC护膜厚度应为0.6mm。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2)PVC原材料的密度应为1.35kg/m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及以上。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3)PVC原材料的邵氏D硬度应为38及以上。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4)PVC原材料的脆化温度的测试应按现行国家标准《硫化橡胶低温脆性的测定单试方法》GB/T1682执行，脆化温度不应高于一9℃。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5)PVC原材料的抗拉强度和断裂伸长率的测试应按现行国家标准《塑料拉伸性能的测定第1部分：总则》GB/T1040.1执行，抗拉强度不应低于20.6MPa，断裂伸长率不应小于180%。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6)PVC原材料的弹性模量包括拉伸弹性模量和弯曲弹性模量，其测试应按现行行业标准《塑料拉伸和弯曲弹性模量试验方法》JB/T6544执行，弹性模量不应低于18.6MPa。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7)PVC原材料的抗磨损性能测试应按现行国家标准《塑料滑动摩擦磨损试验方法》GB3960执行。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8)PVC原材料的性能和耐盐雾性能和抗老化性应满足以下要3000h盐雾曝光和紫外线曝光型式试验后，PVC性能变化要求应控制在以下范围：密度变化不超过6%，邵氏硬度变化不超过25%，抗拉强度变化不超过25%，耐磨损性变化不超过10%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9) PVC材料经抗紫外线3000h试验后，密度变化率不应大于6%，抗拉强度变化率不应大于25%，邵氏硬度变化率应不大于25%，质量磨损率应小于10%。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②施工工艺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一般规定：</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79" w:leftChars="228" w:right="0" w:rightChars="0" w:firstLine="0" w:firstLineChars="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 xml:space="preserve">施工前施工人员应熟悉设计文件，做好现场材料核查。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2)根据调查资料、设计文件和工期要求， 做好实施性施工组织设计。其内容一般包括施工工艺，主要工程量，开工、完工日期，需要劳力，机械设备，运输车辆</w:t>
            </w:r>
            <w:r>
              <w:rPr>
                <w:rFonts w:hint="eastAsia" w:ascii="Times New Roman" w:hAnsi="Times New Roman"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主要工程数量，临时工程和现场布置等。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3)现场如遇较差的地基土质时，应另作地基处理，处理后的地基承载力必须符合设计要求。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施工要点：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1)组装格宾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a、此过程要在一块平整、坚硬的场地上开展作业，选择场地时请注意既要方便格宾护坡的组装、储存和搬运，又要不影响现场其它作业内容的实施。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b、打开成捆包装的格宾护坡，取出一个产品单元，采取两人一组的方式： 首先展开一个折叠的网面，由一人一端辅助牵引、一人用脚向前、向下用力踩踏的方式或钳子拉校正弯曲变形的部份，然后、依次顺折痕方向分步开展。此步骤目的是：a．展开格宾护坡的打包折叠弯曲部分；b．校正由于运输装卸过程中操作不当所产生的变形部分。应注意避免损失笼体和网丝表面的保护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c、立起各隔板及相邻的边板以及两端端板，将端板和隔板网面两端的边缘 钢丝延长段固定在两边边板的边缘钢丝上，并进行点扎。此过程要确保格宾护坡上部边缘在同一水平面上，所有隔板、边板及端板均应垂直于底部网面，且4个端角为直角。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d、绞合时注意按每间隔10~15cm双圈一单圈一双圈交替进行绞合。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e、隔板绞合时注意沿一条竖直线绞合，而且绞合后的隔板是在同一竖直面上。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f、用于转弯的格宾，绞合时前面板不绞合，折放到底板下，并用钢丝稍微绞几个点</w:t>
            </w:r>
            <w:r>
              <w:rPr>
                <w:rFonts w:hint="eastAsia" w:ascii="Times New Roman" w:hAnsi="Times New Roman"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方便移动安装。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g、组装格宾护坡的原则：形状规则、绞合牢固、所有竖直面板上边缘在同 一水平面上并且确倮盖板边缘能够与面板上端水平边缘绞合。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2)格宾护坡的摆放、联接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a、进行格宾护坡摆放操作前，先检验坡比是否符合设计要求，再放线确定出格宾护坡摆放的位置。将组装好的格宾护坡按照一定的要求紧密整齐地摆放在恰当的位置上；摆放时应面对面、背对背，便于石料填充、盖板绞合及节约钢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b、摆放时格宾护坡用于坡面防护时隔板要平行于水流方向，用于护脚时隔 板垂直于水流方向。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c、格宾用于转弯地段时，可以通过裁剪或套接格宾护坡单元的方法进行处理。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3)填充石料施工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a、石料根据当地实际情况，可选择卵石、片石或块石， 空隙率不超过30%。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b、要求石料质地坚硬，块石饱和抗压强度不小于30Mpa，软化系数不小于0.75，比重不小于2.4t/m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，遇水不易崩解和水解，抗风化。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c、50cm厚格宾护坡填石粒径100~200mm，中值粒径150mm。薄片、条状等形状的石料不宜采用。风化岩石、泥岩等亦不得用作充填石料。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d、装填方式可以采用人工装填，也可采用半人工半机械化进行装填作业。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e、在坡面上施工时，为防止施工过程中石料受重力影响或人工踩踏下滑而造成隔板弯曲，石料必须从坡脚往坡顶方向进行装填；同时相临隔板、边板两侧的石料也宜同时进行装填。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f、网箱内填充石料前，必须采取在网箱前后面绑扎竹竿或木棒等加固网箱面的措施，以保证网箱裸露面的平整度，待填充石料施工结束后拆除竹竿或木棒。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g、必须分层、分级向网箱内填充石料，严禁将单格网箱一次性填满。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h、考虑到石头的沉降，装填时应有2.5cm~4cm 的超高为避免水流直接冲刷坡体护垫内必须装填两层以上的石头，且需用人工摆放，以尽量减少空隙率。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i、表面部分是关系到整个格宾护坡护坡外观效果的关键所在，宜选择粒径较大、表面较为光滑的石料进行摆放，石料间应相互搭接，并且摆放要平整、密实。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j 、石料的装填要两层以上且密实、表面平整。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4)闭合盖板作业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a、绞合盖子之前，要对整体结构进行检查，对一些弯曲变形、表面不平整等不符合施工要求的地方进行校正；检查石料是否装填饱满、密实，上表面是否平整。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b、出现隔板弯曲的现象，可通过将鼓出一边的石头移到另一方格，然后扳直隔板来加以纠正，或用钢钎拔直。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c、对于顶部被埋到石头下面、 绞合不到位的隔板，可用钢签将其撬起。用1.4m的钢丝单、双圈间隔绞合盖板边缘与竖直面板上边缘、盖板面板与隔板上边缘。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d、用一定长度的绞合钢丝将盖板与边板、端板、隔板的上边缘联接在一起。绞合严格按照间隔10~15cm单圈一双圈一单圈进行绞合，每绞合1m长的边缘采用1.35m~1.5m长的绞合钢丝，且每根钢丝连续绞合边缘的长度不超过1m；相邻护垫的端板或边板上边缘钢丝必须与盖板边缘钢丝紧密地绞合在一起。盖板绞合之后，所有绞合边缘成一条直线，而且绞合点的几根钢丝紧密靠拢，绞合不拢的地方必须用钢钎校正；同一层面的表面必须在同一水平面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e、土工布应铺在固宾笼与回填土的接合面，并且其端头上、下都应压入0.3m以上</w:t>
            </w:r>
            <w:r>
              <w:rPr>
                <w:rFonts w:hint="eastAsia" w:ascii="Times New Roman" w:hAnsi="Times New Roman"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以确保土工布边端被压住。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f、所有的边缘需绞合到位，所有被绞合边缘应呈一条直线，而且绞合点的几根边缘钢丝紧密靠拢。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(5)土工布铺设要求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① 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本工程采用的土工布为聚酯长纤无纺布，型号为PET15-4.5-300，标称断裂强度15KN/m，详细指标参照国标《土工合成材料长丝纺粘针刺非织造土工布》(GB/T17639-2008)。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②储存、运输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1)土工布卷在安装展开前要避免受到损坏。土工布卷应该堆放于经平整不积水的地方，堆高不超过四卷的高度，并能看到卷的识别片。土工布卷必须用不透明材料覆盖以防紫外线老化。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2)在储存过程中，要保持标签的完整和资料的完整。在运输过程中(包括现场从材料储存地到工作地的运输)，土工布卷必须避免受到损坏。受到物理损坏的土工布卷必须要修复。受严重磨损的土工布不能使用。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3)任何接触到泄漏化学试剂的土工布</w:t>
            </w:r>
            <w:r>
              <w:rPr>
                <w:rFonts w:hint="eastAsia" w:ascii="Times New Roman" w:hAnsi="Times New Roman"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不允许使用在本工程上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③ 铺设基本要求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1)用人工滚铺；根据现场情况，确定土工布尺寸，裁剪后予以试铺，裁剪尺寸要准确。布面要平整，并适当留有变形余量。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2)为了土工布材料的安全，应在铺设土工布前打开包装膜，即铺一卷， 开一卷。并检验外观质量。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3)检查基层是否平整、坚实，如有异物，应事无处理妥善。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4)检查撒拉宽度是否合适，搭接处应平整，松紧适度。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5)土工布只能用土工布刀进行切割(钩刀)，如在场地内切割，对其他材料须采取特殊保护措施，以防由于切割土工布而对其造成不必要的损坏。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6)每天铺设结束前，对当天所有铺设的土工布表面进行目测以确定所有损坏的地方都已作上标记并立即进行修补， 确定铺设表面没有可能造成损坏的外来物质，如细针、小铁钉等，有可能造成损坏的外来物质，如细针、小铁钉等。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7)必须检查全部的土工布片和缝，有缺陷的土工布片和缝合必须在土工布上清楚标出，并作出修补。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8)土工布损坏修补时应满足以下技术要求：用来补洞或补裂缝的补丁材料应和土工布一致；补丁应延伸到受损土工布范围外至少30cm。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9)财搭接部位进行缝合时缝合线应平直，针脚应均匀。所有的缝合必须要连续进行。在重叠之前，土工布必须重叠最少150mm。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10)用于缝合的线应有与土工布相当或超出的抗化学腐蚀和抗紫外线能力。任何在缝好的土工布上的“漏针”必须在受到影响的地方重新缝接。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11)缝合后应检查土工布是否铺设平整，是否存在缺陷。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jc w:val="left"/>
              <w:textAlignment w:val="auto"/>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12) 施工人员所穿工作鞋及所用施工机具不应损伤土工布，施工人员不得在已铺设的土工布上做可能伤害土工布的事，如抽烟或用尖锐工具戳土工布等。</w:t>
            </w:r>
          </w:p>
          <w:p>
            <w:pPr>
              <w:spacing w:line="360" w:lineRule="auto"/>
              <w:ind w:right="-1"/>
              <w:contextualSpacing/>
              <w:outlineLvl w:val="1"/>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w:t>
            </w:r>
            <w:r>
              <w:rPr>
                <w:rFonts w:ascii="Times New Roman" w:hAnsi="Times New Roman" w:eastAsia="宋体"/>
                <w:b/>
                <w:bCs/>
                <w:color w:val="000000" w:themeColor="text1"/>
                <w:sz w:val="24"/>
                <w:szCs w:val="24"/>
                <w14:textFill>
                  <w14:solidFill>
                    <w14:schemeClr w14:val="tx1"/>
                  </w14:solidFill>
                </w14:textFill>
              </w:rPr>
              <w:t>项目建设周期</w:t>
            </w:r>
          </w:p>
          <w:p>
            <w:pPr>
              <w:spacing w:line="360" w:lineRule="auto"/>
              <w:ind w:right="-1" w:firstLine="480" w:firstLineChars="200"/>
              <w:contextualSpacing/>
              <w:jc w:val="left"/>
              <w:rPr>
                <w:rFonts w:hint="eastAsia" w:ascii="Times New Roman" w:hAnsi="Times New Roman" w:eastAsia="宋体"/>
                <w:color w:val="000000" w:themeColor="text1"/>
                <w:sz w:val="24"/>
                <w:szCs w:val="24"/>
                <w:highlight w:val="none"/>
                <w:lang w:val="en-GB"/>
                <w14:textFill>
                  <w14:solidFill>
                    <w14:schemeClr w14:val="tx1"/>
                  </w14:solidFill>
                </w14:textFill>
              </w:rPr>
            </w:pPr>
            <w:r>
              <w:rPr>
                <w:rFonts w:hint="eastAsia" w:ascii="Times New Roman" w:hAnsi="Times New Roman" w:eastAsia="宋体"/>
                <w:color w:val="000000" w:themeColor="text1"/>
                <w:sz w:val="24"/>
                <w:szCs w:val="24"/>
                <w:highlight w:val="none"/>
                <w:lang w:val="en-GB"/>
                <w14:textFill>
                  <w14:solidFill>
                    <w14:schemeClr w14:val="tx1"/>
                  </w14:solidFill>
                </w14:textFill>
              </w:rPr>
              <w:t>本工程施工点相对分散，根据工程施工总体规划、投资情况、施工导流方案和主要项目施工工艺，本着早建成早受益的原则，本工程施工期(安排)为10个月，并分为三个阶段：</w:t>
            </w:r>
          </w:p>
          <w:p>
            <w:pPr>
              <w:spacing w:line="360" w:lineRule="auto"/>
              <w:ind w:right="-1" w:firstLine="480" w:firstLineChars="200"/>
              <w:contextualSpacing/>
              <w:jc w:val="left"/>
              <w:rPr>
                <w:rFonts w:hint="eastAsia" w:ascii="Times New Roman" w:hAnsi="Times New Roman" w:eastAsia="宋体"/>
                <w:color w:val="000000" w:themeColor="text1"/>
                <w:sz w:val="24"/>
                <w:szCs w:val="24"/>
                <w:highlight w:val="none"/>
                <w:lang w:val="en-GB"/>
                <w14:textFill>
                  <w14:solidFill>
                    <w14:schemeClr w14:val="tx1"/>
                  </w14:solidFill>
                </w14:textFill>
              </w:rPr>
            </w:pPr>
            <w:r>
              <w:rPr>
                <w:rFonts w:hint="eastAsia" w:ascii="Times New Roman" w:hAnsi="Times New Roman" w:eastAsia="宋体"/>
                <w:color w:val="000000" w:themeColor="text1"/>
                <w:sz w:val="24"/>
                <w:szCs w:val="24"/>
                <w:highlight w:val="none"/>
                <w:lang w:val="en-GB"/>
                <w14:textFill>
                  <w14:solidFill>
                    <w14:schemeClr w14:val="tx1"/>
                  </w14:solidFill>
                </w14:textFill>
              </w:rPr>
              <w:t>(1)施工准备期：安排在2022年10月，时间1个月。主要工作是为部分 工程施工做必要的准备。</w:t>
            </w:r>
          </w:p>
          <w:p>
            <w:pPr>
              <w:spacing w:line="360" w:lineRule="auto"/>
              <w:ind w:right="-1" w:firstLine="480" w:firstLineChars="200"/>
              <w:contextualSpacing/>
              <w:jc w:val="left"/>
              <w:rPr>
                <w:rFonts w:hint="eastAsia" w:ascii="Times New Roman" w:hAnsi="Times New Roman" w:eastAsia="宋体"/>
                <w:color w:val="000000" w:themeColor="text1"/>
                <w:sz w:val="24"/>
                <w:szCs w:val="24"/>
                <w:highlight w:val="none"/>
                <w:lang w:val="en-GB"/>
                <w14:textFill>
                  <w14:solidFill>
                    <w14:schemeClr w14:val="tx1"/>
                  </w14:solidFill>
                </w14:textFill>
              </w:rPr>
            </w:pPr>
            <w:r>
              <w:rPr>
                <w:rFonts w:hint="eastAsia" w:ascii="Times New Roman" w:hAnsi="Times New Roman" w:eastAsia="宋体"/>
                <w:color w:val="000000" w:themeColor="text1"/>
                <w:sz w:val="24"/>
                <w:szCs w:val="24"/>
                <w:highlight w:val="none"/>
                <w:lang w:val="en-GB"/>
                <w14:textFill>
                  <w14:solidFill>
                    <w14:schemeClr w14:val="tx1"/>
                  </w14:solidFill>
                </w14:textFill>
              </w:rPr>
              <w:t>(2)主体工程施工期：安排在2022年11月~2023年</w:t>
            </w:r>
            <w:r>
              <w:rPr>
                <w:rFonts w:hint="eastAsia"/>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olor w:val="000000" w:themeColor="text1"/>
                <w:sz w:val="24"/>
                <w:szCs w:val="24"/>
                <w:highlight w:val="none"/>
                <w:lang w:val="en-GB"/>
                <w14:textFill>
                  <w14:solidFill>
                    <w14:schemeClr w14:val="tx1"/>
                  </w14:solidFill>
                </w14:textFill>
              </w:rPr>
              <w:t>月，共</w:t>
            </w:r>
            <w:r>
              <w:rPr>
                <w:rFonts w:hint="eastAsia"/>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olor w:val="000000" w:themeColor="text1"/>
                <w:sz w:val="24"/>
                <w:szCs w:val="24"/>
                <w:highlight w:val="none"/>
                <w:lang w:val="en-GB"/>
                <w14:textFill>
                  <w14:solidFill>
                    <w14:schemeClr w14:val="tx1"/>
                  </w14:solidFill>
                </w14:textFill>
              </w:rPr>
              <w:t>个月时间。 该时段完成工程区清淤疏浚、河道护岸等主体工程施工。</w:t>
            </w:r>
          </w:p>
          <w:p>
            <w:pPr>
              <w:spacing w:line="360" w:lineRule="auto"/>
              <w:ind w:right="-1" w:firstLine="480" w:firstLineChars="200"/>
              <w:contextualSpacing/>
              <w:jc w:val="left"/>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GB"/>
                <w14:textFill>
                  <w14:solidFill>
                    <w14:schemeClr w14:val="tx1"/>
                  </w14:solidFill>
                </w14:textFill>
              </w:rPr>
              <w:t>(3) 工程完建期：安排在2023年7月，共1个月。主要完成工程联合试运行及工程验收、施工场地清理等工作</w:t>
            </w:r>
            <w:r>
              <w:rPr>
                <w:rFonts w:ascii="Times New Roman" w:hAnsi="Times New Roman" w:eastAsia="宋体"/>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noWrap w:val="0"/>
            <w:vAlign w:val="center"/>
          </w:tcPr>
          <w:p>
            <w:pPr>
              <w:adjustRightInd w:val="0"/>
              <w:snapToGrid w:val="0"/>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其他</w:t>
            </w:r>
          </w:p>
        </w:tc>
        <w:tc>
          <w:tcPr>
            <w:tcW w:w="7844" w:type="dxa"/>
            <w:noWrap w:val="0"/>
            <w:vAlign w:val="bottom"/>
          </w:tcPr>
          <w:p>
            <w:pPr>
              <w:pageBreakBefore w:val="0"/>
              <w:widowControl w:val="0"/>
              <w:kinsoku/>
              <w:wordWrap/>
              <w:overflowPunct/>
              <w:topLinePunct w:val="0"/>
              <w:autoSpaceDE/>
              <w:autoSpaceDN/>
              <w:bidi w:val="0"/>
              <w:adjustRightInd/>
              <w:snapToGrid/>
              <w:spacing w:line="360" w:lineRule="auto"/>
              <w:ind w:right="0"/>
              <w:contextualSpacing/>
              <w:jc w:val="left"/>
              <w:textAlignment w:val="auto"/>
              <w:outlineLvl w:val="1"/>
              <w:rPr>
                <w:rFonts w:hint="default" w:ascii="Times New Roman" w:hAnsi="Times New Roman"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rFonts w:hint="eastAsia" w:ascii="Times New Roman" w:hAnsi="Times New Roman" w:eastAsia="宋体"/>
                <w:b/>
                <w:bCs/>
                <w:color w:val="000000" w:themeColor="text1"/>
                <w:sz w:val="24"/>
                <w:szCs w:val="24"/>
                <w:lang w:val="en-US" w:eastAsia="zh-CN"/>
                <w14:textFill>
                  <w14:solidFill>
                    <w14:schemeClr w14:val="tx1"/>
                  </w14:solidFill>
                </w14:textFill>
              </w:rPr>
              <w:t>施工条件</w:t>
            </w:r>
          </w:p>
          <w:p>
            <w:pPr>
              <w:pStyle w:val="4"/>
              <w:keepNext/>
              <w:keepLines/>
              <w:pageBreakBefore w:val="0"/>
              <w:widowControl w:val="0"/>
              <w:kinsoku/>
              <w:wordWrap/>
              <w:overflowPunct/>
              <w:topLinePunct w:val="0"/>
              <w:autoSpaceDE/>
              <w:autoSpaceDN/>
              <w:bidi w:val="0"/>
              <w:adjustRightInd/>
              <w:snapToGrid/>
              <w:spacing w:before="0" w:after="0" w:line="360" w:lineRule="auto"/>
              <w:ind w:right="0"/>
              <w:textAlignment w:val="auto"/>
              <w:outlineLvl w:val="1"/>
              <w:rPr>
                <w:rFonts w:hint="eastAsia" w:ascii="Times New Roman" w:hAnsi="Times New Roman" w:eastAsia="宋体" w:cs="宋体"/>
                <w:b/>
                <w:color w:val="000000" w:themeColor="text1"/>
                <w:sz w:val="24"/>
                <w:szCs w:val="24"/>
                <w:lang w:val="en-US" w:eastAsia="zh-CN"/>
                <w14:textFill>
                  <w14:solidFill>
                    <w14:schemeClr w14:val="tx1"/>
                  </w14:solidFill>
                </w14:textFill>
              </w:rPr>
            </w:pPr>
            <w:r>
              <w:rPr>
                <w:rFonts w:hint="eastAsia" w:ascii="Times New Roman" w:hAnsi="Times New Roman" w:eastAsia="宋体" w:cs="宋体"/>
                <w:b/>
                <w:color w:val="000000" w:themeColor="text1"/>
                <w:sz w:val="24"/>
                <w:szCs w:val="24"/>
                <w:lang w:val="en-US" w:eastAsia="zh-CN"/>
                <w14:textFill>
                  <w14:solidFill>
                    <w14:schemeClr w14:val="tx1"/>
                  </w14:solidFill>
                </w14:textFill>
              </w:rPr>
              <w:t>1）交通运输条件</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本工程对外交通条件便利，现有公路可以满足施工期外来物资的运输要求；所有治理河段沿河道两岸场地比较平坦、开阔，场内可利用的施工场地面积也较大，可满足施工场地的总体布置要求。</w:t>
            </w:r>
          </w:p>
          <w:p>
            <w:pPr>
              <w:pStyle w:val="4"/>
              <w:keepNext/>
              <w:keepLines/>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outlineLvl w:val="1"/>
              <w:rPr>
                <w:rFonts w:hint="eastAsia" w:ascii="Times New Roman" w:hAnsi="Times New Roman" w:eastAsia="宋体" w:cs="宋体"/>
                <w:b/>
                <w:color w:val="000000" w:themeColor="text1"/>
                <w:sz w:val="24"/>
                <w:szCs w:val="24"/>
                <w:lang w:val="en-US" w:eastAsia="zh-CN"/>
                <w14:textFill>
                  <w14:solidFill>
                    <w14:schemeClr w14:val="tx1"/>
                  </w14:solidFill>
                </w14:textFill>
              </w:rPr>
            </w:pPr>
            <w:r>
              <w:rPr>
                <w:rFonts w:hint="eastAsia" w:ascii="Times New Roman" w:hAnsi="Times New Roman" w:eastAsia="宋体" w:cs="宋体"/>
                <w:b/>
                <w:color w:val="000000" w:themeColor="text1"/>
                <w:sz w:val="24"/>
                <w:szCs w:val="24"/>
                <w:lang w:val="en-US" w:eastAsia="zh-CN"/>
                <w14:textFill>
                  <w14:solidFill>
                    <w14:schemeClr w14:val="tx1"/>
                  </w14:solidFill>
                </w14:textFill>
              </w:rPr>
              <w:t>2）材料供应</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河道治理工程所需的生活物资从</w:t>
            </w:r>
            <w:r>
              <w:rPr>
                <w:rFonts w:hint="eastAsia" w:cs="宋体"/>
                <w:color w:val="000000" w:themeColor="text1"/>
                <w:sz w:val="24"/>
                <w:szCs w:val="24"/>
                <w:highlight w:val="none"/>
                <w:lang w:eastAsia="zh-CN"/>
                <w14:textFill>
                  <w14:solidFill>
                    <w14:schemeClr w14:val="tx1"/>
                  </w14:solidFill>
                </w14:textFill>
              </w:rPr>
              <w:t>宁县</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县城购买，距工程区的平均运距约</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1</w:t>
            </w:r>
            <w:r>
              <w:rPr>
                <w:rFonts w:hint="eastAsia" w:cs="宋体"/>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km，钢筋、钢材、水泥可</w:t>
            </w:r>
            <w:r>
              <w:rPr>
                <w:rFonts w:hint="eastAsia" w:cs="宋体"/>
                <w:color w:val="000000" w:themeColor="text1"/>
                <w:sz w:val="24"/>
                <w:szCs w:val="24"/>
                <w:highlight w:val="none"/>
                <w:lang w:eastAsia="zh-CN"/>
                <w14:textFill>
                  <w14:solidFill>
                    <w14:schemeClr w14:val="tx1"/>
                  </w14:solidFill>
                </w14:textFill>
              </w:rPr>
              <w:t>从附近县城购买</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；所有工程所用混凝土</w:t>
            </w:r>
            <w:r>
              <w:rPr>
                <w:rFonts w:hint="eastAsia" w:cs="宋体"/>
                <w:color w:val="000000" w:themeColor="text1"/>
                <w:sz w:val="24"/>
                <w:szCs w:val="24"/>
                <w:highlight w:val="none"/>
                <w:lang w:eastAsia="zh-CN"/>
                <w14:textFill>
                  <w14:solidFill>
                    <w14:schemeClr w14:val="tx1"/>
                  </w14:solidFill>
                </w14:textFill>
              </w:rPr>
              <w:t>均采用商品混凝土，不在现场进行搅拌，可从项目周边进行购买，因此</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满足施工需要。</w:t>
            </w:r>
          </w:p>
          <w:p>
            <w:pPr>
              <w:pStyle w:val="4"/>
              <w:keepNext/>
              <w:keepLines/>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outlineLvl w:val="1"/>
              <w:rPr>
                <w:rFonts w:hint="eastAsia" w:ascii="Times New Roman" w:hAnsi="Times New Roman" w:eastAsia="宋体" w:cs="宋体"/>
                <w:b/>
                <w:color w:val="000000" w:themeColor="text1"/>
                <w:sz w:val="24"/>
                <w:szCs w:val="24"/>
                <w:lang w:val="en-US" w:eastAsia="zh-CN"/>
                <w14:textFill>
                  <w14:solidFill>
                    <w14:schemeClr w14:val="tx1"/>
                  </w14:solidFill>
                </w14:textFill>
              </w:rPr>
            </w:pPr>
            <w:r>
              <w:rPr>
                <w:rFonts w:hint="eastAsia" w:ascii="Times New Roman" w:hAnsi="Times New Roman" w:eastAsia="宋体" w:cs="宋体"/>
                <w:b/>
                <w:color w:val="000000" w:themeColor="text1"/>
                <w:sz w:val="24"/>
                <w:szCs w:val="24"/>
                <w:lang w:val="en-US" w:eastAsia="zh-CN"/>
                <w14:textFill>
                  <w14:solidFill>
                    <w14:schemeClr w14:val="tx1"/>
                  </w14:solidFill>
                </w14:textFill>
              </w:rPr>
              <w:t>3）施工导流及围堰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城北河为是马莲河一级支流，湘乐川为城北河一级支流，常流量小， 但汛期洪水量大，根据水文资料，洪水主要是降暴雨形成的，一般发生在每年6~9月，7、8两月洪量最大。</w:t>
            </w:r>
          </w:p>
          <w:p>
            <w:pPr>
              <w:spacing w:line="360" w:lineRule="auto"/>
              <w:ind w:firstLine="480" w:firstLineChars="200"/>
              <w:contextualSpacing/>
              <w:jc w:val="left"/>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本工程主要是护岸工程需修建围堰， 导流建筑物级别为5级，相应洪水标准为5年一遇洪水，由水文计算知工程区5年一遇洪水最大洪峰流量为688.0m</w:t>
            </w:r>
            <w:r>
              <w:rPr>
                <w:rFonts w:hint="eastAsia" w:ascii="Times New Roman" w:hAnsi="Times New Roman" w:eastAsia="宋体" w:cs="宋体"/>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sz w:val="24"/>
                <w:szCs w:val="24"/>
                <w:lang w:val="en-US" w:eastAsia="zh-CN"/>
                <w14:textFill>
                  <w14:solidFill>
                    <w14:schemeClr w14:val="tx1"/>
                  </w14:solidFill>
                </w14:textFill>
              </w:rPr>
              <w:t>/s。经计算导流围堰高2.8m，顶宽3m，迎水坡坡比1:2.0，背水坡坡比1:1.5，用河床砾质土填筑，压实系数不小于0.9。</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工程分段作砾质土围堰，以满足施工导流的需要和工程安全，基础工程需挖集水坑，采用水泵排水，以保证施工顺利进行</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360" w:lineRule="auto"/>
              <w:ind w:right="0"/>
              <w:jc w:val="left"/>
              <w:textAlignment w:val="auto"/>
              <w:outlineLvl w:val="1"/>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工程占地</w:t>
            </w:r>
          </w:p>
          <w:p>
            <w:pPr>
              <w:spacing w:line="360" w:lineRule="auto"/>
              <w:ind w:firstLine="480" w:firstLineChars="200"/>
              <w:contextualSpacing/>
              <w:jc w:val="left"/>
              <w:rPr>
                <w:rFonts w:hint="eastAsia" w:eastAsia="宋体" w:cs="宋体"/>
                <w:color w:val="FF0000"/>
                <w:sz w:val="24"/>
                <w:szCs w:val="24"/>
                <w:lang w:val="en-US" w:eastAsia="zh-CN"/>
              </w:rPr>
            </w:pPr>
            <w:r>
              <w:rPr>
                <w:rFonts w:hint="eastAsia" w:ascii="Times New Roman" w:hAnsi="Times New Roman" w:eastAsia="宋体" w:cs="宋体"/>
                <w:color w:val="FF0000"/>
                <w:sz w:val="24"/>
                <w:szCs w:val="24"/>
                <w:lang w:val="en-US" w:eastAsia="zh-CN"/>
              </w:rPr>
              <w:t>调查实物占压分永久占地和临时占压两部分。永久占压主要为河道护岸占地；临时占压是由工程施工踏压、</w:t>
            </w:r>
            <w:r>
              <w:rPr>
                <w:rFonts w:hint="eastAsia" w:eastAsia="宋体" w:cs="宋体"/>
                <w:color w:val="FF0000"/>
                <w:sz w:val="24"/>
                <w:szCs w:val="24"/>
                <w:lang w:val="en-US" w:eastAsia="zh-CN"/>
              </w:rPr>
              <w:t>料土堆场</w:t>
            </w:r>
            <w:r>
              <w:rPr>
                <w:rFonts w:hint="eastAsia" w:ascii="Times New Roman" w:hAnsi="Times New Roman" w:eastAsia="宋体" w:cs="宋体"/>
                <w:color w:val="FF0000"/>
                <w:sz w:val="24"/>
                <w:szCs w:val="24"/>
                <w:lang w:val="en-US" w:eastAsia="zh-CN"/>
              </w:rPr>
              <w:t>临时用地几部分组成</w:t>
            </w:r>
            <w:r>
              <w:rPr>
                <w:rFonts w:hint="eastAsia" w:eastAsia="宋体" w:cs="宋体"/>
                <w:color w:val="FF0000"/>
                <w:sz w:val="24"/>
                <w:szCs w:val="24"/>
                <w:lang w:val="en-US" w:eastAsia="zh-CN"/>
              </w:rPr>
              <w:t>，经调查、测量及统计推算得，本工程永久占地981.0亩，</w:t>
            </w:r>
            <w:r>
              <w:rPr>
                <w:rFonts w:hint="eastAsia" w:cs="宋体"/>
                <w:color w:val="FF0000"/>
                <w:sz w:val="24"/>
                <w:szCs w:val="24"/>
                <w:lang w:val="en-US" w:eastAsia="zh-CN"/>
              </w:rPr>
              <w:t>占地为</w:t>
            </w:r>
            <w:r>
              <w:rPr>
                <w:rFonts w:hint="eastAsia" w:eastAsia="宋体" w:cs="宋体"/>
                <w:color w:val="FF0000"/>
                <w:sz w:val="24"/>
                <w:szCs w:val="24"/>
                <w:lang w:val="en-US" w:eastAsia="zh-CN"/>
              </w:rPr>
              <w:t>河滩地；临时占地</w:t>
            </w:r>
            <w:r>
              <w:rPr>
                <w:rFonts w:hint="eastAsia" w:cs="宋体"/>
                <w:color w:val="FF0000"/>
                <w:sz w:val="24"/>
                <w:szCs w:val="24"/>
                <w:lang w:val="en-US" w:eastAsia="zh-CN"/>
              </w:rPr>
              <w:t>27</w:t>
            </w:r>
            <w:r>
              <w:rPr>
                <w:rFonts w:hint="eastAsia" w:eastAsia="宋体" w:cs="宋体"/>
                <w:color w:val="FF0000"/>
                <w:sz w:val="24"/>
                <w:szCs w:val="24"/>
                <w:lang w:val="en-US" w:eastAsia="zh-CN"/>
              </w:rPr>
              <w:t>.0亩，</w:t>
            </w:r>
            <w:r>
              <w:rPr>
                <w:rFonts w:hint="eastAsia" w:cs="宋体"/>
                <w:color w:val="FF0000"/>
                <w:sz w:val="24"/>
                <w:szCs w:val="24"/>
                <w:lang w:val="en-US" w:eastAsia="zh-CN"/>
              </w:rPr>
              <w:t>占地为</w:t>
            </w:r>
            <w:r>
              <w:rPr>
                <w:rFonts w:hint="eastAsia" w:eastAsia="宋体" w:cs="宋体"/>
                <w:color w:val="FF0000"/>
                <w:sz w:val="24"/>
                <w:szCs w:val="24"/>
                <w:lang w:val="en-US" w:eastAsia="zh-CN"/>
              </w:rPr>
              <w:t>河滩地。</w:t>
            </w:r>
          </w:p>
          <w:p>
            <w:pPr>
              <w:spacing w:line="360" w:lineRule="auto"/>
              <w:ind w:firstLine="480" w:firstLineChars="200"/>
              <w:contextualSpacing/>
              <w:jc w:val="left"/>
              <w:rPr>
                <w:rFonts w:hint="eastAsia" w:eastAsia="宋体" w:cs="宋体"/>
                <w:color w:val="FF0000"/>
                <w:sz w:val="24"/>
                <w:szCs w:val="24"/>
                <w:lang w:val="en-US" w:eastAsia="zh-CN"/>
              </w:rPr>
            </w:pPr>
            <w:r>
              <w:rPr>
                <w:rFonts w:hint="eastAsia" w:eastAsia="宋体" w:cs="宋体"/>
                <w:color w:val="FF0000"/>
                <w:sz w:val="24"/>
                <w:szCs w:val="24"/>
                <w:lang w:val="en-US" w:eastAsia="zh-CN"/>
              </w:rPr>
              <w:t>本工程工程占地调查统计见表2-</w:t>
            </w:r>
            <w:r>
              <w:rPr>
                <w:rFonts w:hint="eastAsia" w:cs="宋体"/>
                <w:color w:val="FF0000"/>
                <w:sz w:val="24"/>
                <w:szCs w:val="24"/>
                <w:lang w:val="en-US" w:eastAsia="zh-CN"/>
              </w:rPr>
              <w:t>7</w:t>
            </w:r>
            <w:r>
              <w:rPr>
                <w:rFonts w:hint="eastAsia" w:eastAsia="宋体" w:cs="宋体"/>
                <w:color w:val="FF0000"/>
                <w:sz w:val="24"/>
                <w:szCs w:val="24"/>
                <w:lang w:val="en-US" w:eastAsia="zh-CN"/>
              </w:rPr>
              <w:t>所示.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contextualSpacing/>
              <w:jc w:val="center"/>
              <w:textAlignment w:val="auto"/>
              <w:rPr>
                <w:rFonts w:hint="eastAsia" w:eastAsia="宋体" w:cs="宋体"/>
                <w:b/>
                <w:bCs/>
                <w:color w:val="FF0000"/>
                <w:sz w:val="21"/>
                <w:szCs w:val="21"/>
                <w:lang w:val="en-US" w:eastAsia="zh-CN"/>
              </w:rPr>
            </w:pPr>
            <w:r>
              <w:rPr>
                <w:rFonts w:hint="eastAsia" w:eastAsia="宋体" w:cs="宋体"/>
                <w:b/>
                <w:bCs/>
                <w:color w:val="FF0000"/>
                <w:sz w:val="21"/>
                <w:szCs w:val="21"/>
                <w:lang w:val="en-US" w:eastAsia="zh-CN"/>
              </w:rPr>
              <w:t>表2-</w:t>
            </w:r>
            <w:r>
              <w:rPr>
                <w:rFonts w:hint="eastAsia" w:cs="宋体"/>
                <w:b/>
                <w:bCs/>
                <w:color w:val="FF0000"/>
                <w:sz w:val="21"/>
                <w:szCs w:val="21"/>
                <w:lang w:val="en-US" w:eastAsia="zh-CN"/>
              </w:rPr>
              <w:t>7</w:t>
            </w:r>
            <w:r>
              <w:rPr>
                <w:rFonts w:hint="eastAsia" w:eastAsia="宋体" w:cs="宋体"/>
                <w:b/>
                <w:bCs/>
                <w:color w:val="FF0000"/>
                <w:sz w:val="21"/>
                <w:szCs w:val="21"/>
                <w:lang w:val="en-US" w:eastAsia="zh-CN"/>
              </w:rPr>
              <w:t xml:space="preserve">           工程占地实物调查表</w:t>
            </w:r>
          </w:p>
          <w:tbl>
            <w:tblPr>
              <w:tblStyle w:val="59"/>
              <w:tblW w:w="783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1241"/>
              <w:gridCol w:w="1360"/>
              <w:gridCol w:w="1266"/>
              <w:gridCol w:w="1749"/>
              <w:gridCol w:w="222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35" w:hRule="atLeast"/>
                <w:jc w:val="center"/>
              </w:trPr>
              <w:tc>
                <w:tcPr>
                  <w:tcW w:w="12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FF0000"/>
                      <w:sz w:val="21"/>
                      <w:szCs w:val="21"/>
                    </w:rPr>
                  </w:pPr>
                  <w:r>
                    <w:rPr>
                      <w:rFonts w:ascii="宋体" w:hAnsi="宋体" w:eastAsia="宋体" w:cs="宋体"/>
                      <w:color w:val="FF0000"/>
                      <w:spacing w:val="-2"/>
                      <w:sz w:val="21"/>
                      <w:szCs w:val="21"/>
                    </w:rPr>
                    <w:t>序</w:t>
                  </w:r>
                  <w:r>
                    <w:rPr>
                      <w:rFonts w:ascii="宋体" w:hAnsi="宋体" w:eastAsia="宋体" w:cs="宋体"/>
                      <w:color w:val="FF0000"/>
                      <w:spacing w:val="-1"/>
                      <w:sz w:val="21"/>
                      <w:szCs w:val="21"/>
                    </w:rPr>
                    <w:t>号</w:t>
                  </w:r>
                </w:p>
              </w:tc>
              <w:tc>
                <w:tcPr>
                  <w:tcW w:w="1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FF0000"/>
                      <w:sz w:val="21"/>
                      <w:szCs w:val="21"/>
                    </w:rPr>
                  </w:pPr>
                  <w:r>
                    <w:rPr>
                      <w:rFonts w:ascii="宋体" w:hAnsi="宋体" w:eastAsia="宋体" w:cs="宋体"/>
                      <w:color w:val="FF0000"/>
                      <w:spacing w:val="-3"/>
                      <w:sz w:val="21"/>
                      <w:szCs w:val="21"/>
                    </w:rPr>
                    <w:t>名</w:t>
                  </w:r>
                  <w:r>
                    <w:rPr>
                      <w:rFonts w:ascii="宋体" w:hAnsi="宋体" w:eastAsia="宋体" w:cs="宋体"/>
                      <w:color w:val="FF0000"/>
                      <w:spacing w:val="-2"/>
                      <w:sz w:val="21"/>
                      <w:szCs w:val="21"/>
                    </w:rPr>
                    <w:t>称</w:t>
                  </w:r>
                </w:p>
              </w:tc>
              <w:tc>
                <w:tcPr>
                  <w:tcW w:w="12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FF0000"/>
                      <w:sz w:val="21"/>
                      <w:szCs w:val="21"/>
                    </w:rPr>
                  </w:pPr>
                  <w:r>
                    <w:rPr>
                      <w:rFonts w:ascii="宋体" w:hAnsi="宋体" w:eastAsia="宋体" w:cs="宋体"/>
                      <w:color w:val="FF0000"/>
                      <w:spacing w:val="-2"/>
                      <w:sz w:val="21"/>
                      <w:szCs w:val="21"/>
                    </w:rPr>
                    <w:t>单位</w:t>
                  </w:r>
                </w:p>
              </w:tc>
              <w:tc>
                <w:tcPr>
                  <w:tcW w:w="1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FF0000"/>
                      <w:sz w:val="21"/>
                      <w:szCs w:val="21"/>
                    </w:rPr>
                  </w:pPr>
                  <w:r>
                    <w:rPr>
                      <w:rFonts w:ascii="宋体" w:hAnsi="宋体" w:eastAsia="宋体" w:cs="宋体"/>
                      <w:color w:val="FF0000"/>
                      <w:spacing w:val="-2"/>
                      <w:sz w:val="21"/>
                      <w:szCs w:val="21"/>
                    </w:rPr>
                    <w:t>数量</w:t>
                  </w:r>
                </w:p>
              </w:tc>
              <w:tc>
                <w:tcPr>
                  <w:tcW w:w="22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FF0000"/>
                      <w:sz w:val="21"/>
                      <w:szCs w:val="21"/>
                    </w:rPr>
                  </w:pPr>
                  <w:r>
                    <w:rPr>
                      <w:rFonts w:ascii="宋体" w:hAnsi="宋体" w:eastAsia="宋体" w:cs="宋体"/>
                      <w:color w:val="FF0000"/>
                      <w:spacing w:val="-3"/>
                      <w:sz w:val="21"/>
                      <w:szCs w:val="21"/>
                    </w:rPr>
                    <w:t>备</w:t>
                  </w:r>
                  <w:r>
                    <w:rPr>
                      <w:rFonts w:ascii="宋体" w:hAnsi="宋体" w:eastAsia="宋体" w:cs="宋体"/>
                      <w:color w:val="FF0000"/>
                      <w:spacing w:val="-2"/>
                      <w:sz w:val="21"/>
                      <w:szCs w:val="21"/>
                    </w:rPr>
                    <w:t>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16" w:hRule="atLeast"/>
                <w:jc w:val="center"/>
              </w:trPr>
              <w:tc>
                <w:tcPr>
                  <w:tcW w:w="12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FF0000"/>
                      <w:sz w:val="21"/>
                      <w:szCs w:val="21"/>
                    </w:rPr>
                  </w:pPr>
                  <w:r>
                    <w:rPr>
                      <w:rFonts w:ascii="Times New Roman" w:hAnsi="Times New Roman" w:eastAsia="Times New Roman" w:cs="Times New Roman"/>
                      <w:color w:val="FF0000"/>
                      <w:sz w:val="21"/>
                      <w:szCs w:val="21"/>
                    </w:rPr>
                    <w:t>1</w:t>
                  </w:r>
                </w:p>
              </w:tc>
              <w:tc>
                <w:tcPr>
                  <w:tcW w:w="1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FF0000"/>
                      <w:sz w:val="21"/>
                      <w:szCs w:val="21"/>
                    </w:rPr>
                  </w:pPr>
                  <w:r>
                    <w:rPr>
                      <w:rFonts w:ascii="宋体" w:hAnsi="宋体" w:eastAsia="宋体" w:cs="宋体"/>
                      <w:color w:val="FF0000"/>
                      <w:spacing w:val="-2"/>
                      <w:sz w:val="21"/>
                      <w:szCs w:val="21"/>
                    </w:rPr>
                    <w:t>永久占</w:t>
                  </w:r>
                  <w:r>
                    <w:rPr>
                      <w:rFonts w:ascii="宋体" w:hAnsi="宋体" w:eastAsia="宋体" w:cs="宋体"/>
                      <w:color w:val="FF0000"/>
                      <w:spacing w:val="-1"/>
                      <w:sz w:val="21"/>
                      <w:szCs w:val="21"/>
                    </w:rPr>
                    <w:t>地</w:t>
                  </w:r>
                </w:p>
              </w:tc>
              <w:tc>
                <w:tcPr>
                  <w:tcW w:w="12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Arial" w:eastAsia="宋体"/>
                      <w:color w:val="FF0000"/>
                      <w:sz w:val="21"/>
                      <w:lang w:eastAsia="zh-CN"/>
                    </w:rPr>
                  </w:pPr>
                  <w:r>
                    <w:rPr>
                      <w:rFonts w:hint="eastAsia" w:ascii="Arial"/>
                      <w:color w:val="FF0000"/>
                      <w:sz w:val="21"/>
                      <w:lang w:eastAsia="zh-CN"/>
                    </w:rPr>
                    <w:t>亩</w:t>
                  </w:r>
                </w:p>
              </w:tc>
              <w:tc>
                <w:tcPr>
                  <w:tcW w:w="1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FF0000"/>
                      <w:sz w:val="21"/>
                      <w:szCs w:val="21"/>
                      <w:lang w:val="en-US" w:eastAsia="zh-CN"/>
                    </w:rPr>
                  </w:pPr>
                  <w:r>
                    <w:rPr>
                      <w:rFonts w:hint="eastAsia" w:eastAsia="宋体" w:cs="Times New Roman"/>
                      <w:b/>
                      <w:bCs/>
                      <w:color w:val="FF0000"/>
                      <w:spacing w:val="-1"/>
                      <w:sz w:val="21"/>
                      <w:szCs w:val="21"/>
                      <w:lang w:val="en-US" w:eastAsia="zh-CN"/>
                    </w:rPr>
                    <w:t>753.25</w:t>
                  </w:r>
                </w:p>
              </w:tc>
              <w:tc>
                <w:tcPr>
                  <w:tcW w:w="22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Arial" w:eastAsia="宋体"/>
                      <w:color w:val="FF0000"/>
                      <w:sz w:val="21"/>
                      <w:lang w:eastAsia="zh-CN"/>
                    </w:rPr>
                  </w:pPr>
                  <w:r>
                    <w:rPr>
                      <w:rFonts w:hint="eastAsia" w:ascii="Arial"/>
                      <w:color w:val="FF0000"/>
                      <w:sz w:val="21"/>
                      <w:lang w:eastAsia="zh-CN"/>
                    </w:rPr>
                    <w:t>河滩地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17" w:hRule="atLeast"/>
                <w:jc w:val="center"/>
              </w:trPr>
              <w:tc>
                <w:tcPr>
                  <w:tcW w:w="12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FF0000"/>
                      <w:sz w:val="21"/>
                      <w:szCs w:val="21"/>
                    </w:rPr>
                  </w:pPr>
                  <w:r>
                    <w:rPr>
                      <w:rFonts w:ascii="Times New Roman" w:hAnsi="Times New Roman" w:eastAsia="Times New Roman" w:cs="Times New Roman"/>
                      <w:color w:val="FF0000"/>
                      <w:sz w:val="21"/>
                      <w:szCs w:val="21"/>
                    </w:rPr>
                    <w:t>2</w:t>
                  </w:r>
                </w:p>
              </w:tc>
              <w:tc>
                <w:tcPr>
                  <w:tcW w:w="1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FF0000"/>
                      <w:sz w:val="21"/>
                      <w:szCs w:val="21"/>
                    </w:rPr>
                  </w:pPr>
                  <w:r>
                    <w:rPr>
                      <w:rFonts w:ascii="宋体" w:hAnsi="宋体" w:eastAsia="宋体" w:cs="宋体"/>
                      <w:color w:val="FF0000"/>
                      <w:spacing w:val="-5"/>
                      <w:sz w:val="21"/>
                      <w:szCs w:val="21"/>
                    </w:rPr>
                    <w:t>临</w:t>
                  </w:r>
                  <w:r>
                    <w:rPr>
                      <w:rFonts w:ascii="宋体" w:hAnsi="宋体" w:eastAsia="宋体" w:cs="宋体"/>
                      <w:color w:val="FF0000"/>
                      <w:spacing w:val="-4"/>
                      <w:sz w:val="21"/>
                      <w:szCs w:val="21"/>
                    </w:rPr>
                    <w:t>时占地</w:t>
                  </w:r>
                </w:p>
              </w:tc>
              <w:tc>
                <w:tcPr>
                  <w:tcW w:w="12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Arial" w:eastAsia="宋体"/>
                      <w:color w:val="FF0000"/>
                      <w:sz w:val="21"/>
                      <w:lang w:eastAsia="zh-CN"/>
                    </w:rPr>
                  </w:pPr>
                  <w:r>
                    <w:rPr>
                      <w:rFonts w:hint="eastAsia" w:ascii="Arial"/>
                      <w:color w:val="FF0000"/>
                      <w:sz w:val="21"/>
                      <w:lang w:eastAsia="zh-CN"/>
                    </w:rPr>
                    <w:t>亩</w:t>
                  </w:r>
                </w:p>
              </w:tc>
              <w:tc>
                <w:tcPr>
                  <w:tcW w:w="1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FF0000"/>
                      <w:sz w:val="21"/>
                      <w:szCs w:val="21"/>
                    </w:rPr>
                  </w:pPr>
                  <w:r>
                    <w:rPr>
                      <w:rFonts w:ascii="Times New Roman" w:hAnsi="Times New Roman" w:eastAsia="Times New Roman" w:cs="Times New Roman"/>
                      <w:b/>
                      <w:bCs/>
                      <w:color w:val="FF0000"/>
                      <w:spacing w:val="-2"/>
                      <w:sz w:val="21"/>
                      <w:szCs w:val="21"/>
                    </w:rPr>
                    <w:t>135.</w:t>
                  </w:r>
                  <w:r>
                    <w:rPr>
                      <w:rFonts w:ascii="Times New Roman" w:hAnsi="Times New Roman" w:eastAsia="Times New Roman" w:cs="Times New Roman"/>
                      <w:b/>
                      <w:bCs/>
                      <w:color w:val="FF0000"/>
                      <w:spacing w:val="-1"/>
                      <w:sz w:val="21"/>
                      <w:szCs w:val="21"/>
                    </w:rPr>
                    <w:t>0</w:t>
                  </w:r>
                </w:p>
              </w:tc>
              <w:tc>
                <w:tcPr>
                  <w:tcW w:w="22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Arial" w:eastAsia="宋体"/>
                      <w:color w:val="FF0000"/>
                      <w:sz w:val="21"/>
                      <w:lang w:eastAsia="zh-CN"/>
                    </w:rPr>
                  </w:pPr>
                  <w:r>
                    <w:rPr>
                      <w:rFonts w:hint="eastAsia" w:ascii="Arial"/>
                      <w:color w:val="FF0000"/>
                      <w:sz w:val="21"/>
                      <w:lang w:eastAsia="zh-CN"/>
                    </w:rPr>
                    <w:t>河滩地</w:t>
                  </w:r>
                </w:p>
              </w:tc>
            </w:tr>
          </w:tbl>
          <w:p>
            <w:pPr>
              <w:pageBreakBefore w:val="0"/>
              <w:widowControl w:val="0"/>
              <w:kinsoku/>
              <w:wordWrap/>
              <w:overflowPunct/>
              <w:topLinePunct w:val="0"/>
              <w:autoSpaceDE w:val="0"/>
              <w:autoSpaceDN w:val="0"/>
              <w:bidi w:val="0"/>
              <w:adjustRightInd/>
              <w:snapToGrid/>
              <w:spacing w:line="360" w:lineRule="auto"/>
              <w:ind w:right="0" w:firstLine="482" w:firstLineChars="200"/>
              <w:contextualSpacing/>
              <w:textAlignment w:val="auto"/>
              <w:outlineLvl w:val="1"/>
              <w:rPr>
                <w:rFonts w:hint="eastAsia" w:eastAsia="宋体"/>
                <w:b/>
                <w:bCs/>
                <w:color w:val="000000" w:themeColor="text1"/>
                <w:sz w:val="24"/>
                <w:szCs w:val="24"/>
                <w:lang w:val="en-US" w:eastAsia="zh-CN"/>
                <w14:textFill>
                  <w14:solidFill>
                    <w14:schemeClr w14:val="tx1"/>
                  </w14:solidFill>
                </w14:textFill>
              </w:rPr>
            </w:pPr>
            <w:r>
              <w:rPr>
                <w:rFonts w:hint="eastAsia" w:eastAsia="宋体"/>
                <w:b/>
                <w:bCs/>
                <w:color w:val="000000" w:themeColor="text1"/>
                <w:sz w:val="24"/>
                <w:szCs w:val="24"/>
                <w:lang w:val="en-US" w:eastAsia="zh-CN"/>
                <w14:textFill>
                  <w14:solidFill>
                    <w14:schemeClr w14:val="tx1"/>
                  </w14:solidFill>
                </w14:textFill>
              </w:rPr>
              <w:t>3、工程地质条件</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）地形地貌</w:t>
            </w:r>
          </w:p>
          <w:p>
            <w:pPr>
              <w:pStyle w:val="11"/>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olor w:val="000000" w:themeColor="text1"/>
                <w:spacing w:val="0"/>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工程区地处关山—六盘山褶皱带移动的鄂尔多斯地台东南部，宁县境内基本地貌为：东部梁峁沟壑交错，中西部多川台河谷与高原沟壑相间，地形为东北高，西南低，东西长、南北窄，海拔在860m～1760m之间，相对高差900m。根据地貌的成因类型及形态特征分为黄土梁峁、黄土残塬、谷地等地貌单元，各单元内又有一系列的冲沟、陷穴、掌地、崾岘等次级地貌类型，现分别简述如下：</w:t>
            </w:r>
          </w:p>
          <w:p>
            <w:pPr>
              <w:pStyle w:val="11"/>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olor w:val="000000" w:themeColor="text1"/>
                <w:spacing w:val="0"/>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黄土梁峁</w:t>
            </w:r>
            <w:r>
              <w:rPr>
                <w:rFonts w:hint="eastAsia"/>
                <w:color w:val="000000" w:themeColor="text1"/>
                <w:spacing w:val="0"/>
                <w:sz w:val="24"/>
                <w:szCs w:val="24"/>
                <w:lang w:eastAsia="zh-CN"/>
                <w14:textFill>
                  <w14:solidFill>
                    <w14:schemeClr w14:val="tx1"/>
                  </w14:solidFill>
                </w14:textFill>
              </w:rPr>
              <w:t>：</w:t>
            </w:r>
            <w:r>
              <w:rPr>
                <w:rFonts w:hint="eastAsia"/>
                <w:color w:val="000000" w:themeColor="text1"/>
                <w:spacing w:val="0"/>
                <w:sz w:val="24"/>
                <w:szCs w:val="24"/>
                <w14:textFill>
                  <w14:solidFill>
                    <w14:schemeClr w14:val="tx1"/>
                  </w14:solidFill>
                </w14:textFill>
              </w:rPr>
              <w:t>主要分布于东部。黄土梁一般长0.2～3.0km，梁顶宽 30～500m，相对高差100～400m，为黄土斜梁，局部呈峁状凸起，梁峁顶高程 900m～1700m，两侧斜坡坡度10～35º，梁间发育宽浅的掌形洼地及深切的冲沟，冲沟的溯源侵蚀作用较强烈，沟道两侧小型滑坡、崩塌发育，沟内多伴有泥石流的活动。梁峁地带的地层结构特点是上部被黄土覆盖，下部为白垩系泥质粉砂岩及砂岩。</w:t>
            </w:r>
          </w:p>
          <w:p>
            <w:pPr>
              <w:pStyle w:val="11"/>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olor w:val="000000" w:themeColor="text1"/>
                <w:spacing w:val="0"/>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黄土残塬</w:t>
            </w:r>
            <w:r>
              <w:rPr>
                <w:rFonts w:hint="eastAsia"/>
                <w:color w:val="000000" w:themeColor="text1"/>
                <w:spacing w:val="0"/>
                <w:sz w:val="24"/>
                <w:szCs w:val="24"/>
                <w:lang w:eastAsia="zh-CN"/>
                <w14:textFill>
                  <w14:solidFill>
                    <w14:schemeClr w14:val="tx1"/>
                  </w14:solidFill>
                </w14:textFill>
              </w:rPr>
              <w:t>：</w:t>
            </w:r>
            <w:r>
              <w:rPr>
                <w:rFonts w:hint="eastAsia"/>
                <w:color w:val="000000" w:themeColor="text1"/>
                <w:spacing w:val="0"/>
                <w:sz w:val="24"/>
                <w:szCs w:val="24"/>
                <w14:textFill>
                  <w14:solidFill>
                    <w14:schemeClr w14:val="tx1"/>
                  </w14:solidFill>
                </w14:textFill>
              </w:rPr>
              <w:t>分布于黄土梁峁区以及河流谷地外围各次级支沟间，塬面长4～12km不等，一般宽约0.6～2.0km，最宽处可达3km以上。塬面最小面积不足2.5km</w:t>
            </w:r>
            <w:r>
              <w:rPr>
                <w:rFonts w:hint="eastAsia"/>
                <w:color w:val="000000" w:themeColor="text1"/>
                <w:spacing w:val="0"/>
                <w:sz w:val="24"/>
                <w:szCs w:val="24"/>
                <w:vertAlign w:val="superscript"/>
                <w14:textFill>
                  <w14:solidFill>
                    <w14:schemeClr w14:val="tx1"/>
                  </w14:solidFill>
                </w14:textFill>
              </w:rPr>
              <w:t>2</w:t>
            </w:r>
            <w:r>
              <w:rPr>
                <w:rFonts w:hint="eastAsia"/>
                <w:color w:val="000000" w:themeColor="text1"/>
                <w:spacing w:val="0"/>
                <w:sz w:val="24"/>
                <w:szCs w:val="24"/>
                <w14:textFill>
                  <w14:solidFill>
                    <w14:schemeClr w14:val="tx1"/>
                  </w14:solidFill>
                </w14:textFill>
              </w:rPr>
              <w:t>，最大面积可达11km</w:t>
            </w:r>
            <w:r>
              <w:rPr>
                <w:rFonts w:hint="eastAsia"/>
                <w:color w:val="000000" w:themeColor="text1"/>
                <w:spacing w:val="0"/>
                <w:sz w:val="24"/>
                <w:szCs w:val="24"/>
                <w:vertAlign w:val="superscript"/>
                <w14:textFill>
                  <w14:solidFill>
                    <w14:schemeClr w14:val="tx1"/>
                  </w14:solidFill>
                </w14:textFill>
              </w:rPr>
              <w:t>2</w:t>
            </w:r>
            <w:r>
              <w:rPr>
                <w:rFonts w:hint="eastAsia"/>
                <w:color w:val="000000" w:themeColor="text1"/>
                <w:spacing w:val="0"/>
                <w:sz w:val="24"/>
                <w:szCs w:val="24"/>
                <w14:textFill>
                  <w14:solidFill>
                    <w14:schemeClr w14:val="tx1"/>
                  </w14:solidFill>
                </w14:textFill>
              </w:rPr>
              <w:t>左右，平坦开阔,塬侧四周为沟壑，次级冲沟发育，切割深度在200～350m，基底主要为白垩系下统环河组（K1hh）粉砂质泥岩及砂岩。残塬狭窄处形成崾岘地形，塬边斜坡地带黄土冲蚀、溶蚀地貌发育，自然坡度15～40º。</w:t>
            </w:r>
          </w:p>
          <w:p>
            <w:pPr>
              <w:pStyle w:val="11"/>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olor w:val="000000" w:themeColor="text1"/>
                <w:spacing w:val="0"/>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 xml:space="preserve"> 谷地</w:t>
            </w:r>
            <w:r>
              <w:rPr>
                <w:rFonts w:hint="eastAsia"/>
                <w:color w:val="000000" w:themeColor="text1"/>
                <w:spacing w:val="0"/>
                <w:sz w:val="24"/>
                <w:szCs w:val="24"/>
                <w:lang w:eastAsia="zh-CN"/>
                <w14:textFill>
                  <w14:solidFill>
                    <w14:schemeClr w14:val="tx1"/>
                  </w14:solidFill>
                </w14:textFill>
              </w:rPr>
              <w:t>：</w:t>
            </w:r>
            <w:r>
              <w:rPr>
                <w:rFonts w:hint="eastAsia"/>
                <w:color w:val="000000" w:themeColor="text1"/>
                <w:spacing w:val="0"/>
                <w:sz w:val="24"/>
                <w:szCs w:val="24"/>
                <w14:textFill>
                  <w14:solidFill>
                    <w14:schemeClr w14:val="tx1"/>
                  </w14:solidFill>
                </w14:textFill>
              </w:rPr>
              <w:t>系中更新世晚期以来，在区域地壳上升，侵蚀切割作用加剧后，由黄土沟谷发展而形成的“U”型河谷，河谷宽约0.2～2.5km，总体走向由北向南。河谷两侧为支离破碎的残塬，谷底低于外围塬面200～500m。现代河道宽约40～400m，河曲较发育，在两岸河谷共发育有Ⅰ～Ⅲ级河谷阶地。</w:t>
            </w:r>
          </w:p>
          <w:p>
            <w:pPr>
              <w:pStyle w:val="11"/>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olor w:val="000000" w:themeColor="text1"/>
                <w:spacing w:val="0"/>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城北河—湘乐河两岸谷地，Ⅰ级阶地较发育，为堆积阶地，阶面较平坦，微倾向河床，阶面高出现代河床约5～8m；Ⅱ级阶地基本成连续分布，亦为堆积阶地，Ⅱ级阶面宽约200～500m，表面平坦，阶面高于现代河床15～20m。Ⅲ级阶地两岸零星分布，不连续、不对称，阶面略向河床倾斜，横向坡降 5～10‰，宽50～100m，高出河床30～40m，后缘与河谷谷坡相接，阶面上冲沟发育，并延伸至谷坡之上。</w:t>
            </w:r>
          </w:p>
          <w:p>
            <w:pPr>
              <w:pStyle w:val="11"/>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color w:val="000000" w:themeColor="text1"/>
                <w:sz w:val="24"/>
                <w:szCs w:val="24"/>
                <w14:textFill>
                  <w14:solidFill>
                    <w14:schemeClr w14:val="tx1"/>
                  </w14:solidFill>
                </w14:textFill>
              </w:rPr>
            </w:pPr>
            <w:r>
              <w:rPr>
                <w:rFonts w:hint="eastAsia"/>
                <w:color w:val="000000" w:themeColor="text1"/>
                <w:spacing w:val="0"/>
                <w:sz w:val="24"/>
                <w:szCs w:val="24"/>
                <w14:textFill>
                  <w14:solidFill>
                    <w14:schemeClr w14:val="tx1"/>
                  </w14:solidFill>
                </w14:textFill>
              </w:rPr>
              <w:t>次级地貌</w:t>
            </w:r>
            <w:r>
              <w:rPr>
                <w:rFonts w:hint="eastAsia"/>
                <w:color w:val="000000" w:themeColor="text1"/>
                <w:spacing w:val="0"/>
                <w:sz w:val="24"/>
                <w:szCs w:val="24"/>
                <w:lang w:eastAsia="zh-CN"/>
                <w14:textFill>
                  <w14:solidFill>
                    <w14:schemeClr w14:val="tx1"/>
                  </w14:solidFill>
                </w14:textFill>
              </w:rPr>
              <w:t>：</w:t>
            </w:r>
            <w:r>
              <w:rPr>
                <w:rFonts w:hint="eastAsia"/>
                <w:color w:val="000000" w:themeColor="text1"/>
                <w:spacing w:val="0"/>
                <w:sz w:val="24"/>
                <w:szCs w:val="24"/>
                <w14:textFill>
                  <w14:solidFill>
                    <w14:schemeClr w14:val="tx1"/>
                  </w14:solidFill>
                </w14:textFill>
              </w:rPr>
              <w:t>工程区内主要有发育于梁峁间的狭长洼地、掌地，发育于梁峁及残塬间的崾岘和各类地貌单元内的冲沟、陷穴</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）水文地质条件</w:t>
            </w:r>
          </w:p>
          <w:p>
            <w:pPr>
              <w:pStyle w:val="11"/>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第四系孔隙潜水：赋存于塬区黄土及沟谷砂砾石层中。塬区含水层为老黄土及古黄土，地下水受大气降水补给，且多赋存于黄土孔洞、裂隙和孔隙中，在古土壤层形成局部上层滞水，水位埋深一般 </w:t>
            </w:r>
            <w:r>
              <w:rPr>
                <w:rFonts w:ascii="Times New Roman" w:eastAsia="Times New Roman"/>
                <w:color w:val="000000" w:themeColor="text1"/>
                <w:sz w:val="24"/>
                <w:szCs w:val="24"/>
                <w14:textFill>
                  <w14:solidFill>
                    <w14:schemeClr w14:val="tx1"/>
                  </w14:solidFill>
                </w14:textFill>
              </w:rPr>
              <w:t>20</w:t>
            </w:r>
            <w:r>
              <w:rPr>
                <w:color w:val="000000" w:themeColor="text1"/>
                <w:sz w:val="24"/>
                <w:szCs w:val="24"/>
                <w14:textFill>
                  <w14:solidFill>
                    <w14:schemeClr w14:val="tx1"/>
                  </w14:solidFill>
                </w14:textFill>
              </w:rPr>
              <w:t>～</w:t>
            </w:r>
            <w:r>
              <w:rPr>
                <w:rFonts w:ascii="Times New Roman" w:eastAsia="Times New Roman"/>
                <w:color w:val="000000" w:themeColor="text1"/>
                <w:sz w:val="24"/>
                <w:szCs w:val="24"/>
                <w14:textFill>
                  <w14:solidFill>
                    <w14:schemeClr w14:val="tx1"/>
                  </w14:solidFill>
                </w14:textFill>
              </w:rPr>
              <w:t>30m</w:t>
            </w:r>
            <w:r>
              <w:rPr>
                <w:color w:val="000000" w:themeColor="text1"/>
                <w:sz w:val="24"/>
                <w:szCs w:val="24"/>
                <w14:textFill>
                  <w14:solidFill>
                    <w14:schemeClr w14:val="tx1"/>
                  </w14:solidFill>
                </w14:textFill>
              </w:rPr>
              <w:t>，为当地村民生活用水源，在冲沟中以泉水形式排出，对普通水泥无腐蚀性。沟谷区地下水受大气降水及残塬区潜水补给，向河道及其下游排泄，水量小。</w:t>
            </w:r>
          </w:p>
          <w:p>
            <w:pPr>
              <w:pStyle w:val="11"/>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基岩裂隙水：赋存于白垩系泥质砂岩夹页岩、细砂岩裂隙及风化带中，受第四系孔隙性潜水补给，向河谷排泄或以泉水溢出，水量较小。湘乐川河Ⅰ级阶地地下水埋深</w:t>
            </w:r>
            <w:r>
              <w:rPr>
                <w:rFonts w:ascii="Times New Roman" w:hAnsi="Times New Roman" w:eastAsia="Times New Roman"/>
                <w:color w:val="000000" w:themeColor="text1"/>
                <w:sz w:val="24"/>
                <w:szCs w:val="24"/>
                <w14:textFill>
                  <w14:solidFill>
                    <w14:schemeClr w14:val="tx1"/>
                  </w14:solidFill>
                </w14:textFill>
              </w:rPr>
              <w:t>10m</w:t>
            </w:r>
            <w:r>
              <w:rPr>
                <w:color w:val="000000" w:themeColor="text1"/>
                <w:sz w:val="24"/>
                <w:szCs w:val="24"/>
                <w14:textFill>
                  <w14:solidFill>
                    <w14:schemeClr w14:val="tx1"/>
                  </w14:solidFill>
                </w14:textFill>
              </w:rPr>
              <w:t>，河漫滩地下水埋深</w:t>
            </w:r>
            <w:r>
              <w:rPr>
                <w:rFonts w:ascii="Times New Roman" w:hAnsi="Times New Roman" w:eastAsia="Times New Roman"/>
                <w:color w:val="000000" w:themeColor="text1"/>
                <w:sz w:val="24"/>
                <w:szCs w:val="24"/>
                <w14:textFill>
                  <w14:solidFill>
                    <w14:schemeClr w14:val="tx1"/>
                  </w14:solidFill>
                </w14:textFill>
              </w:rPr>
              <w:t>1.5m</w:t>
            </w:r>
            <w:r>
              <w:rPr>
                <w:color w:val="000000" w:themeColor="text1"/>
                <w:sz w:val="24"/>
                <w:szCs w:val="24"/>
                <w14:textFill>
                  <w14:solidFill>
                    <w14:schemeClr w14:val="tx1"/>
                  </w14:solidFill>
                </w14:textFill>
              </w:rPr>
              <w:t>。分布于河床、河漫滩及Ⅰ阶地。</w:t>
            </w:r>
          </w:p>
          <w:p>
            <w:pPr>
              <w:pStyle w:val="11"/>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page">
                        <wp:posOffset>2729230</wp:posOffset>
                      </wp:positionH>
                      <wp:positionV relativeFrom="paragraph">
                        <wp:posOffset>439420</wp:posOffset>
                      </wp:positionV>
                      <wp:extent cx="536575" cy="762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536575" cy="76200"/>
                              </a:xfrm>
                              <a:prstGeom prst="rect">
                                <a:avLst/>
                              </a:prstGeom>
                              <a:noFill/>
                              <a:ln>
                                <a:noFill/>
                              </a:ln>
                            </wps:spPr>
                            <wps:txbx>
                              <w:txbxContent>
                                <w:p>
                                  <w:pPr>
                                    <w:tabs>
                                      <w:tab w:val="left" w:pos="784"/>
                                    </w:tabs>
                                    <w:spacing w:before="0" w:line="120" w:lineRule="exact"/>
                                    <w:ind w:left="0" w:right="0" w:firstLine="0"/>
                                    <w:jc w:val="left"/>
                                    <w:rPr>
                                      <w:sz w:val="12"/>
                                    </w:rPr>
                                  </w:pPr>
                                  <w:r>
                                    <w:rPr>
                                      <w:sz w:val="12"/>
                                    </w:rPr>
                                    <w:t>3</w:t>
                                  </w:r>
                                  <w:r>
                                    <w:rPr>
                                      <w:sz w:val="12"/>
                                    </w:rPr>
                                    <w:tab/>
                                  </w:r>
                                  <w:r>
                                    <w:rPr>
                                      <w:spacing w:val="-20"/>
                                      <w:sz w:val="12"/>
                                    </w:rPr>
                                    <w:t>4</w:t>
                                  </w:r>
                                </w:p>
                              </w:txbxContent>
                            </wps:txbx>
                            <wps:bodyPr lIns="0" tIns="0" rIns="0" bIns="0" upright="1"/>
                          </wps:wsp>
                        </a:graphicData>
                      </a:graphic>
                    </wp:anchor>
                  </w:drawing>
                </mc:Choice>
                <mc:Fallback>
                  <w:pict>
                    <v:shape id="_x0000_s1026" o:spid="_x0000_s1026" o:spt="202" type="#_x0000_t202" style="position:absolute;left:0pt;margin-left:214.9pt;margin-top:34.6pt;height:6pt;width:42.25pt;mso-position-horizontal-relative:page;z-index:-251657216;mso-width-relative:page;mso-height-relative:page;" filled="f" stroked="f" coordsize="21600,21600" o:gfxdata="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JYof3ZAAAACQEAAA8AAAAAAAAAAQAgAAAAIgAAAGRycy9kb3ducmV2LnhtbFBLAQIU&#10;ABQAAAAIAIdO4kALeW0/uQEAAHADAAAOAAAAAAAAAAEAIAAAACgBAABkcnMvZTJvRG9jLnhtbFBL&#10;BQYAAAAABgAGAFkBAABTBQAAAAA=&#10;">
                      <v:fill on="f" focussize="0,0"/>
                      <v:stroke on="f"/>
                      <v:imagedata o:title=""/>
                      <o:lock v:ext="edit" aspectratio="f"/>
                      <v:textbox inset="0mm,0mm,0mm,0mm">
                        <w:txbxContent>
                          <w:p>
                            <w:pPr>
                              <w:tabs>
                                <w:tab w:val="left" w:pos="784"/>
                              </w:tabs>
                              <w:spacing w:before="0" w:line="120" w:lineRule="exact"/>
                              <w:ind w:left="0" w:right="0" w:firstLine="0"/>
                              <w:jc w:val="left"/>
                              <w:rPr>
                                <w:sz w:val="12"/>
                              </w:rPr>
                            </w:pPr>
                            <w:r>
                              <w:rPr>
                                <w:sz w:val="12"/>
                              </w:rPr>
                              <w:t>3</w:t>
                            </w:r>
                            <w:r>
                              <w:rPr>
                                <w:sz w:val="12"/>
                              </w:rPr>
                              <w:tab/>
                            </w:r>
                            <w:r>
                              <w:rPr>
                                <w:spacing w:val="-20"/>
                                <w:sz w:val="12"/>
                              </w:rPr>
                              <w:t>4</w:t>
                            </w:r>
                          </w:p>
                        </w:txbxContent>
                      </v:textbox>
                    </v:shape>
                  </w:pict>
                </mc:Fallback>
              </mc:AlternateContent>
            </w:r>
            <w:r>
              <w:rPr>
                <w:color w:val="000000" w:themeColor="text1"/>
                <w:spacing w:val="-5"/>
                <w:sz w:val="24"/>
                <w:szCs w:val="24"/>
                <w14:textFill>
                  <w14:solidFill>
                    <w14:schemeClr w14:val="tx1"/>
                  </w14:solidFill>
                </w14:textFill>
              </w:rPr>
              <w:t>本阶段在治理河段采取</w:t>
            </w:r>
            <w:r>
              <w:rPr>
                <w:color w:val="000000" w:themeColor="text1"/>
                <w:sz w:val="24"/>
                <w:szCs w:val="24"/>
                <w14:textFill>
                  <w14:solidFill>
                    <w14:schemeClr w14:val="tx1"/>
                  </w14:solidFill>
                </w14:textFill>
              </w:rPr>
              <w:t>1</w:t>
            </w:r>
            <w:r>
              <w:rPr>
                <w:color w:val="000000" w:themeColor="text1"/>
                <w:spacing w:val="-6"/>
                <w:sz w:val="24"/>
                <w:szCs w:val="24"/>
                <w14:textFill>
                  <w14:solidFill>
                    <w14:schemeClr w14:val="tx1"/>
                  </w14:solidFill>
                </w14:textFill>
              </w:rPr>
              <w:t>组水样，水质分析成果见水质化验单，湘乐川治理河</w:t>
            </w:r>
            <w:r>
              <w:rPr>
                <w:color w:val="000000" w:themeColor="text1"/>
                <w:spacing w:val="20"/>
                <w:sz w:val="24"/>
                <w:szCs w:val="24"/>
                <w14:textFill>
                  <w14:solidFill>
                    <w14:schemeClr w14:val="tx1"/>
                  </w14:solidFill>
                </w14:textFill>
              </w:rPr>
              <w:t>段河水水质类型为</w:t>
            </w:r>
            <w:r>
              <w:rPr>
                <w:color w:val="000000" w:themeColor="text1"/>
                <w:sz w:val="21"/>
                <w:szCs w:val="21"/>
                <w14:textFill>
                  <w14:solidFill>
                    <w14:schemeClr w14:val="tx1"/>
                  </w14:solidFill>
                </w14:textFill>
              </w:rPr>
              <w:t>HC0</w:t>
            </w:r>
            <w:r>
              <w:rPr>
                <w:color w:val="000000" w:themeColor="text1"/>
                <w:spacing w:val="2"/>
                <w14:textFill>
                  <w14:solidFill>
                    <w14:schemeClr w14:val="tx1"/>
                  </w14:solidFill>
                </w14:textFill>
              </w:rPr>
              <w:t xml:space="preserve"> </w:t>
            </w:r>
            <w:r>
              <w:rPr>
                <w:color w:val="000000" w:themeColor="text1"/>
                <w:spacing w:val="-15"/>
                <w:position w:val="12"/>
                <w:sz w:val="12"/>
                <w14:textFill>
                  <w14:solidFill>
                    <w14:schemeClr w14:val="tx1"/>
                  </w14:solidFill>
                </w14:textFill>
              </w:rPr>
              <w:t xml:space="preserve">一 </w:t>
            </w:r>
            <w:r>
              <w:rPr>
                <w:color w:val="000000" w:themeColor="text1"/>
                <w:spacing w:val="-45"/>
                <w14:textFill>
                  <w14:solidFill>
                    <w14:schemeClr w14:val="tx1"/>
                  </w14:solidFill>
                </w14:textFill>
              </w:rPr>
              <w:t xml:space="preserve">— </w:t>
            </w:r>
            <w:r>
              <w:rPr>
                <w:color w:val="000000" w:themeColor="text1"/>
                <w14:textFill>
                  <w14:solidFill>
                    <w14:schemeClr w14:val="tx1"/>
                  </w14:solidFill>
                </w14:textFill>
              </w:rPr>
              <w:t>S0</w:t>
            </w:r>
            <w:r>
              <w:rPr>
                <w:color w:val="000000" w:themeColor="text1"/>
                <w:spacing w:val="-60"/>
                <w14:textFill>
                  <w14:solidFill>
                    <w14:schemeClr w14:val="tx1"/>
                  </w14:solidFill>
                </w14:textFill>
              </w:rPr>
              <w:t xml:space="preserve"> </w:t>
            </w:r>
            <w:r>
              <w:rPr>
                <w:color w:val="000000" w:themeColor="text1"/>
                <w:position w:val="12"/>
                <w:sz w:val="12"/>
                <w14:textFill>
                  <w14:solidFill>
                    <w14:schemeClr w14:val="tx1"/>
                  </w14:solidFill>
                </w14:textFill>
              </w:rPr>
              <w:t>2</w:t>
            </w:r>
            <w:r>
              <w:rPr>
                <w:color w:val="000000" w:themeColor="text1"/>
                <w:spacing w:val="-27"/>
                <w:position w:val="12"/>
                <w:sz w:val="12"/>
                <w14:textFill>
                  <w14:solidFill>
                    <w14:schemeClr w14:val="tx1"/>
                  </w14:solidFill>
                </w14:textFill>
              </w:rPr>
              <w:t xml:space="preserve"> </w:t>
            </w:r>
            <w:r>
              <w:rPr>
                <w:color w:val="000000" w:themeColor="text1"/>
                <w:spacing w:val="-45"/>
                <w14:textFill>
                  <w14:solidFill>
                    <w14:schemeClr w14:val="tx1"/>
                  </w14:solidFill>
                </w14:textFill>
              </w:rPr>
              <w:t xml:space="preserve">— </w:t>
            </w:r>
            <w:r>
              <w:rPr>
                <w:color w:val="000000" w:themeColor="text1"/>
                <w14:textFill>
                  <w14:solidFill>
                    <w14:schemeClr w14:val="tx1"/>
                  </w14:solidFill>
                </w14:textFill>
              </w:rPr>
              <w:t>Ca</w:t>
            </w:r>
            <w:r>
              <w:rPr>
                <w:color w:val="000000" w:themeColor="text1"/>
                <w:position w:val="12"/>
                <w:sz w:val="12"/>
                <w14:textFill>
                  <w14:solidFill>
                    <w14:schemeClr w14:val="tx1"/>
                  </w14:solidFill>
                </w14:textFill>
              </w:rPr>
              <w:t>2+</w:t>
            </w:r>
            <w:r>
              <w:rPr>
                <w:color w:val="000000" w:themeColor="text1"/>
                <w:spacing w:val="-27"/>
                <w:position w:val="12"/>
                <w:sz w:val="12"/>
                <w14:textFill>
                  <w14:solidFill>
                    <w14:schemeClr w14:val="tx1"/>
                  </w14:solidFill>
                </w14:textFill>
              </w:rPr>
              <w:t xml:space="preserve"> </w:t>
            </w:r>
            <w:r>
              <w:rPr>
                <w:color w:val="000000" w:themeColor="text1"/>
                <w:spacing w:val="-45"/>
                <w14:textFill>
                  <w14:solidFill>
                    <w14:schemeClr w14:val="tx1"/>
                  </w14:solidFill>
                </w14:textFill>
              </w:rPr>
              <w:t xml:space="preserve">— </w:t>
            </w:r>
            <w:r>
              <w:rPr>
                <w:color w:val="000000" w:themeColor="text1"/>
                <w14:textFill>
                  <w14:solidFill>
                    <w14:schemeClr w14:val="tx1"/>
                  </w14:solidFill>
                </w14:textFill>
              </w:rPr>
              <w:t>K</w:t>
            </w:r>
            <w:r>
              <w:rPr>
                <w:color w:val="000000" w:themeColor="text1"/>
                <w:position w:val="12"/>
                <w:sz w:val="12"/>
                <w14:textFill>
                  <w14:solidFill>
                    <w14:schemeClr w14:val="tx1"/>
                  </w14:solidFill>
                </w14:textFill>
              </w:rPr>
              <w:t>+</w:t>
            </w:r>
            <w:r>
              <w:rPr>
                <w:color w:val="000000" w:themeColor="text1"/>
                <w14:textFill>
                  <w14:solidFill>
                    <w14:schemeClr w14:val="tx1"/>
                  </w14:solidFill>
                </w14:textFill>
              </w:rPr>
              <w:t>+Na</w:t>
            </w:r>
            <w:r>
              <w:rPr>
                <w:color w:val="000000" w:themeColor="text1"/>
                <w:spacing w:val="-15"/>
                <w:position w:val="12"/>
                <w:sz w:val="12"/>
                <w14:textFill>
                  <w14:solidFill>
                    <w14:schemeClr w14:val="tx1"/>
                  </w14:solidFill>
                </w14:textFill>
              </w:rPr>
              <w:t xml:space="preserve">+ </w:t>
            </w:r>
            <w:r>
              <w:rPr>
                <w:color w:val="000000" w:themeColor="text1"/>
                <w:spacing w:val="-44"/>
                <w14:textFill>
                  <w14:solidFill>
                    <w14:schemeClr w14:val="tx1"/>
                  </w14:solidFill>
                </w14:textFill>
              </w:rPr>
              <w:t xml:space="preserve">— </w:t>
            </w:r>
            <w:r>
              <w:rPr>
                <w:color w:val="000000" w:themeColor="text1"/>
                <w14:textFill>
                  <w14:solidFill>
                    <w14:schemeClr w14:val="tx1"/>
                  </w14:solidFill>
                </w14:textFill>
              </w:rPr>
              <w:t>Mg</w:t>
            </w:r>
            <w:r>
              <w:rPr>
                <w:color w:val="000000" w:themeColor="text1"/>
                <w:position w:val="12"/>
                <w:sz w:val="12"/>
                <w14:textFill>
                  <w14:solidFill>
                    <w14:schemeClr w14:val="tx1"/>
                  </w14:solidFill>
                </w14:textFill>
              </w:rPr>
              <w:t>2+</w:t>
            </w:r>
            <w:r>
              <w:rPr>
                <w:color w:val="000000" w:themeColor="text1"/>
                <w:spacing w:val="-29"/>
                <w:position w:val="12"/>
                <w:sz w:val="12"/>
                <w14:textFill>
                  <w14:solidFill>
                    <w14:schemeClr w14:val="tx1"/>
                  </w14:solidFill>
                </w14:textFill>
              </w:rPr>
              <w:t xml:space="preserve"> </w:t>
            </w:r>
            <w:r>
              <w:rPr>
                <w:rFonts w:hint="eastAsia"/>
                <w:color w:val="000000" w:themeColor="text1"/>
                <w:spacing w:val="14"/>
                <w:sz w:val="24"/>
                <w:szCs w:val="24"/>
                <w:lang w:val="en-US" w:eastAsia="zh-CN"/>
                <w14:textFill>
                  <w14:solidFill>
                    <w14:schemeClr w14:val="tx1"/>
                  </w14:solidFill>
                </w14:textFill>
              </w:rPr>
              <w:t>,</w:t>
            </w:r>
            <w:r>
              <w:rPr>
                <w:color w:val="000000" w:themeColor="text1"/>
                <w:spacing w:val="14"/>
                <w:sz w:val="24"/>
                <w:szCs w:val="24"/>
                <w14:textFill>
                  <w14:solidFill>
                    <w14:schemeClr w14:val="tx1"/>
                  </w14:solidFill>
                </w14:textFill>
              </w:rPr>
              <w:t>硫酸根离子含量为462.00mg/L，</w:t>
            </w:r>
            <w:r>
              <w:rPr>
                <w:rFonts w:ascii="Times New Roman" w:hAnsi="Times New Roman" w:eastAsia="Times New Roman"/>
                <w:color w:val="000000" w:themeColor="text1"/>
                <w:spacing w:val="14"/>
                <w:sz w:val="24"/>
                <w:szCs w:val="24"/>
                <w14:textFill>
                  <w14:solidFill>
                    <w14:schemeClr w14:val="tx1"/>
                  </w14:solidFill>
                </w14:textFill>
              </w:rPr>
              <w:t>PH</w:t>
            </w:r>
            <w:r>
              <w:rPr>
                <w:color w:val="000000" w:themeColor="text1"/>
                <w:sz w:val="24"/>
                <w:szCs w:val="24"/>
                <w14:textFill>
                  <w14:solidFill>
                    <w14:schemeClr w14:val="tx1"/>
                  </w14:solidFill>
                </w14:textFill>
              </w:rPr>
              <w:t>值：</w:t>
            </w:r>
            <w:r>
              <w:rPr>
                <w:rFonts w:ascii="Times New Roman" w:hAnsi="Times New Roman" w:eastAsia="Times New Roman"/>
                <w:color w:val="000000" w:themeColor="text1"/>
                <w:sz w:val="24"/>
                <w:szCs w:val="24"/>
                <w14:textFill>
                  <w14:solidFill>
                    <w14:schemeClr w14:val="tx1"/>
                  </w14:solidFill>
                </w14:textFill>
              </w:rPr>
              <w:t>8.02mg/L</w:t>
            </w:r>
            <w:r>
              <w:rPr>
                <w:color w:val="000000" w:themeColor="text1"/>
                <w:sz w:val="24"/>
                <w:szCs w:val="24"/>
                <w14:textFill>
                  <w14:solidFill>
                    <w14:schemeClr w14:val="tx1"/>
                  </w14:solidFill>
                </w14:textFill>
              </w:rPr>
              <w:t>，镁：</w:t>
            </w:r>
            <w:r>
              <w:rPr>
                <w:rFonts w:ascii="Times New Roman" w:hAnsi="Times New Roman" w:eastAsia="Times New Roman"/>
                <w:color w:val="000000" w:themeColor="text1"/>
                <w:sz w:val="24"/>
                <w:szCs w:val="24"/>
                <w14:textFill>
                  <w14:solidFill>
                    <w14:schemeClr w14:val="tx1"/>
                  </w14:solidFill>
                </w14:textFill>
              </w:rPr>
              <w:t>1.69mg/L</w:t>
            </w:r>
            <w:r>
              <w:rPr>
                <w:color w:val="000000" w:themeColor="text1"/>
                <w:sz w:val="24"/>
                <w:szCs w:val="24"/>
                <w14:textFill>
                  <w14:solidFill>
                    <w14:schemeClr w14:val="tx1"/>
                  </w14:solidFill>
                </w14:textFill>
              </w:rPr>
              <w:t>，河水对混凝土结构无腐蚀性。</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）工程地质条件</w:t>
            </w:r>
          </w:p>
          <w:p>
            <w:pPr>
              <w:pStyle w:val="47"/>
              <w:keepNext w:val="0"/>
              <w:keepLines w:val="0"/>
              <w:pageBreakBefore w:val="0"/>
              <w:numPr>
                <w:ilvl w:val="0"/>
                <w:numId w:val="0"/>
              </w:numPr>
              <w:tabs>
                <w:tab w:val="left" w:pos="1002"/>
              </w:tabs>
              <w:kinsoku/>
              <w:wordWrap/>
              <w:overflowPunct/>
              <w:topLinePunct w:val="0"/>
              <w:autoSpaceDE/>
              <w:autoSpaceDN/>
              <w:bidi w:val="0"/>
              <w:adjustRightInd/>
              <w:snapToGrid/>
              <w:spacing w:line="360" w:lineRule="auto"/>
              <w:ind w:right="0" w:rightChars="0" w:firstLine="480" w:firstLineChars="200"/>
              <w:jc w:val="left"/>
              <w:textAlignment w:val="auto"/>
              <w:rPr>
                <w:color w:val="000000" w:themeColor="text1"/>
                <w:sz w:val="24"/>
                <w:szCs w:val="24"/>
                <w14:textFill>
                  <w14:solidFill>
                    <w14:schemeClr w14:val="tx1"/>
                  </w14:solidFill>
                </w14:textFill>
              </w:rPr>
            </w:pPr>
            <w:r>
              <w:rPr>
                <w:color w:val="000000" w:themeColor="text1"/>
                <w:position w:val="2"/>
                <w:sz w:val="24"/>
                <w:szCs w:val="24"/>
                <w14:textFill>
                  <w14:solidFill>
                    <w14:schemeClr w14:val="tx1"/>
                  </w14:solidFill>
                </w14:textFill>
              </w:rPr>
              <w:t>拟建护岸工程堤基岩性为第四系全新统</w:t>
            </w:r>
            <w:r>
              <w:rPr>
                <w:rFonts w:ascii="Times New Roman" w:eastAsia="Times New Roman"/>
                <w:color w:val="000000" w:themeColor="text1"/>
                <w:position w:val="2"/>
                <w:sz w:val="24"/>
                <w:szCs w:val="24"/>
                <w14:textFill>
                  <w14:solidFill>
                    <w14:schemeClr w14:val="tx1"/>
                  </w14:solidFill>
                </w14:textFill>
              </w:rPr>
              <w:t>(Q</w:t>
            </w:r>
            <w:r>
              <w:rPr>
                <w:rFonts w:ascii="Times New Roman" w:eastAsia="Times New Roman"/>
                <w:color w:val="000000" w:themeColor="text1"/>
                <w:position w:val="2"/>
                <w:sz w:val="24"/>
                <w:szCs w:val="24"/>
                <w:vertAlign w:val="subscript"/>
                <w14:textFill>
                  <w14:solidFill>
                    <w14:schemeClr w14:val="tx1"/>
                  </w14:solidFill>
                </w14:textFill>
              </w:rPr>
              <w:t>4</w:t>
            </w:r>
            <w:r>
              <w:rPr>
                <w:rFonts w:ascii="Times New Roman" w:eastAsia="Times New Roman"/>
                <w:color w:val="000000" w:themeColor="text1"/>
                <w:position w:val="2"/>
                <w:sz w:val="24"/>
                <w:szCs w:val="24"/>
                <w:vertAlign w:val="baseline"/>
                <w14:textFill>
                  <w14:solidFill>
                    <w14:schemeClr w14:val="tx1"/>
                  </w14:solidFill>
                </w14:textFill>
              </w:rPr>
              <w:t>)</w:t>
            </w:r>
            <w:r>
              <w:rPr>
                <w:color w:val="000000" w:themeColor="text1"/>
                <w:spacing w:val="-2"/>
                <w:position w:val="2"/>
                <w:sz w:val="24"/>
                <w:szCs w:val="24"/>
                <w:vertAlign w:val="baseline"/>
                <w14:textFill>
                  <w14:solidFill>
                    <w14:schemeClr w14:val="tx1"/>
                  </w14:solidFill>
                </w14:textFill>
              </w:rPr>
              <w:t>冲洪积砂卵砾石，堤基范围内无</w:t>
            </w:r>
            <w:r>
              <w:rPr>
                <w:color w:val="000000" w:themeColor="text1"/>
                <w:sz w:val="24"/>
                <w:szCs w:val="24"/>
                <w:vertAlign w:val="baseline"/>
                <w14:textFill>
                  <w14:solidFill>
                    <w14:schemeClr w14:val="tx1"/>
                  </w14:solidFill>
                </w14:textFill>
              </w:rPr>
              <w:t>不良堤基土分布，地基承载力高，抗滑稳定条件好。</w:t>
            </w:r>
          </w:p>
          <w:p>
            <w:pPr>
              <w:autoSpaceDE w:val="0"/>
              <w:autoSpaceDN w:val="0"/>
              <w:adjustRightInd w:val="0"/>
              <w:spacing w:line="360" w:lineRule="auto"/>
              <w:ind w:right="-1"/>
              <w:contextualSpacing/>
              <w:outlineLvl w:val="1"/>
              <w:rPr>
                <w:rFonts w:hint="eastAsia" w:eastAsia="宋体"/>
                <w:b/>
                <w:bCs/>
                <w:color w:val="000000" w:themeColor="text1"/>
                <w:sz w:val="24"/>
                <w:szCs w:val="24"/>
                <w:lang w:val="en-US" w:eastAsia="zh-CN"/>
                <w14:textFill>
                  <w14:solidFill>
                    <w14:schemeClr w14:val="tx1"/>
                  </w14:solidFill>
                </w14:textFill>
              </w:rPr>
            </w:pPr>
            <w:r>
              <w:rPr>
                <w:color w:val="000000" w:themeColor="text1"/>
                <w:spacing w:val="-6"/>
                <w:sz w:val="24"/>
                <w:szCs w:val="24"/>
                <w14:textFill>
                  <w14:solidFill>
                    <w14:schemeClr w14:val="tx1"/>
                  </w14:solidFill>
                </w14:textFill>
              </w:rPr>
              <w:t>抗冲刷条件：治理河段属冲刷堆积型河道，治理河段为暴雨排洪段，洪水季</w:t>
            </w:r>
            <w:r>
              <w:rPr>
                <w:color w:val="000000" w:themeColor="text1"/>
                <w:spacing w:val="-10"/>
                <w:sz w:val="24"/>
                <w:szCs w:val="24"/>
                <w14:textFill>
                  <w14:solidFill>
                    <w14:schemeClr w14:val="tx1"/>
                  </w14:solidFill>
                </w14:textFill>
              </w:rPr>
              <w:t>节水流侧蚀疆烈。砂卵砾石地基抗冲刷能力较差，堤基础需置于最大冲刷深度以下</w:t>
            </w:r>
            <w:r>
              <w:rPr>
                <w:rFonts w:hint="eastAsia"/>
                <w:color w:val="000000" w:themeColor="text1"/>
                <w:spacing w:val="-10"/>
                <w:sz w:val="24"/>
                <w:szCs w:val="24"/>
                <w:lang w:eastAsia="zh-CN"/>
                <w14:textFill>
                  <w14:solidFill>
                    <w14:schemeClr w14:val="tx1"/>
                  </w14:solidFill>
                </w14:textFill>
              </w:rPr>
              <w:t>。</w:t>
            </w:r>
          </w:p>
          <w:p>
            <w:pPr>
              <w:autoSpaceDE w:val="0"/>
              <w:autoSpaceDN w:val="0"/>
              <w:adjustRightInd w:val="0"/>
              <w:spacing w:line="360" w:lineRule="auto"/>
              <w:ind w:right="-1"/>
              <w:contextualSpacing/>
              <w:outlineLvl w:val="1"/>
              <w:rPr>
                <w:rFonts w:ascii="Times New Roman" w:hAnsi="Times New Roman" w:eastAsia="宋体"/>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w:t>
            </w:r>
            <w:r>
              <w:rPr>
                <w:rFonts w:ascii="Times New Roman" w:hAnsi="Times New Roman" w:eastAsia="宋体"/>
                <w:b/>
                <w:bCs/>
                <w:color w:val="000000" w:themeColor="text1"/>
                <w:sz w:val="24"/>
                <w:szCs w:val="24"/>
                <w14:textFill>
                  <w14:solidFill>
                    <w14:schemeClr w14:val="tx1"/>
                  </w14:solidFill>
                </w14:textFill>
              </w:rPr>
              <w:t>劳动定员与工作制度</w:t>
            </w:r>
          </w:p>
          <w:p>
            <w:pPr>
              <w:spacing w:line="360" w:lineRule="auto"/>
              <w:ind w:firstLine="480" w:firstLineChars="200"/>
              <w:rPr>
                <w:rFonts w:ascii="Times New Roman" w:hAnsi="Times New Roman" w:eastAsia="宋体"/>
                <w:color w:val="000000" w:themeColor="text1"/>
                <w:kern w:val="0"/>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本项目施工期施工平均人数为</w:t>
            </w:r>
            <w:r>
              <w:rPr>
                <w:rFonts w:hint="eastAsia"/>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0人。</w:t>
            </w:r>
            <w:r>
              <w:rPr>
                <w:rFonts w:hint="eastAsia" w:ascii="Times New Roman" w:hAnsi="Times New Roman" w:eastAsia="宋体"/>
                <w:color w:val="000000" w:themeColor="text1"/>
                <w:sz w:val="24"/>
                <w:szCs w:val="24"/>
                <w:highlight w:val="none"/>
                <w14:textFill>
                  <w14:solidFill>
                    <w14:schemeClr w14:val="tx1"/>
                  </w14:solidFill>
                </w14:textFill>
              </w:rPr>
              <w:t>运</w:t>
            </w:r>
            <w:r>
              <w:rPr>
                <w:rFonts w:hint="eastAsia" w:ascii="Times New Roman" w:hAnsi="Times New Roman" w:eastAsia="宋体"/>
                <w:color w:val="000000" w:themeColor="text1"/>
                <w:sz w:val="24"/>
                <w:szCs w:val="24"/>
                <w:highlight w:val="none"/>
                <w:lang w:eastAsia="zh-CN"/>
                <w14:textFill>
                  <w14:solidFill>
                    <w14:schemeClr w14:val="tx1"/>
                  </w14:solidFill>
                </w14:textFill>
              </w:rPr>
              <w:t>营</w:t>
            </w:r>
            <w:r>
              <w:rPr>
                <w:rFonts w:hint="eastAsia" w:ascii="Times New Roman" w:hAnsi="Times New Roman" w:eastAsia="宋体"/>
                <w:color w:val="000000" w:themeColor="text1"/>
                <w:sz w:val="24"/>
                <w:szCs w:val="24"/>
                <w:highlight w:val="none"/>
                <w14:textFill>
                  <w14:solidFill>
                    <w14:schemeClr w14:val="tx1"/>
                  </w14:solidFill>
                </w14:textFill>
              </w:rPr>
              <w:t>期的人员</w:t>
            </w:r>
            <w:r>
              <w:rPr>
                <w:rFonts w:hint="eastAsia"/>
                <w:color w:val="000000" w:themeColor="text1"/>
                <w:sz w:val="24"/>
                <w:szCs w:val="24"/>
                <w:highlight w:val="none"/>
                <w:lang w:eastAsia="zh-CN"/>
                <w14:textFill>
                  <w14:solidFill>
                    <w14:schemeClr w14:val="tx1"/>
                  </w14:solidFill>
                </w14:textFill>
              </w:rPr>
              <w:t>为宁县水利建设管理站人员</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主要兼顾该项目</w:t>
            </w:r>
            <w:r>
              <w:rPr>
                <w:rFonts w:hint="eastAsia" w:ascii="Times New Roman" w:hAnsi="Times New Roman" w:eastAsia="宋体"/>
                <w:color w:val="000000" w:themeColor="text1"/>
                <w:sz w:val="24"/>
                <w:szCs w:val="24"/>
                <w:highlight w:val="none"/>
                <w14:textFill>
                  <w14:solidFill>
                    <w14:schemeClr w14:val="tx1"/>
                  </w14:solidFill>
                </w14:textFill>
              </w:rPr>
              <w:t>巡护管理</w:t>
            </w:r>
            <w:r>
              <w:rPr>
                <w:rFonts w:hint="eastAsia"/>
                <w:color w:val="000000" w:themeColor="text1"/>
                <w:sz w:val="24"/>
                <w:szCs w:val="24"/>
                <w:highlight w:val="none"/>
                <w:lang w:eastAsia="zh-CN"/>
                <w14:textFill>
                  <w14:solidFill>
                    <w14:schemeClr w14:val="tx1"/>
                  </w14:solidFill>
                </w14:textFill>
              </w:rPr>
              <w:t>工作</w:t>
            </w:r>
            <w:r>
              <w:rPr>
                <w:rFonts w:hint="eastAsia" w:ascii="Times New Roman" w:hAnsi="Times New Roman" w:eastAsia="宋体"/>
                <w:color w:val="000000" w:themeColor="text1"/>
                <w:sz w:val="24"/>
                <w:szCs w:val="24"/>
                <w:highlight w:val="none"/>
                <w14:textFill>
                  <w14:solidFill>
                    <w14:schemeClr w14:val="tx1"/>
                  </w14:solidFill>
                </w14:textFill>
              </w:rPr>
              <w:t>，办公依旧在</w:t>
            </w:r>
            <w:r>
              <w:rPr>
                <w:rFonts w:hint="eastAsia"/>
                <w:color w:val="000000" w:themeColor="text1"/>
                <w:sz w:val="24"/>
                <w:szCs w:val="24"/>
                <w:highlight w:val="none"/>
                <w:lang w:eastAsia="zh-CN"/>
                <w14:textFill>
                  <w14:solidFill>
                    <w14:schemeClr w14:val="tx1"/>
                  </w14:solidFill>
                </w14:textFill>
              </w:rPr>
              <w:t>宁县水利建设管理站</w:t>
            </w:r>
            <w:r>
              <w:rPr>
                <w:rFonts w:hint="eastAsia" w:ascii="Times New Roman" w:hAnsi="Times New Roman" w:eastAsia="宋体"/>
                <w:color w:val="000000" w:themeColor="text1"/>
                <w:sz w:val="24"/>
                <w:szCs w:val="24"/>
                <w:highlight w:val="none"/>
                <w14:textFill>
                  <w14:solidFill>
                    <w14:schemeClr w14:val="tx1"/>
                  </w14:solidFill>
                </w14:textFill>
              </w:rPr>
              <w:t>。</w:t>
            </w:r>
          </w:p>
          <w:p>
            <w:pPr>
              <w:autoSpaceDE w:val="0"/>
              <w:autoSpaceDN w:val="0"/>
              <w:adjustRightInd w:val="0"/>
              <w:spacing w:line="360" w:lineRule="auto"/>
              <w:ind w:right="-1"/>
              <w:contextualSpacing/>
              <w:outlineLvl w:val="1"/>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5、</w:t>
            </w:r>
            <w:r>
              <w:rPr>
                <w:rFonts w:ascii="Times New Roman" w:hAnsi="Times New Roman" w:eastAsia="宋体"/>
                <w:b/>
                <w:bCs/>
                <w:color w:val="000000" w:themeColor="text1"/>
                <w:sz w:val="24"/>
                <w:szCs w:val="24"/>
                <w14:textFill>
                  <w14:solidFill>
                    <w14:schemeClr w14:val="tx1"/>
                  </w14:solidFill>
                </w14:textFill>
              </w:rPr>
              <w:t>工程投资及环保投资</w:t>
            </w:r>
          </w:p>
          <w:p>
            <w:pPr>
              <w:spacing w:line="360" w:lineRule="auto"/>
              <w:ind w:right="-1" w:rightChars="0" w:firstLine="420" w:firstLineChars="175"/>
              <w:contextualSpacing/>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本项目总投资</w:t>
            </w:r>
            <w:r>
              <w:rPr>
                <w:rFonts w:hint="eastAsia"/>
                <w:color w:val="000000" w:themeColor="text1"/>
                <w:sz w:val="24"/>
                <w:szCs w:val="24"/>
                <w:lang w:val="en-US" w:eastAsia="zh-CN"/>
                <w14:textFill>
                  <w14:solidFill>
                    <w14:schemeClr w14:val="tx1"/>
                  </w14:solidFill>
                </w14:textFill>
              </w:rPr>
              <w:t>9930.00</w:t>
            </w:r>
            <w:r>
              <w:rPr>
                <w:rFonts w:ascii="Times New Roman" w:hAnsi="Times New Roman" w:eastAsia="宋体"/>
                <w:color w:val="000000" w:themeColor="text1"/>
                <w:sz w:val="24"/>
                <w:szCs w:val="24"/>
                <w14:textFill>
                  <w14:solidFill>
                    <w14:schemeClr w14:val="tx1"/>
                  </w14:solidFill>
                </w14:textFill>
              </w:rPr>
              <w:t>万元，其中，</w:t>
            </w:r>
            <w:r>
              <w:rPr>
                <w:rFonts w:ascii="Times New Roman" w:hAnsi="Times New Roman" w:eastAsia="宋体"/>
                <w:color w:val="000000" w:themeColor="text1"/>
                <w:sz w:val="24"/>
                <w:szCs w:val="24"/>
                <w:highlight w:val="none"/>
                <w14:textFill>
                  <w14:solidFill>
                    <w14:schemeClr w14:val="tx1"/>
                  </w14:solidFill>
                </w14:textFill>
              </w:rPr>
              <w:t>环保投资</w:t>
            </w:r>
            <w:r>
              <w:rPr>
                <w:rFonts w:hint="eastAsia"/>
                <w:color w:val="000000" w:themeColor="text1"/>
                <w:sz w:val="24"/>
                <w:szCs w:val="24"/>
                <w:highlight w:val="none"/>
                <w:lang w:val="en-US" w:eastAsia="zh-CN"/>
                <w14:textFill>
                  <w14:solidFill>
                    <w14:schemeClr w14:val="tx1"/>
                  </w14:solidFill>
                </w14:textFill>
              </w:rPr>
              <w:t>53.6</w:t>
            </w:r>
            <w:r>
              <w:rPr>
                <w:rFonts w:ascii="Times New Roman" w:hAnsi="Times New Roman" w:eastAsia="宋体"/>
                <w:color w:val="000000" w:themeColor="text1"/>
                <w:sz w:val="24"/>
                <w:szCs w:val="24"/>
                <w:highlight w:val="none"/>
                <w14:textFill>
                  <w14:solidFill>
                    <w14:schemeClr w14:val="tx1"/>
                  </w14:solidFill>
                </w14:textFill>
              </w:rPr>
              <w:t>万元，占工程投资的</w:t>
            </w:r>
            <w:r>
              <w:rPr>
                <w:rFonts w:hint="eastAsia"/>
                <w:color w:val="000000" w:themeColor="text1"/>
                <w:sz w:val="24"/>
                <w:szCs w:val="24"/>
                <w:highlight w:val="none"/>
                <w:lang w:val="en-US" w:eastAsia="zh-CN"/>
                <w14:textFill>
                  <w14:solidFill>
                    <w14:schemeClr w14:val="tx1"/>
                  </w14:solidFill>
                </w14:textFill>
              </w:rPr>
              <w:t>0.54</w:t>
            </w:r>
            <w:r>
              <w:rPr>
                <w:rFonts w:hint="eastAsia"/>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w:t>
            </w:r>
          </w:p>
          <w:p>
            <w:pPr>
              <w:spacing w:line="360" w:lineRule="auto"/>
              <w:ind w:right="-1" w:rightChars="0" w:firstLine="420" w:firstLineChars="175"/>
              <w:contextualSpacing/>
              <w:rPr>
                <w:rFonts w:ascii="Times New Roman" w:hAnsi="Times New Roman" w:eastAsia="宋体"/>
                <w:color w:val="000000" w:themeColor="text1"/>
                <w:sz w:val="24"/>
                <w:szCs w:val="24"/>
                <w:highlight w:val="none"/>
                <w14:textFill>
                  <w14:solidFill>
                    <w14:schemeClr w14:val="tx1"/>
                  </w14:solidFill>
                </w14:textFill>
              </w:rPr>
            </w:pPr>
          </w:p>
          <w:p>
            <w:pPr>
              <w:spacing w:line="360" w:lineRule="auto"/>
              <w:ind w:right="-1" w:rightChars="0" w:firstLine="420" w:firstLineChars="175"/>
              <w:contextualSpacing/>
              <w:rPr>
                <w:rFonts w:ascii="Times New Roman" w:hAnsi="Times New Roman" w:eastAsia="宋体"/>
                <w:color w:val="000000" w:themeColor="text1"/>
                <w:sz w:val="24"/>
                <w:szCs w:val="24"/>
                <w:highlight w:val="none"/>
                <w14:textFill>
                  <w14:solidFill>
                    <w14:schemeClr w14:val="tx1"/>
                  </w14:solidFill>
                </w14:textFill>
              </w:rPr>
            </w:pPr>
          </w:p>
          <w:p>
            <w:pPr>
              <w:spacing w:line="360" w:lineRule="auto"/>
              <w:ind w:right="-1" w:rightChars="0"/>
              <w:contextualSpacing/>
              <w:rPr>
                <w:rFonts w:hint="default" w:ascii="Times New Roman" w:hAnsi="Times New Roman" w:eastAsia="宋体"/>
                <w:color w:val="000000" w:themeColor="text1"/>
                <w:sz w:val="24"/>
                <w:szCs w:val="24"/>
                <w:highlight w:val="none"/>
                <w:lang w:val="en-US" w:eastAsia="zh-CN"/>
                <w14:textFill>
                  <w14:solidFill>
                    <w14:schemeClr w14:val="tx1"/>
                  </w14:solidFill>
                </w14:textFill>
              </w:rPr>
            </w:pPr>
          </w:p>
        </w:tc>
      </w:tr>
    </w:tbl>
    <w:p>
      <w:pPr>
        <w:pStyle w:val="17"/>
        <w:jc w:val="center"/>
        <w:outlineLvl w:val="0"/>
        <w:rPr>
          <w:rFonts w:ascii="黑体" w:hAnsi="黑体" w:eastAsia="黑体"/>
          <w:snapToGrid w:val="0"/>
          <w:color w:val="000000" w:themeColor="text1"/>
          <w:sz w:val="30"/>
          <w:szCs w:val="30"/>
          <w14:textFill>
            <w14:solidFill>
              <w14:schemeClr w14:val="tx1"/>
            </w14:solidFill>
          </w14:textFill>
        </w:rPr>
      </w:pPr>
      <w:r>
        <w:rPr>
          <w:rFonts w:eastAsia="仿宋_GB2312"/>
          <w:b/>
          <w:bCs/>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三、生态环境现状、保护目标及评价标准</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4"/>
        <w:gridCol w:w="76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04" w:type="dxa"/>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生态环境现状</w:t>
            </w:r>
          </w:p>
        </w:tc>
        <w:tc>
          <w:tcPr>
            <w:tcW w:w="8253"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1、</w:t>
            </w:r>
            <w:r>
              <w:rPr>
                <w:rFonts w:hint="eastAsia" w:ascii="Times New Roman" w:hAnsi="Times New Roman" w:eastAsia="宋体"/>
                <w:b/>
                <w:color w:val="000000" w:themeColor="text1"/>
                <w:sz w:val="24"/>
                <w:szCs w:val="24"/>
                <w:lang w:eastAsia="zh-CN"/>
                <w14:textFill>
                  <w14:solidFill>
                    <w14:schemeClr w14:val="tx1"/>
                  </w14:solidFill>
                </w14:textFill>
              </w:rPr>
              <w:t>生态</w:t>
            </w:r>
            <w:r>
              <w:rPr>
                <w:rFonts w:hint="eastAsia" w:ascii="Times New Roman" w:hAnsi="Times New Roman" w:eastAsia="宋体"/>
                <w:b/>
                <w:color w:val="000000" w:themeColor="text1"/>
                <w:sz w:val="24"/>
                <w:szCs w:val="24"/>
                <w14:textFill>
                  <w14:solidFill>
                    <w14:schemeClr w14:val="tx1"/>
                  </w14:solidFill>
                </w14:textFill>
              </w:rPr>
              <w:t>环境功能区划分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olor w:val="000000" w:themeColor="text1"/>
                <w:kern w:val="0"/>
                <w:sz w:val="24"/>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生态功能区划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根据《</w:t>
            </w:r>
            <w:r>
              <w:rPr>
                <w:rFonts w:hint="default" w:ascii="Times New Roman" w:hAnsi="Times New Roman" w:cs="Times New Roman"/>
                <w:color w:val="000000" w:themeColor="text1"/>
                <w:kern w:val="24"/>
                <w:sz w:val="24"/>
                <w:szCs w:val="21"/>
                <w14:textFill>
                  <w14:solidFill>
                    <w14:schemeClr w14:val="tx1"/>
                  </w14:solidFill>
                </w14:textFill>
              </w:rPr>
              <w:t>甘肃省生态功能区划</w:t>
            </w:r>
            <w:r>
              <w:rPr>
                <w:rFonts w:hint="eastAsia" w:ascii="Times New Roman" w:hAnsi="Times New Roman" w:eastAsia="宋体" w:cs="Times New Roman"/>
                <w:color w:val="000000" w:themeColor="text1"/>
                <w:sz w:val="24"/>
                <w:lang w:eastAsia="zh-CN"/>
                <w14:textFill>
                  <w14:solidFill>
                    <w14:schemeClr w14:val="tx1"/>
                  </w14:solidFill>
                </w14:textFill>
              </w:rPr>
              <w:t>》本项目位于宁南-陇东黄土丘陵农业生态亚区中的黄土残塬旱作农业强烈水土流失生态功能区范围内。</w:t>
            </w:r>
          </w:p>
          <w:p>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根据《庆阳市生态功能区划图》，本项目位于</w:t>
            </w:r>
            <w:r>
              <w:rPr>
                <w:rFonts w:hint="eastAsia"/>
                <w:color w:val="000000" w:themeColor="text1"/>
                <w:sz w:val="24"/>
                <w:szCs w:val="24"/>
                <w:highlight w:val="none"/>
                <w:lang w:eastAsia="zh-CN"/>
                <w14:textFill>
                  <w14:solidFill>
                    <w14:schemeClr w14:val="tx1"/>
                  </w14:solidFill>
                </w14:textFill>
              </w:rPr>
              <w:t>宁县城北河和湘乐川流域</w:t>
            </w:r>
            <w:r>
              <w:rPr>
                <w:rFonts w:hint="eastAsia" w:ascii="Times New Roman" w:hAnsi="Times New Roman" w:eastAsia="宋体"/>
                <w:color w:val="000000" w:themeColor="text1"/>
                <w:sz w:val="24"/>
                <w:szCs w:val="24"/>
                <w:highlight w:val="none"/>
                <w:lang w:eastAsia="zh-CN"/>
                <w14:textFill>
                  <w14:solidFill>
                    <w14:schemeClr w14:val="tx1"/>
                  </w14:solidFill>
                </w14:textFill>
              </w:rPr>
              <w:t>，所处生态环境功能区为Ⅱ-2中南部生态工业集中发展亚区</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p>
          <w:p>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olor w:val="000000" w:themeColor="text1"/>
                <w:kern w:val="0"/>
                <w:sz w:val="24"/>
                <w14:textFill>
                  <w14:solidFill>
                    <w14:schemeClr w14:val="tx1"/>
                  </w14:solidFill>
                </w14:textFill>
              </w:rPr>
            </w:pPr>
            <w:r>
              <w:rPr>
                <w:rFonts w:hint="eastAsia" w:ascii="Times New Roman" w:hAnsi="Times New Roman" w:eastAsia="宋体"/>
                <w:color w:val="000000" w:themeColor="text1"/>
                <w:kern w:val="0"/>
                <w:sz w:val="24"/>
                <w14:textFill>
                  <w14:solidFill>
                    <w14:schemeClr w14:val="tx1"/>
                  </w14:solidFill>
                </w14:textFill>
              </w:rPr>
              <w:t>（2）大气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000000" w:themeColor="text1"/>
                <w:kern w:val="0"/>
                <w:sz w:val="24"/>
                <w14:textFill>
                  <w14:solidFill>
                    <w14:schemeClr w14:val="tx1"/>
                  </w14:solidFill>
                </w14:textFill>
              </w:rPr>
            </w:pPr>
            <w:r>
              <w:rPr>
                <w:rFonts w:hint="eastAsia" w:ascii="Times New Roman" w:hAnsi="Times New Roman" w:eastAsia="宋体"/>
                <w:color w:val="000000" w:themeColor="text1"/>
                <w:kern w:val="0"/>
                <w:sz w:val="24"/>
                <w14:textFill>
                  <w14:solidFill>
                    <w14:schemeClr w14:val="tx1"/>
                  </w14:solidFill>
                </w14:textFill>
              </w:rPr>
              <w:t>根据《关于印发&lt;庆阳地区环境空气质量功能区划分方案&gt;的通知》</w:t>
            </w:r>
            <w:r>
              <w:rPr>
                <w:rFonts w:ascii="Times New Roman" w:hAnsi="Times New Roman" w:eastAsia="宋体"/>
                <w:color w:val="000000" w:themeColor="text1"/>
                <w:kern w:val="0"/>
                <w:sz w:val="24"/>
                <w14:textFill>
                  <w14:solidFill>
                    <w14:schemeClr w14:val="tx1"/>
                  </w14:solidFill>
                </w14:textFill>
              </w:rPr>
              <w:t>，庆阳市除</w:t>
            </w:r>
            <w:r>
              <w:rPr>
                <w:rFonts w:ascii="Times New Roman" w:hAnsi="Times New Roman" w:eastAsia="宋体"/>
                <w:color w:val="000000" w:themeColor="text1"/>
                <w:sz w:val="24"/>
                <w14:textFill>
                  <w14:solidFill>
                    <w14:schemeClr w14:val="tx1"/>
                  </w14:solidFill>
                </w14:textFill>
              </w:rPr>
              <w:t>子午岭林区执行一级标准外，其余区域全部</w:t>
            </w:r>
            <w:r>
              <w:rPr>
                <w:rFonts w:ascii="Times New Roman" w:hAnsi="Times New Roman" w:eastAsia="宋体"/>
                <w:color w:val="000000" w:themeColor="text1"/>
                <w:kern w:val="0"/>
                <w:sz w:val="24"/>
                <w14:textFill>
                  <w14:solidFill>
                    <w14:schemeClr w14:val="tx1"/>
                  </w14:solidFill>
                </w14:textFill>
              </w:rPr>
              <w:t>执行《环境空气质量标准》二级标准，本项目执行二级标准。</w:t>
            </w:r>
          </w:p>
          <w:p>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olor w:val="000000" w:themeColor="text1"/>
                <w:kern w:val="0"/>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（3）</w:t>
            </w:r>
            <w:r>
              <w:rPr>
                <w:rFonts w:hint="eastAsia" w:ascii="Times New Roman" w:hAnsi="Times New Roman" w:eastAsia="宋体"/>
                <w:color w:val="000000" w:themeColor="text1"/>
                <w:kern w:val="0"/>
                <w:sz w:val="24"/>
                <w14:textFill>
                  <w14:solidFill>
                    <w14:schemeClr w14:val="tx1"/>
                  </w14:solidFill>
                </w14:textFill>
              </w:rPr>
              <w:t>地表水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根据《甘肃省</w:t>
            </w:r>
            <w:r>
              <w:rPr>
                <w:rFonts w:hint="eastAsia" w:ascii="Times New Roman" w:hAnsi="Times New Roman" w:eastAsia="宋体"/>
                <w:color w:val="000000" w:themeColor="text1"/>
                <w:sz w:val="24"/>
                <w14:textFill>
                  <w14:solidFill>
                    <w14:schemeClr w14:val="tx1"/>
                  </w14:solidFill>
                </w14:textFill>
              </w:rPr>
              <w:t>地表</w:t>
            </w:r>
            <w:r>
              <w:rPr>
                <w:rFonts w:ascii="Times New Roman" w:hAnsi="Times New Roman" w:eastAsia="宋体"/>
                <w:color w:val="000000" w:themeColor="text1"/>
                <w:sz w:val="24"/>
                <w14:textFill>
                  <w14:solidFill>
                    <w14:schemeClr w14:val="tx1"/>
                  </w14:solidFill>
                </w14:textFill>
              </w:rPr>
              <w:t>水功能区划》（201</w:t>
            </w:r>
            <w:r>
              <w:rPr>
                <w:rFonts w:hint="eastAsia" w:ascii="Times New Roman" w:hAnsi="Times New Roman" w:eastAsia="宋体"/>
                <w:color w:val="000000" w:themeColor="text1"/>
                <w:sz w:val="24"/>
                <w14:textFill>
                  <w14:solidFill>
                    <w14:schemeClr w14:val="tx1"/>
                  </w14:solidFill>
                </w14:textFill>
              </w:rPr>
              <w:t>2-2030</w:t>
            </w:r>
            <w:r>
              <w:rPr>
                <w:rFonts w:ascii="Times New Roman" w:hAnsi="Times New Roman" w:eastAsia="宋体"/>
                <w:color w:val="000000" w:themeColor="text1"/>
                <w:sz w:val="24"/>
                <w14:textFill>
                  <w14:solidFill>
                    <w14:schemeClr w14:val="tx1"/>
                  </w14:solidFill>
                </w14:textFill>
              </w:rPr>
              <w:t>年）的划分结果，本项目</w:t>
            </w:r>
            <w:r>
              <w:rPr>
                <w:rFonts w:hint="eastAsia" w:ascii="Times New Roman" w:hAnsi="Times New Roman" w:eastAsia="宋体"/>
                <w:color w:val="000000" w:themeColor="text1"/>
                <w:sz w:val="24"/>
                <w:lang w:eastAsia="zh-CN"/>
                <w14:textFill>
                  <w14:solidFill>
                    <w14:schemeClr w14:val="tx1"/>
                  </w14:solidFill>
                </w14:textFill>
              </w:rPr>
              <w:t>为</w:t>
            </w:r>
            <w:r>
              <w:rPr>
                <w:rFonts w:hint="eastAsia"/>
                <w:color w:val="000000" w:themeColor="text1"/>
                <w:sz w:val="24"/>
                <w:lang w:eastAsia="zh-CN"/>
                <w14:textFill>
                  <w14:solidFill>
                    <w14:schemeClr w14:val="tx1"/>
                  </w14:solidFill>
                </w14:textFill>
              </w:rPr>
              <w:t>湘乐川和城北河，</w:t>
            </w:r>
            <w:r>
              <w:rPr>
                <w:rFonts w:ascii="Times New Roman" w:hAnsi="Times New Roman" w:eastAsia="宋体"/>
                <w:color w:val="000000" w:themeColor="text1"/>
                <w:sz w:val="24"/>
                <w14:textFill>
                  <w14:solidFill>
                    <w14:schemeClr w14:val="tx1"/>
                  </w14:solidFill>
                </w14:textFill>
              </w:rPr>
              <w:t>地表水执行</w:t>
            </w:r>
            <w:r>
              <w:rPr>
                <w:rFonts w:ascii="Times New Roman" w:hAnsi="Times New Roman" w:eastAsia="宋体"/>
                <w:bCs/>
                <w:color w:val="000000" w:themeColor="text1"/>
                <w:sz w:val="24"/>
                <w14:textFill>
                  <w14:solidFill>
                    <w14:schemeClr w14:val="tx1"/>
                  </w14:solidFill>
                </w14:textFill>
              </w:rPr>
              <w:t>《地表水环境质量标准》（GB3838-2002）</w:t>
            </w:r>
            <w:r>
              <w:rPr>
                <w:rFonts w:hint="eastAsia" w:ascii="Times New Roman" w:hAnsi="Times New Roman" w:eastAsia="宋体"/>
                <w:color w:val="000000" w:themeColor="text1"/>
                <w:sz w:val="24"/>
                <w14:textFill>
                  <w14:solidFill>
                    <w14:schemeClr w14:val="tx1"/>
                  </w14:solidFill>
                </w14:textFill>
              </w:rPr>
              <w:t>III</w:t>
            </w:r>
            <w:r>
              <w:rPr>
                <w:rFonts w:ascii="Times New Roman" w:hAnsi="Times New Roman" w:eastAsia="宋体"/>
                <w:color w:val="000000" w:themeColor="text1"/>
                <w:sz w:val="24"/>
                <w14:textFill>
                  <w14:solidFill>
                    <w14:schemeClr w14:val="tx1"/>
                  </w14:solidFill>
                </w14:textFill>
              </w:rPr>
              <w:t>类水质标准</w:t>
            </w:r>
            <w:r>
              <w:rPr>
                <w:rFonts w:hint="eastAsia" w:ascii="Times New Roman" w:hAnsi="Times New Roman" w:eastAsia="宋体"/>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4）地下水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根据《地下水质量标准》（</w:t>
            </w:r>
            <w:r>
              <w:rPr>
                <w:rFonts w:ascii="Times New Roman" w:hAnsi="Times New Roman" w:eastAsia="宋体"/>
                <w:color w:val="000000" w:themeColor="text1"/>
                <w:sz w:val="24"/>
                <w14:textFill>
                  <w14:solidFill>
                    <w14:schemeClr w14:val="tx1"/>
                  </w14:solidFill>
                </w14:textFill>
              </w:rPr>
              <w:t>GB/T14848-2017</w:t>
            </w:r>
            <w:r>
              <w:rPr>
                <w:rFonts w:hint="eastAsia" w:ascii="Times New Roman" w:hAnsi="Times New Roman" w:eastAsia="宋体"/>
                <w:color w:val="000000" w:themeColor="text1"/>
                <w:sz w:val="24"/>
                <w14:textFill>
                  <w14:solidFill>
                    <w14:schemeClr w14:val="tx1"/>
                  </w14:solidFill>
                </w14:textFill>
              </w:rPr>
              <w:t>）中地下水分类，本项目地下水执行《地下水质量标准》中III类标准。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声环境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本项目地声环境执行《声环境质量标准》（GB3096-2008）2类标准。</w:t>
            </w:r>
          </w:p>
          <w:p>
            <w:pPr>
              <w:pStyle w:val="10"/>
              <w:pageBreakBefore w:val="0"/>
              <w:widowControl w:val="0"/>
              <w:kinsoku/>
              <w:wordWrap/>
              <w:overflowPunct/>
              <w:topLinePunct w:val="0"/>
              <w:autoSpaceDE/>
              <w:autoSpaceDN/>
              <w:bidi w:val="0"/>
              <w:adjustRightInd/>
              <w:snapToGrid/>
              <w:spacing w:line="360" w:lineRule="auto"/>
              <w:textAlignment w:val="auto"/>
              <w:rPr>
                <w:rFonts w:hint="eastAsia"/>
                <w:b/>
                <w:color w:val="000000" w:themeColor="text1"/>
                <w:sz w:val="24"/>
                <w:szCs w:val="24"/>
                <w:lang w:val="en-US" w:eastAsia="zh-CN"/>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2、生态现状</w:t>
            </w:r>
          </w:p>
          <w:p>
            <w:pPr>
              <w:pStyle w:val="1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1</w:t>
            </w:r>
            <w:r>
              <w:rPr>
                <w:rFonts w:hint="eastAsia"/>
                <w:b/>
                <w:bCs/>
                <w:color w:val="000000" w:themeColor="text1"/>
                <w:sz w:val="24"/>
                <w:szCs w:val="24"/>
                <w:lang w:eastAsia="zh-CN"/>
                <w14:textFill>
                  <w14:solidFill>
                    <w14:schemeClr w14:val="tx1"/>
                  </w14:solidFill>
                </w14:textFill>
              </w:rPr>
              <w:t>）主体功能区规划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lang w:eastAsia="zh-CN"/>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根据《甘肃省主体功能区规划》，本项目区宁县属于平庆地区重点开发区，本项目为防洪除涝工程，符合其“加大是水资源和环境保护力度，推进流域综合治理，崔进节水型社会建设”的发展目标，因此本项目的建设符合《甘肃省主体功能区规划》的要求</w:t>
            </w:r>
            <w:r>
              <w:rPr>
                <w:rFonts w:hint="eastAsia"/>
                <w:color w:val="000000" w:themeColor="text1"/>
                <w:sz w:val="24"/>
                <w:lang w:eastAsia="zh-CN"/>
                <w14:textFill>
                  <w14:solidFill>
                    <w14:schemeClr w14:val="tx1"/>
                  </w14:solidFill>
                </w14:textFill>
              </w:rPr>
              <w:t>。</w:t>
            </w:r>
          </w:p>
          <w:p>
            <w:pPr>
              <w:pStyle w:val="1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土地利用类型：</w:t>
            </w:r>
          </w:p>
          <w:p>
            <w:pPr>
              <w:pStyle w:val="52"/>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根据现场勘查，项目拟建地土地利用类型为</w:t>
            </w:r>
            <w:r>
              <w:rPr>
                <w:rFonts w:hint="eastAsia" w:cs="Times New Roman"/>
                <w:b w:val="0"/>
                <w:bCs w:val="0"/>
                <w:color w:val="000000" w:themeColor="text1"/>
                <w:sz w:val="24"/>
                <w:szCs w:val="24"/>
                <w:lang w:val="en-US" w:eastAsia="zh-CN"/>
                <w14:textFill>
                  <w14:solidFill>
                    <w14:schemeClr w14:val="tx1"/>
                  </w14:solidFill>
                </w14:textFill>
              </w:rPr>
              <w:t>内陆滩涂。</w:t>
            </w:r>
          </w:p>
          <w:p>
            <w:pPr>
              <w:pStyle w:val="52"/>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根据《甘肃宁县湘乐塬不同产量苹果园深层土壤养分含量及分布特征》调查分析结果，项目区干燥度2.13＜2.5，含盐量1.6＜2，pH值为7.8，根</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据《环境影响评价技术导则 土壤环境</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》生态影响型敏感程度分析，项目区为不敏感，项目属于</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fldChar w:fldCharType="begin"/>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instrText xml:space="preserve"> = 3 \* ROMAN \* MERGEFORMAT </w:instrTex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fldChar w:fldCharType="separate"/>
            </w:r>
            <w:r>
              <w:rPr>
                <w:color w:val="000000" w:themeColor="text1"/>
                <w14:textFill>
                  <w14:solidFill>
                    <w14:schemeClr w14:val="tx1"/>
                  </w14:solidFill>
                </w14:textFill>
              </w:rPr>
              <w:t>III</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fldChar w:fldCharType="end"/>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类项目，因此不需要进行土壤评价，不进行土壤现状监测。</w:t>
            </w:r>
          </w:p>
          <w:p>
            <w:pPr>
              <w:pStyle w:val="52"/>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根据调查结果，项目区土壤类型主要为黄绵土和黑垆土，黄绵土是由黄土母质直接耕翻形成的初育土。由于土壤侵蚀严重，表层耕层长期遭侵蚀，只得加深耕作黄土母质层，因而母质特性明显，无明显发育，为 A-C 型土。由于风成黄土富含细粉粒，质地、结构均一，疏松绵软，富含石灰，磷钾储量较丰，但有效性差，土壤有机质缺乏，含量仅 5g/kg。速效磷含量3～5mg/kg；</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黑垆土由黄土发育，具低有机质含量 l0g/kg，但腐殖质层却很深厚(lm或更深)的土壤。原位粘化，但无明显粘化层，具假菌丝状石灰累积。</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结合《环境影响平技术导则 土壤环境》附录D，本项目区域</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的土壤盐化分级结果为</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轻</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度盐化，土壤酸化、碱化强度分级结果多为</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无酸化或碱化</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p>
          <w:p>
            <w:pPr>
              <w:pStyle w:val="52"/>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所在区域地质条件</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本项目属陇东黄土高原地貌，植被发育良好。受地质构造控制区内沟壑纵横发育、梁峁规律分布、河谷平坦宽阔，水系纵横交叉，侵蚀与堆积相辅相成。山区海拔一般约1130～1350m，相对高差约100～220m左右。按地貌形态成因不同，可划分为两个地貌单元，黄土低山丘陵区地貌：工程区内沟谷密布，沟坡陡立，与河谷边垂直，Ⅲ级阶地以及各地貌由于地形连绵起伏，冲沟、黄土塬、梁、峁等黄土地貌形态交错分布，沟谷坡段常显黄土陷穴、落水洞等黄土地貌景观</w:t>
            </w:r>
            <w:r>
              <w:rPr>
                <w:rFonts w:hint="eastAsia" w:ascii="Times New Roman" w:hAnsi="Times New Roman" w:eastAsia="宋体" w:cs="宋体"/>
                <w:color w:val="000000" w:themeColor="text1"/>
                <w:sz w:val="24"/>
                <w:szCs w:val="24"/>
                <w:highlight w:val="none"/>
                <w14:textFill>
                  <w14:solidFill>
                    <w14:schemeClr w14:val="tx1"/>
                  </w14:solidFill>
                </w14:textFill>
              </w:rPr>
              <w:t>。</w:t>
            </w:r>
          </w:p>
          <w:p>
            <w:pPr>
              <w:pStyle w:val="6"/>
              <w:ind w:left="0" w:leftChars="0" w:firstLine="0" w:firstLineChars="0"/>
              <w:rPr>
                <w:rFonts w:hint="eastAsia"/>
                <w:color w:val="000000" w:themeColor="text1"/>
                <w14:textFill>
                  <w14:solidFill>
                    <w14:schemeClr w14:val="tx1"/>
                  </w14:solidFill>
                </w14:textFill>
              </w:rPr>
            </w:pPr>
            <w:r>
              <w:rPr>
                <w:color w:val="000000" w:themeColor="text1"/>
                <w:sz w:val="24"/>
                <w:szCs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411480</wp:posOffset>
                      </wp:positionH>
                      <wp:positionV relativeFrom="paragraph">
                        <wp:posOffset>346075</wp:posOffset>
                      </wp:positionV>
                      <wp:extent cx="965200" cy="376555"/>
                      <wp:effectExtent l="12700" t="12700" r="637540" b="631825"/>
                      <wp:wrapNone/>
                      <wp:docPr id="4" name="矩形标注 4"/>
                      <wp:cNvGraphicFramePr/>
                      <a:graphic xmlns:a="http://schemas.openxmlformats.org/drawingml/2006/main">
                        <a:graphicData uri="http://schemas.microsoft.com/office/word/2010/wordprocessingShape">
                          <wps:wsp>
                            <wps:cNvSpPr/>
                            <wps:spPr>
                              <a:xfrm>
                                <a:off x="0" y="0"/>
                                <a:ext cx="965200" cy="376555"/>
                              </a:xfrm>
                              <a:prstGeom prst="wedgeRectCallout">
                                <a:avLst>
                                  <a:gd name="adj1" fmla="val 113684"/>
                                  <a:gd name="adj2" fmla="val 21239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0000"/>
                                      <w:highlight w:val="none"/>
                                      <w:lang w:eastAsia="zh-CN"/>
                                    </w:rPr>
                                  </w:pPr>
                                  <w:r>
                                    <w:rPr>
                                      <w:rFonts w:hint="eastAsia"/>
                                      <w:b/>
                                      <w:bCs/>
                                      <w:color w:val="FF0000"/>
                                      <w:highlight w:val="none"/>
                                      <w:lang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4pt;margin-top:27.25pt;height:29.65pt;width:76pt;z-index:251663360;v-text-anchor:middle;mso-width-relative:page;mso-height-relative:page;" filled="f" stroked="t" coordsize="21600,21600" o:gfxdata="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gZ6XK1wAAAAkBAAAPAAAAAAAAAAEAIAAAACIAAABkcnMvZG93bnJldi54bWxQSwECFAAU&#10;AAAACACHTuJAyek/EZ0CAAAjBQAADgAAAAAAAAABACAAAAAmAQAAZHJzL2Uyb0RvYy54bWxQSwUG&#10;AAAAAAYABgBZAQAANQYAAAAA&#10;" adj="35356,56677">
                      <v:fill on="f" focussize="0,0"/>
                      <v:stroke weight="2pt" color="#FF0000 [3204]" joinstyle="round"/>
                      <v:imagedata o:title=""/>
                      <o:lock v:ext="edit" aspectratio="f"/>
                      <v:textbox>
                        <w:txbxContent>
                          <w:p>
                            <w:pPr>
                              <w:jc w:val="center"/>
                              <w:rPr>
                                <w:rFonts w:hint="eastAsia" w:eastAsia="宋体"/>
                                <w:b/>
                                <w:bCs/>
                                <w:color w:val="FF0000"/>
                                <w:highlight w:val="none"/>
                                <w:lang w:eastAsia="zh-CN"/>
                              </w:rPr>
                            </w:pPr>
                            <w:r>
                              <w:rPr>
                                <w:rFonts w:hint="eastAsia"/>
                                <w:b/>
                                <w:bCs/>
                                <w:color w:val="FF0000"/>
                                <w:highlight w:val="none"/>
                                <w:lang w:eastAsia="zh-CN"/>
                              </w:rPr>
                              <w:t>项目地</w:t>
                            </w:r>
                          </w:p>
                        </w:txbxContent>
                      </v:textbox>
                    </v:shape>
                  </w:pict>
                </mc:Fallback>
              </mc:AlternateContent>
            </w:r>
            <w:r>
              <w:rPr>
                <w:color w:val="000000" w:themeColor="text1"/>
                <w14:textFill>
                  <w14:solidFill>
                    <w14:schemeClr w14:val="tx1"/>
                  </w14:solidFill>
                </w14:textFill>
              </w:rPr>
              <w:drawing>
                <wp:inline distT="0" distB="0" distL="114300" distR="114300">
                  <wp:extent cx="4732020" cy="2235835"/>
                  <wp:effectExtent l="0" t="0" r="762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4732020" cy="22358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contextualSpacing/>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植被类型：</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影响范围内植被类型主要为草丛与农业植被，其中草丛主要分布于黄土谷坡，植被种类为白羊草、长芒草、达乌里胡枝子、茭蒿、铁杆蒿等草本植物以及狼牙刺、酸枣、荆条、黄刺玫、胡颓子等；农作物种类以小麦为主，其次为高粱、玉米、谷子、糜子、豆类、油菜等，农业植被主要分布于黄土塬与河流阶地；灌丛面积植被种类主要为黄刺玫、蒿属灌丛，同时有狼牙刺、酸枣、荆条等。阔叶林主要为刺槐林，树木种类主要为刺槐、泡桐、山杨、油松等乔木，以刺槐为为主，林下混生有少量狼牙刺、酸枣、荆条、黄刺玫等灌木。项目评价范围内无珍稀保护物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植被类型</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见下图。</w:t>
            </w:r>
          </w:p>
          <w:p>
            <w:pPr>
              <w:pStyle w:val="20"/>
              <w:ind w:left="0" w:leftChars="0" w:firstLine="0" w:firstLineChars="0"/>
              <w:jc w:val="center"/>
              <w:rPr>
                <w:rFonts w:hint="default"/>
                <w:color w:val="000000" w:themeColor="text1"/>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731385" cy="2665095"/>
                  <wp:effectExtent l="0" t="0" r="825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731385" cy="2665095"/>
                          </a:xfrm>
                          <a:prstGeom prst="rect">
                            <a:avLst/>
                          </a:prstGeom>
                          <a:noFill/>
                          <a:ln>
                            <a:noFill/>
                          </a:ln>
                        </pic:spPr>
                      </pic:pic>
                    </a:graphicData>
                  </a:graphic>
                </wp:inline>
              </w:drawing>
            </w:r>
            <w:r>
              <w:rPr>
                <w:color w:val="000000" w:themeColor="text1"/>
                <w:sz w:val="24"/>
                <w:szCs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385445</wp:posOffset>
                      </wp:positionH>
                      <wp:positionV relativeFrom="paragraph">
                        <wp:posOffset>116840</wp:posOffset>
                      </wp:positionV>
                      <wp:extent cx="965200" cy="376555"/>
                      <wp:effectExtent l="12700" t="12700" r="488950" b="906145"/>
                      <wp:wrapNone/>
                      <wp:docPr id="13" name="矩形标注 13"/>
                      <wp:cNvGraphicFramePr/>
                      <a:graphic xmlns:a="http://schemas.openxmlformats.org/drawingml/2006/main">
                        <a:graphicData uri="http://schemas.microsoft.com/office/word/2010/wordprocessingShape">
                          <wps:wsp>
                            <wps:cNvSpPr/>
                            <wps:spPr>
                              <a:xfrm>
                                <a:off x="2704465" y="7023735"/>
                                <a:ext cx="965200" cy="376555"/>
                              </a:xfrm>
                              <a:prstGeom prst="wedgeRectCallout">
                                <a:avLst>
                                  <a:gd name="adj1" fmla="val 97894"/>
                                  <a:gd name="adj2" fmla="val 284232"/>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0000"/>
                                      <w:highlight w:val="none"/>
                                      <w:lang w:eastAsia="zh-CN"/>
                                    </w:rPr>
                                  </w:pPr>
                                  <w:r>
                                    <w:rPr>
                                      <w:rFonts w:hint="eastAsia"/>
                                      <w:b/>
                                      <w:bCs/>
                                      <w:color w:val="FF0000"/>
                                      <w:highlight w:val="none"/>
                                      <w:lang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35pt;margin-top:9.2pt;height:29.65pt;width:76pt;z-index:251661312;v-text-anchor:middle;mso-width-relative:page;mso-height-relative:page;" fillcolor="#0000FF" filled="t" stroked="t" coordsize="21600,21600" o:gfxdata="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Nvz6D1wAAAAgBAAAPAAAA&#10;AAAAAAEAIAAAACIAAABkcnMvZG93bnJldi54bWxQSwECFAAUAAAACACHTuJAi/O3+8ECAAB6BQAA&#10;DgAAAAAAAAABACAAAAAmAQAAZHJzL2Uyb0RvYy54bWxQSwUGAAAAAAYABgBZAQAAWQYAAAAA&#10;" adj="31945,72194">
                      <v:fill on="t" focussize="0,0"/>
                      <v:stroke weight="2pt" color="#385D8A [3204]" joinstyle="round"/>
                      <v:imagedata o:title=""/>
                      <o:lock v:ext="edit" aspectratio="f"/>
                      <v:textbox>
                        <w:txbxContent>
                          <w:p>
                            <w:pPr>
                              <w:jc w:val="center"/>
                              <w:rPr>
                                <w:rFonts w:hint="eastAsia" w:eastAsia="宋体"/>
                                <w:b/>
                                <w:bCs/>
                                <w:color w:val="FF0000"/>
                                <w:highlight w:val="none"/>
                                <w:lang w:eastAsia="zh-CN"/>
                              </w:rPr>
                            </w:pPr>
                            <w:r>
                              <w:rPr>
                                <w:rFonts w:hint="eastAsia"/>
                                <w:b/>
                                <w:bCs/>
                                <w:color w:val="FF0000"/>
                                <w:highlight w:val="none"/>
                                <w:lang w:eastAsia="zh-CN"/>
                              </w:rPr>
                              <w:t>项目地</w:t>
                            </w:r>
                          </w:p>
                        </w:txbxContent>
                      </v:textbox>
                    </v:shape>
                  </w:pict>
                </mc:Fallback>
              </mc:AlternateConten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4</w:t>
            </w:r>
            <w:r>
              <w:rPr>
                <w:rFonts w:hint="eastAsia"/>
                <w:b/>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动物资源现状</w:t>
            </w:r>
          </w:p>
          <w:p>
            <w:pPr>
              <w:pStyle w:val="55"/>
              <w:bidi w:val="0"/>
              <w:rPr>
                <w:rFonts w:hint="eastAsia"/>
                <w:color w:val="000000" w:themeColor="text1"/>
                <w:lang w:val="zh-CN" w:eastAsia="zh-CN"/>
                <w14:textFill>
                  <w14:solidFill>
                    <w14:schemeClr w14:val="tx1"/>
                  </w14:solidFill>
                </w14:textFill>
              </w:rPr>
            </w:pPr>
            <w:r>
              <w:rPr>
                <w:rFonts w:hint="eastAsia"/>
                <w:color w:val="000000" w:themeColor="text1"/>
                <w:sz w:val="24"/>
                <w:szCs w:val="24"/>
                <w14:textFill>
                  <w14:solidFill>
                    <w14:schemeClr w14:val="tx1"/>
                  </w14:solidFill>
                </w14:textFill>
              </w:rPr>
              <w:t>根据调查，评价区的动物组成比较简单，种类较少，多为常见种类，物种组成以小型兽类和鸟类为主。兽类主要有黄鼬、狗獾、蒙古兔、花鼠、达吾尔黄鼠、大仓鼠、小家鼠等；野生禽类主要有啄木鸟、杜鹃、小沙百灵、家燕、喜鹊、大嘴乌鸦、麻雀等。野生动物主要分布在林地及灌草丛中。</w:t>
            </w:r>
          </w:p>
          <w:p>
            <w:pPr>
              <w:pStyle w:val="52"/>
              <w:ind w:firstLine="480"/>
              <w:rPr>
                <w:rFonts w:hint="eastAsia"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项目评价范围内无珍稀保护物种</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contextualSpacing/>
              <w:jc w:val="left"/>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（5）城北河现状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eastAsia="宋体"/>
                <w:color w:val="000000" w:themeColor="text1"/>
                <w:sz w:val="24"/>
                <w:szCs w:val="24"/>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本项目所涉及</w:t>
            </w:r>
            <w:r>
              <w:rPr>
                <w:rFonts w:hint="eastAsia" w:cs="Times New Roman"/>
                <w:color w:val="000000" w:themeColor="text1"/>
                <w:sz w:val="24"/>
                <w:szCs w:val="24"/>
                <w:lang w:eastAsia="zh-CN"/>
                <w14:textFill>
                  <w14:solidFill>
                    <w14:schemeClr w14:val="tx1"/>
                  </w14:solidFill>
                </w14:textFill>
              </w:rPr>
              <w:t>城北河</w:t>
            </w:r>
            <w:r>
              <w:rPr>
                <w:rFonts w:hint="eastAsia" w:ascii="Times New Roman" w:hAnsi="Times New Roman" w:eastAsia="宋体" w:cs="Times New Roman"/>
                <w:color w:val="000000" w:themeColor="text1"/>
                <w:sz w:val="24"/>
                <w:szCs w:val="24"/>
                <w:lang w:eastAsia="zh-CN"/>
                <w14:textFill>
                  <w14:solidFill>
                    <w14:schemeClr w14:val="tx1"/>
                  </w14:solidFill>
                </w14:textFill>
              </w:rPr>
              <w:t>，马莲河二级支流</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发源于</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子午岭西麓的兴隆关，</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default" w:ascii="Times New Roman" w:hAnsi="Times New Roman" w:eastAsia="宋体" w:cs="Times New Roman"/>
                <w:color w:val="000000" w:themeColor="text1"/>
                <w:sz w:val="24"/>
                <w:szCs w:val="24"/>
                <w:lang w:eastAsia="zh-CN"/>
                <w14:textFill>
                  <w14:solidFill>
                    <w14:schemeClr w14:val="tx1"/>
                  </w14:solidFill>
                </w14:textFill>
              </w:rPr>
              <w:t>东</w:t>
            </w:r>
            <w:r>
              <w:rPr>
                <w:rFonts w:hint="default" w:ascii="Times New Roman" w:hAnsi="Times New Roman" w:eastAsia="宋体" w:cs="Times New Roman"/>
                <w:color w:val="000000" w:themeColor="text1"/>
                <w:sz w:val="24"/>
                <w:szCs w:val="24"/>
                <w14:textFill>
                  <w14:solidFill>
                    <w14:schemeClr w14:val="tx1"/>
                  </w14:solidFill>
                </w14:textFill>
              </w:rPr>
              <w:t>北向</w:t>
            </w:r>
            <w:r>
              <w:rPr>
                <w:rFonts w:hint="default" w:ascii="Times New Roman" w:hAnsi="Times New Roman" w:eastAsia="宋体" w:cs="Times New Roman"/>
                <w:color w:val="000000" w:themeColor="text1"/>
                <w:sz w:val="24"/>
                <w:szCs w:val="24"/>
                <w:lang w:eastAsia="zh-CN"/>
                <w14:textFill>
                  <w14:solidFill>
                    <w14:schemeClr w14:val="tx1"/>
                  </w14:solidFill>
                </w14:textFill>
              </w:rPr>
              <w:t>西</w:t>
            </w:r>
            <w:r>
              <w:rPr>
                <w:rFonts w:hint="default" w:ascii="Times New Roman" w:hAnsi="Times New Roman" w:eastAsia="宋体" w:cs="Times New Roman"/>
                <w:color w:val="000000" w:themeColor="text1"/>
                <w:sz w:val="24"/>
                <w:szCs w:val="24"/>
                <w14:textFill>
                  <w14:solidFill>
                    <w14:schemeClr w14:val="tx1"/>
                  </w14:solidFill>
                </w14:textFill>
              </w:rPr>
              <w:t>南</w:t>
            </w:r>
            <w:r>
              <w:rPr>
                <w:rFonts w:hint="eastAsia" w:ascii="Times New Roman" w:hAnsi="Times New Roman" w:eastAsia="宋体" w:cs="Times New Roman"/>
                <w:color w:val="000000" w:themeColor="text1"/>
                <w:sz w:val="24"/>
                <w:szCs w:val="24"/>
                <w:lang w:eastAsia="zh-CN"/>
                <w14:textFill>
                  <w14:solidFill>
                    <w14:schemeClr w14:val="tx1"/>
                  </w14:solidFill>
                </w14:textFill>
              </w:rPr>
              <w:t>于</w:t>
            </w:r>
            <w:r>
              <w:rPr>
                <w:rFonts w:hint="default" w:ascii="Times New Roman" w:hAnsi="Times New Roman" w:eastAsia="宋体" w:cs="Times New Roman"/>
                <w:color w:val="000000" w:themeColor="text1"/>
                <w:sz w:val="24"/>
                <w:szCs w:val="24"/>
                <w:lang w:eastAsia="zh-CN"/>
                <w14:textFill>
                  <w14:solidFill>
                    <w14:schemeClr w14:val="tx1"/>
                  </w14:solidFill>
                </w14:textFill>
              </w:rPr>
              <w:t>南义乡的寨子河村汇入城北河。湘乐川总河长64km</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流域面积806.7km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(含平道川流域面积233.7km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多年</w:t>
            </w:r>
            <w:r>
              <w:rPr>
                <w:rFonts w:hint="default" w:ascii="Times New Roman" w:hAnsi="Times New Roman" w:cs="Times New Roman"/>
                <w:color w:val="000000" w:themeColor="text1"/>
                <w:sz w:val="24"/>
                <w:szCs w:val="24"/>
                <w:lang w:eastAsia="zh-CN"/>
                <w14:textFill>
                  <w14:solidFill>
                    <w14:schemeClr w14:val="tx1"/>
                  </w14:solidFill>
                </w14:textFill>
              </w:rPr>
              <w:t>平均流量为</w:t>
            </w:r>
            <w:r>
              <w:rPr>
                <w:rFonts w:hint="default" w:ascii="Times New Roman" w:hAnsi="Times New Roman" w:cs="Times New Roman"/>
                <w:color w:val="000000" w:themeColor="text1"/>
                <w:sz w:val="24"/>
                <w:szCs w:val="24"/>
                <w:lang w:val="en-US" w:eastAsia="zh-CN"/>
                <w14:textFill>
                  <w14:solidFill>
                    <w14:schemeClr w14:val="tx1"/>
                  </w14:solidFill>
                </w14:textFill>
              </w:rPr>
              <w:t>0.58</w:t>
            </w:r>
            <w:r>
              <w:rPr>
                <w:rFonts w:hint="default" w:ascii="Times New Roman" w:hAnsi="Times New Roman" w:cs="Times New Roman"/>
                <w:color w:val="000000" w:themeColor="text1"/>
                <w:sz w:val="24"/>
                <w:szCs w:val="24"/>
                <w:lang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/s</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河道平均坡降2.8‰，属地处子午岭林区及黄土川区过渡带。</w:t>
            </w:r>
            <w:r>
              <w:rPr>
                <w:rFonts w:hint="default" w:ascii="Times New Roman" w:hAnsi="Times New Roman" w:cs="Times New Roman"/>
                <w:color w:val="000000" w:themeColor="text1"/>
                <w:sz w:val="24"/>
                <w:szCs w:val="24"/>
                <w14:textFill>
                  <w14:solidFill>
                    <w14:schemeClr w14:val="tx1"/>
                  </w14:solidFill>
                </w14:textFill>
              </w:rPr>
              <w:t>现状河道多呈“S”型，弯道多，河床窄，每年汛期</w:t>
            </w:r>
            <w:r>
              <w:rPr>
                <w:rFonts w:hint="default" w:ascii="Times New Roman" w:hAnsi="Times New Roman" w:cs="Times New Roman"/>
                <w:color w:val="000000" w:themeColor="text1"/>
                <w:sz w:val="24"/>
                <w:szCs w:val="24"/>
                <w:lang w:bidi="ar"/>
                <w14:textFill>
                  <w14:solidFill>
                    <w14:schemeClr w14:val="tx1"/>
                  </w14:solidFill>
                </w14:textFill>
              </w:rPr>
              <w:t>洪水泛滥成灾</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大部分治理河段由</w:t>
            </w:r>
            <w:r>
              <w:rPr>
                <w:rFonts w:hint="eastAsia" w:ascii="Times New Roman" w:hAnsi="Times New Roman" w:cs="Times New Roman"/>
                <w:color w:val="000000" w:themeColor="text1"/>
                <w:sz w:val="24"/>
                <w:szCs w:val="24"/>
                <w:lang w:eastAsia="zh-CN"/>
                <w14:textFill>
                  <w14:solidFill>
                    <w14:schemeClr w14:val="tx1"/>
                  </w14:solidFill>
                </w14:textFill>
              </w:rPr>
              <w:t>于</w:t>
            </w:r>
            <w:r>
              <w:rPr>
                <w:rFonts w:hint="default" w:ascii="Times New Roman" w:hAnsi="Times New Roman" w:cs="Times New Roman"/>
                <w:color w:val="000000" w:themeColor="text1"/>
                <w:sz w:val="24"/>
                <w:szCs w:val="24"/>
                <w14:textFill>
                  <w14:solidFill>
                    <w14:schemeClr w14:val="tx1"/>
                  </w14:solidFill>
                </w14:textFill>
              </w:rPr>
              <w:t>陡坎较低，洪水上滩冲毁农田，局部地段陡坎较高，洪水从底部冲刷，造成塌岸严重</w:t>
            </w:r>
            <w:r>
              <w:rPr>
                <w:rFonts w:hint="default" w:ascii="Times New Roman" w:hAnsi="Times New Roman" w:cs="Times New Roman"/>
                <w:color w:val="000000" w:themeColor="text1"/>
                <w:sz w:val="24"/>
                <w:szCs w:val="24"/>
                <w:lang w:eastAsia="zh-CN"/>
                <w14:textFill>
                  <w14:solidFill>
                    <w14:schemeClr w14:val="tx1"/>
                  </w14:solidFill>
                </w14:textFill>
              </w:rPr>
              <w:t>，治理河段河岸</w:t>
            </w:r>
            <w:r>
              <w:rPr>
                <w:rFonts w:hint="eastAsia" w:ascii="Times New Roman" w:hAnsi="Times New Roman" w:cs="Times New Roman"/>
                <w:color w:val="000000" w:themeColor="text1"/>
                <w:sz w:val="24"/>
                <w:szCs w:val="24"/>
                <w:lang w:eastAsia="zh-CN"/>
                <w14:textFill>
                  <w14:solidFill>
                    <w14:schemeClr w14:val="tx1"/>
                  </w14:solidFill>
                </w14:textFill>
              </w:rPr>
              <w:t>多处</w:t>
            </w:r>
            <w:r>
              <w:rPr>
                <w:rFonts w:hint="default" w:ascii="Times New Roman" w:hAnsi="Times New Roman" w:cs="Times New Roman"/>
                <w:color w:val="000000" w:themeColor="text1"/>
                <w:sz w:val="24"/>
                <w:szCs w:val="24"/>
                <w:lang w:eastAsia="zh-CN"/>
                <w14:textFill>
                  <w14:solidFill>
                    <w14:schemeClr w14:val="tx1"/>
                  </w14:solidFill>
                </w14:textFill>
              </w:rPr>
              <w:t>冲刷坍塌</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多达</w:t>
            </w:r>
            <w:r>
              <w:rPr>
                <w:rFonts w:hint="default" w:ascii="Times New Roman" w:hAnsi="Times New Roman" w:cs="Times New Roman"/>
                <w:color w:val="000000" w:themeColor="text1"/>
                <w:sz w:val="24"/>
                <w:szCs w:val="24"/>
                <w:lang w:val="en-US" w:eastAsia="zh-CN"/>
                <w14:textFill>
                  <w14:solidFill>
                    <w14:schemeClr w14:val="tx1"/>
                  </w14:solidFill>
                </w14:textFill>
              </w:rPr>
              <w:t>19处</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总长1353m</w:t>
            </w:r>
            <w:r>
              <w:rPr>
                <w:rFonts w:hint="eastAsia" w:ascii="Times New Roman" w:hAnsi="Times New Roman" w:cs="Times New Roman"/>
                <w:color w:val="000000" w:themeColor="text1"/>
                <w:sz w:val="24"/>
                <w:szCs w:val="24"/>
                <w:vertAlign w:val="baseline"/>
                <w:lang w:eastAsia="zh-CN"/>
                <w14:textFill>
                  <w14:solidFill>
                    <w14:schemeClr w14:val="tx1"/>
                  </w14:solidFill>
                </w14:textFill>
              </w:rPr>
              <w:t>。根据调查，</w:t>
            </w:r>
            <w:r>
              <w:rPr>
                <w:rFonts w:hint="eastAsia" w:ascii="宋体" w:hAnsi="宋体"/>
                <w:color w:val="000000" w:themeColor="text1"/>
                <w:sz w:val="24"/>
                <w:szCs w:val="24"/>
                <w:lang w:eastAsia="zh-CN"/>
                <w14:textFill>
                  <w14:solidFill>
                    <w14:schemeClr w14:val="tx1"/>
                  </w14:solidFill>
                </w14:textFill>
              </w:rPr>
              <w:t>湘乐川河无水文测站，根据甘肃海汇安全科技有限公司在湘乐村庞川村庞川桥头监测数据，湘乐川水域水质良好。</w:t>
            </w:r>
          </w:p>
          <w:p>
            <w:pPr>
              <w:keepNext w:val="0"/>
              <w:keepLines w:val="0"/>
              <w:pageBreakBefore w:val="0"/>
              <w:widowControl w:val="0"/>
              <w:kinsoku/>
              <w:wordWrap/>
              <w:overflowPunct/>
              <w:topLinePunct w:val="0"/>
              <w:autoSpaceDE/>
              <w:autoSpaceDN/>
              <w:bidi w:val="0"/>
              <w:adjustRightInd/>
              <w:snapToGrid/>
              <w:spacing w:line="360" w:lineRule="auto"/>
              <w:contextualSpacing/>
              <w:jc w:val="left"/>
              <w:textAlignment w:val="auto"/>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6</w:t>
            </w:r>
            <w:r>
              <w:rPr>
                <w:rFonts w:hint="eastAsia"/>
                <w:b/>
                <w:bCs/>
                <w:color w:val="000000" w:themeColor="text1"/>
                <w:sz w:val="24"/>
                <w:szCs w:val="24"/>
                <w:lang w:eastAsia="zh-CN"/>
                <w14:textFill>
                  <w14:solidFill>
                    <w14:schemeClr w14:val="tx1"/>
                  </w14:solidFill>
                </w14:textFill>
              </w:rPr>
              <w:t>）水生生物现状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经查阅相关资料后，可知区域内水生生物现状为：</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浮游植物</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浮游植物是水体中能进行光合作用的低等植物，能利用阳光和水体中的有机物进行光合作用，作为水生态系统中的初级生产者，浮游植物在水体物质循环和能量流动中起着十分重要的作用，也是许多水生动物的天然饵料，同时也是产生水体自净作用的基础。</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项目区</w:t>
            </w:r>
            <w:r>
              <w:rPr>
                <w:rFonts w:hint="default" w:ascii="Times New Roman" w:hAnsi="Times New Roman" w:cs="Times New Roman"/>
                <w:color w:val="000000" w:themeColor="text1"/>
                <w:sz w:val="24"/>
                <w14:textFill>
                  <w14:solidFill>
                    <w14:schemeClr w14:val="tx1"/>
                  </w14:solidFill>
                </w14:textFill>
              </w:rPr>
              <w:t>浮游植物4门33属，其中硅藻门13属、绿藻门15属、兰藻门3属、裸藻门2属。优势种有硅藻门曲壳藻属（Achnanthes），小环藻属（Cyclotella），绿藻门的小球藻属（Chlorella）</w:t>
            </w:r>
            <w:r>
              <w:rPr>
                <w:rFonts w:hint="default" w:ascii="Times New Roman" w:hAnsi="Times New Roman" w:cs="Times New Roman"/>
                <w:color w:val="000000" w:themeColor="text1"/>
                <w:sz w:val="24"/>
                <w:lang w:eastAsia="zh-CN"/>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其中以硅藻门种类占优势，分布广泛。因为这些种类对生境要求不高，因而在物种竞争方面占优势，利于建群和生存，因此易于成为优势类群。水量波动和水温影响浮游植物的生长发育，从而导致河流浮游植物数量和生物量上的差异。主要是由于</w:t>
            </w:r>
            <w:r>
              <w:rPr>
                <w:rFonts w:hint="eastAsia"/>
                <w:color w:val="000000" w:themeColor="text1"/>
                <w:sz w:val="24"/>
                <w:lang w:eastAsia="zh-CN"/>
                <w14:textFill>
                  <w14:solidFill>
                    <w14:schemeClr w14:val="tx1"/>
                  </w14:solidFill>
                </w14:textFill>
              </w:rPr>
              <w:t>城北河</w:t>
            </w:r>
            <w:r>
              <w:rPr>
                <w:color w:val="000000" w:themeColor="text1"/>
                <w:sz w:val="24"/>
                <w14:textFill>
                  <w14:solidFill>
                    <w14:schemeClr w14:val="tx1"/>
                  </w14:solidFill>
                </w14:textFill>
              </w:rPr>
              <w:t>水量少，水流较缓，水质清澈，为浮游植物的生长提供了良好的条件。</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浮游动物</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从浮游动物种类上看，物种组成比较简单，仅有原生动物和轮虫，未发现到枝角类和桡足类，与</w:t>
            </w:r>
            <w:r>
              <w:rPr>
                <w:rFonts w:hint="default" w:ascii="Times New Roman" w:hAnsi="Times New Roman" w:cs="Times New Roman"/>
                <w:color w:val="000000" w:themeColor="text1"/>
                <w:sz w:val="24"/>
                <w:lang w:eastAsia="zh-CN"/>
                <w14:textFill>
                  <w14:solidFill>
                    <w14:schemeClr w14:val="tx1"/>
                  </w14:solidFill>
                </w14:textFill>
              </w:rPr>
              <w:t>城北河</w:t>
            </w:r>
            <w:r>
              <w:rPr>
                <w:rFonts w:hint="default" w:ascii="Times New Roman" w:hAnsi="Times New Roman" w:cs="Times New Roman"/>
                <w:color w:val="000000" w:themeColor="text1"/>
                <w:sz w:val="24"/>
                <w14:textFill>
                  <w14:solidFill>
                    <w14:schemeClr w14:val="tx1"/>
                  </w14:solidFill>
                </w14:textFill>
              </w:rPr>
              <w:t>上游水温低有关</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项目区</w:t>
            </w:r>
            <w:r>
              <w:rPr>
                <w:rFonts w:hint="default" w:ascii="Times New Roman" w:hAnsi="Times New Roman" w:cs="Times New Roman"/>
                <w:color w:val="000000" w:themeColor="text1"/>
                <w:sz w:val="24"/>
                <w:lang w:eastAsia="zh-CN"/>
                <w14:textFill>
                  <w14:solidFill>
                    <w14:schemeClr w14:val="tx1"/>
                  </w14:solidFill>
                </w14:textFill>
              </w:rPr>
              <w:t>浮游动物4类11种，其中原生动物7种，轮虫类2种，枝角类1种，桡足类1种。优势种有原生动物的砂壳虫（Dittugia），轮虫类的晶囊轮虫(Asplanchna)</w:t>
            </w:r>
            <w:r>
              <w:rPr>
                <w:rFonts w:hint="default" w:ascii="Times New Roman" w:hAnsi="Times New Roman" w:cs="Times New Roman"/>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底栖动物</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大型底栖动物是水生态系统中分布最为广泛的物种之一，不仅是流水水体（河流）同样也是静水水体(湖泊和水库)以及河口生态系统的重要组成部分。大型底栖动物以着生藻类、悬浮有机物颗粒以及河岸带的凋落物为食物来源，并为处于水生态系统食物链最高级的鱼类提供食物。大型底栖动物的类群组成决定了河流中物质循环和能量流动的方式。</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项目区</w:t>
            </w:r>
            <w:r>
              <w:rPr>
                <w:rFonts w:hint="eastAsia"/>
                <w:color w:val="000000" w:themeColor="text1"/>
                <w:sz w:val="24"/>
                <w14:textFill>
                  <w14:solidFill>
                    <w14:schemeClr w14:val="tx1"/>
                  </w14:solidFill>
                </w14:textFill>
              </w:rPr>
              <w:t>底栖动物9种，分属2门2目2纲2科9属（种）。其中节肢动物门摇蚊科幼虫6种；环节动物门水生寡毛类（Oligochaeta）3种。未发现陆生昆虫的蛹、端足类及其它种类。</w:t>
            </w:r>
            <w:r>
              <w:rPr>
                <w:color w:val="000000" w:themeColor="text1"/>
                <w:sz w:val="24"/>
                <w14:textFill>
                  <w14:solidFill>
                    <w14:schemeClr w14:val="tx1"/>
                  </w14:solidFill>
                </w14:textFill>
              </w:rPr>
              <w:t>本项目涉及区域的底栖动物密度极低，水丝蚓相对多一些，这与水生寡毛类耐低氧、适应性强的生存能力有关。另外浮游植物和浮游动物密度和生物量都较小，底栖动物没有足够的食物来源。</w:t>
            </w:r>
          </w:p>
          <w:p>
            <w:pPr>
              <w:spacing w:line="360" w:lineRule="auto"/>
              <w:ind w:firstLine="480" w:firstLineChars="20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④</w:t>
            </w:r>
            <w:r>
              <w:rPr>
                <w:color w:val="000000" w:themeColor="text1"/>
                <w:sz w:val="24"/>
                <w:szCs w:val="24"/>
                <w14:textFill>
                  <w14:solidFill>
                    <w14:schemeClr w14:val="tx1"/>
                  </w14:solidFill>
                </w14:textFill>
              </w:rPr>
              <w:t>鱼类</w:t>
            </w:r>
          </w:p>
          <w:p>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根据王丕贤对陇东地区的资料显示，陇东地区共有鱼类16种，隶属3目、5科。这16种鱼类中，以鲤科鱼类最多，达10种，占总数的62.5%；鲰科鱼类3种，占18.8%。其次鲑科、塘醴科、电虎科各1种，各占6.3%。可见陇东鱼类以鲤科为主体。</w:t>
            </w:r>
            <w:r>
              <w:rPr>
                <w:rFonts w:hint="eastAsia" w:ascii="Calibri" w:hAnsi="Calibri" w:cs="Times New Roman"/>
                <w:color w:val="000000" w:themeColor="text1"/>
                <w:sz w:val="24"/>
                <w:lang w:eastAsia="zh-CN"/>
                <w14:textFill>
                  <w14:solidFill>
                    <w14:schemeClr w14:val="tx1"/>
                  </w14:solidFill>
                </w14:textFill>
              </w:rPr>
              <w:t>主要为鲤鱼、鲫鱼、泥鳅、草鱼为主。</w:t>
            </w:r>
          </w:p>
          <w:p>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草鱼Ctenopharyngodon idellus体略呈圆筒形，头部稍平扁，尾部侧扁；口呈弧形，无须；上颌略长于下颌；体呈浅茶黄色，背部青灰，腹部灰白，胸、腹鳍略带灰黄，其他各鳍浅灰色。</w:t>
            </w:r>
          </w:p>
          <w:p>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草鱼是典型的草食性鱼类，栖息于平原地区的江河湖泊，一般喜居于水的中下层和近岸多水草区域。性活泼，游泳迅速，常成群觅食。草鱼幼鱼期则食幼虫，藻类等，草鱼也吃一些荤食，如蚯蚓，蜻蜓等。</w:t>
            </w:r>
          </w:p>
          <w:p>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鲫鱼Carassius auratus体长15~20cm。呈流线型(也叫梭型)，体高而侧扁，前半部弧形，背部轮廓隆起，尾柄宽；腹部圆形，无肉稜。头短小，吻钝。无须。鳞片大。侧线微弯。背鳍长，外缘较平直。鳃耙细长，呈针状，排列紧密，鳃耙数100-200。背鳍、臀鳍第3根硬刺较强，后缘有锯齿。胸鳍末端可达腹鳍起点。尾鳍深叉形体背银灰色而略带黄色光泽，腹部银白而略带黄色，各鳍灰白色。</w:t>
            </w:r>
          </w:p>
          <w:p>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鲤鱼Cyprinus carpio体形高而稍侧扁。吻钝圆。头中等大。口端位。上颌稍突出于下颌。须2对，口角须较发达。眼中大，侧上位。背鳍起点在腹鳍之前。臀鳍起点与背鳍4~6根分枝鳍条相对，末根不分枝鳍条为硬刺，其后缘有锯状齿。体色通常灰黑或黄褐，腹部浅灰或银灰，体侧金黄</w:t>
            </w:r>
            <w:r>
              <w:rPr>
                <w:rFonts w:hint="eastAsia" w:ascii="Calibri" w:hAnsi="Calibri" w:cs="Times New Roman"/>
                <w:color w:val="000000" w:themeColor="text1"/>
                <w:sz w:val="24"/>
                <w:lang w:eastAsia="zh-CN"/>
                <w14:textFill>
                  <w14:solidFill>
                    <w14:schemeClr w14:val="tx1"/>
                  </w14:solidFill>
                </w14:textFill>
              </w:rPr>
              <w:t>，</w:t>
            </w:r>
            <w:r>
              <w:rPr>
                <w:rFonts w:hint="eastAsia" w:ascii="Calibri" w:hAnsi="Calibri" w:eastAsia="宋体" w:cs="Times New Roman"/>
                <w:color w:val="000000" w:themeColor="text1"/>
                <w:sz w:val="24"/>
                <w:lang w:eastAsia="zh-CN"/>
                <w14:textFill>
                  <w14:solidFill>
                    <w14:schemeClr w14:val="tx1"/>
                  </w14:solidFill>
                </w14:textFill>
              </w:rPr>
              <w:t>杂食性。</w:t>
            </w:r>
          </w:p>
          <w:p>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泥鳅Triplophysa anguillicaudatus 体细长，前段略呈圆筒形。后部侧扁，腹部圆，头小。口小、下位，马蹄形。眼小，无眼下刺。须5对。鳞极其细小，圆形，埋于皮下。体背部及两侧灰黑色，全体有许多小的黑斑点，头部和各鳍上亦有许多黑色斑点，背鳍和尾鳍膜上的斑点排列成行，尾柄基部有一明显的黑斑。其他各鳍灰白色。</w:t>
            </w:r>
          </w:p>
          <w:p>
            <w:pPr>
              <w:pStyle w:val="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栖息于静水的底层，常出没于湖泊、池塘、沟渠和水田底部富有植物碎屑的淤泥表层，捕食浮游生物、水生昆虫、甲壳动物、水生高等植物碎屑以及藻类等，有时亦摄取水底腐植质或泥渣。</w:t>
            </w:r>
          </w:p>
          <w:p>
            <w:pPr>
              <w:pStyle w:val="6"/>
              <w:numPr>
                <w:ilvl w:val="0"/>
                <w:numId w:val="5"/>
              </w:numPr>
              <w:ind w:left="-60" w:leftChars="0" w:firstLine="480" w:firstLineChars="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水文调查</w:t>
            </w:r>
          </w:p>
          <w:p>
            <w:pPr>
              <w:pStyle w:val="6"/>
              <w:ind w:left="0" w:leftChars="0"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城北河在南义乡寨子河村以上称为固城川，固城川发源于子午岭西麓的合水县午亭子，在南义乡的魁星楼流入宁县境内，城北河流域面积1865km</w:t>
            </w:r>
            <w:r>
              <w:rPr>
                <w:rFonts w:hint="eastAsia"/>
                <w:color w:val="000000" w:themeColor="text1"/>
                <w:sz w:val="24"/>
                <w:szCs w:val="24"/>
                <w:vertAlign w:val="super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（含固城川、湘乐川、平道川），河长72km，河道平均坡降2.83‰。</w:t>
            </w:r>
          </w:p>
          <w:p>
            <w:pPr>
              <w:pStyle w:val="6"/>
              <w:ind w:left="0" w:leftChars="0"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支流湘乐川河发源于子午岭西麓的兴隆关，由东北向西南汇入城北河，总面积573km</w:t>
            </w:r>
            <w:r>
              <w:rPr>
                <w:rFonts w:hint="eastAsia"/>
                <w:color w:val="000000" w:themeColor="text1"/>
                <w:sz w:val="24"/>
                <w:szCs w:val="24"/>
                <w:vertAlign w:val="super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（不包括平道川），河长64km，河道平均比降为11.9‰，上游白吉坡水库以上流域地貌多为林区，集水面积252km</w:t>
            </w:r>
            <w:r>
              <w:rPr>
                <w:rFonts w:hint="eastAsia"/>
                <w:color w:val="000000" w:themeColor="text1"/>
                <w:sz w:val="24"/>
                <w:szCs w:val="24"/>
                <w:vertAlign w:val="super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，河长19km，平均坡降14.5‰，平道川发源于子午岭西麓的芦邑庄，于湘乐镇汇入湘乐川，流域面积233.7km</w:t>
            </w:r>
            <w:r>
              <w:rPr>
                <w:rFonts w:hint="eastAsia"/>
                <w:color w:val="000000" w:themeColor="text1"/>
                <w:sz w:val="24"/>
                <w:szCs w:val="24"/>
                <w:vertAlign w:val="super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，河长38.0km，河道平均坡降13.7‰。支流工程区以上区间控制流域面积559km</w:t>
            </w:r>
            <w:r>
              <w:rPr>
                <w:rFonts w:hint="eastAsia"/>
                <w:color w:val="000000" w:themeColor="text1"/>
                <w:sz w:val="24"/>
                <w:szCs w:val="24"/>
                <w:vertAlign w:val="super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，主河道长45km，河道平均比降2.9‰，属子午岭林区及黄土川区过渡带。</w:t>
            </w:r>
          </w:p>
          <w:p>
            <w:pPr>
              <w:pStyle w:val="6"/>
              <w:ind w:left="0" w:leftChars="0" w:firstLine="480" w:firstLineChars="200"/>
              <w:rPr>
                <w:rFonts w:hint="eastAsia"/>
                <w:color w:val="000000" w:themeColor="text1"/>
                <w14:textFill>
                  <w14:solidFill>
                    <w14:schemeClr w14:val="tx1"/>
                  </w14:solidFill>
                </w14:textFill>
              </w:rPr>
            </w:pPr>
            <w:r>
              <w:rPr>
                <w:rFonts w:hint="eastAsia"/>
                <w:color w:val="000000" w:themeColor="text1"/>
                <w:sz w:val="24"/>
                <w:szCs w:val="24"/>
                <w:lang w:eastAsia="zh-CN"/>
                <w14:textFill>
                  <w14:solidFill>
                    <w14:schemeClr w14:val="tx1"/>
                  </w14:solidFill>
                </w14:textFill>
              </w:rPr>
              <w:t>城北河流域已建主要水利工程有新村水库和白吉坡水库。主流上新村水库位于固城川上游固城乡新村，坝址以上控制流域面积167km</w:t>
            </w:r>
            <w:r>
              <w:rPr>
                <w:rFonts w:hint="eastAsia"/>
                <w:color w:val="000000" w:themeColor="text1"/>
                <w:sz w:val="24"/>
                <w:szCs w:val="24"/>
                <w:vertAlign w:val="super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，河道长18.55km，河道平均比降1.43%；支流白吉坡水库位于宁县东北部的泾河三级支流湘乐川上游的盘克乡宋庄村，坝址以上控制流域面积252km</w:t>
            </w:r>
            <w:r>
              <w:rPr>
                <w:rFonts w:hint="eastAsia"/>
                <w:color w:val="000000" w:themeColor="text1"/>
                <w:sz w:val="24"/>
                <w:szCs w:val="24"/>
                <w:vertAlign w:val="super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，河长19km，平均坡降14.5‰。</w:t>
            </w:r>
          </w:p>
          <w:p>
            <w:pPr>
              <w:keepNext w:val="0"/>
              <w:keepLines w:val="0"/>
              <w:pageBreakBefore w:val="0"/>
              <w:widowControl/>
              <w:kinsoku/>
              <w:wordWrap/>
              <w:overflowPunct/>
              <w:topLinePunct w:val="0"/>
              <w:autoSpaceDE/>
              <w:autoSpaceDN/>
              <w:bidi w:val="0"/>
              <w:adjustRightInd/>
              <w:snapToGrid/>
              <w:spacing w:line="360" w:lineRule="auto"/>
              <w:ind w:right="0"/>
              <w:contextualSpacing/>
              <w:jc w:val="left"/>
              <w:textAlignment w:val="auto"/>
              <w:outlineLvl w:val="1"/>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3、</w:t>
            </w:r>
            <w:r>
              <w:rPr>
                <w:rFonts w:ascii="Times New Roman" w:hAnsi="Times New Roman" w:eastAsia="宋体"/>
                <w:b/>
                <w:color w:val="000000" w:themeColor="text1"/>
                <w:sz w:val="24"/>
                <w:szCs w:val="24"/>
                <w14:textFill>
                  <w14:solidFill>
                    <w14:schemeClr w14:val="tx1"/>
                  </w14:solidFill>
                </w14:textFill>
              </w:rPr>
              <w:t>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1</w:t>
            </w:r>
            <w:r>
              <w:rPr>
                <w:rFonts w:hint="eastAsia" w:ascii="Times New Roman" w:hAnsi="Times New Roman" w:eastAsia="宋体" w:cs="宋体"/>
                <w:color w:val="000000" w:themeColor="text1"/>
                <w:sz w:val="24"/>
                <w:lang w:eastAsia="zh-CN"/>
                <w14:textFill>
                  <w14:solidFill>
                    <w14:schemeClr w14:val="tx1"/>
                  </w14:solidFill>
                </w14:textFill>
              </w:rPr>
              <w:t>）空气环境质量现状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32"/>
                <w14:textFill>
                  <w14:solidFill>
                    <w14:schemeClr w14:val="tx1"/>
                  </w14:solidFill>
                </w14:textFill>
              </w:rPr>
            </w:pPr>
            <w:r>
              <w:rPr>
                <w:rFonts w:hint="default" w:ascii="Times New Roman" w:hAnsi="Times New Roman" w:eastAsia="宋体" w:cs="Times New Roman"/>
                <w:color w:val="000000" w:themeColor="text1"/>
                <w:kern w:val="0"/>
                <w:sz w:val="24"/>
                <w:szCs w:val="32"/>
                <w14:textFill>
                  <w14:solidFill>
                    <w14:schemeClr w14:val="tx1"/>
                  </w14:solidFill>
                </w14:textFill>
              </w:rPr>
              <w:t>根据《环境影响评价技术导则 大气环境》（HJ2.2-2018）中6.4.1.1中的内容“城市环境空气质量达标评价指标为SO</w:t>
            </w:r>
            <w:r>
              <w:rPr>
                <w:rFonts w:hint="default" w:ascii="Times New Roman" w:hAnsi="Times New Roman" w:eastAsia="宋体" w:cs="Times New Roman"/>
                <w:color w:val="000000" w:themeColor="text1"/>
                <w:kern w:val="0"/>
                <w:sz w:val="24"/>
                <w:szCs w:val="32"/>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32"/>
                <w14:textFill>
                  <w14:solidFill>
                    <w14:schemeClr w14:val="tx1"/>
                  </w14:solidFill>
                </w14:textFill>
              </w:rPr>
              <w:t>、NO</w:t>
            </w:r>
            <w:r>
              <w:rPr>
                <w:rFonts w:hint="default" w:ascii="Times New Roman" w:hAnsi="Times New Roman" w:eastAsia="宋体" w:cs="Times New Roman"/>
                <w:color w:val="000000" w:themeColor="text1"/>
                <w:kern w:val="0"/>
                <w:sz w:val="24"/>
                <w:szCs w:val="32"/>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32"/>
                <w14:textFill>
                  <w14:solidFill>
                    <w14:schemeClr w14:val="tx1"/>
                  </w14:solidFill>
                </w14:textFill>
              </w:rPr>
              <w:t>、PM</w:t>
            </w:r>
            <w:r>
              <w:rPr>
                <w:rFonts w:hint="default" w:ascii="Times New Roman" w:hAnsi="Times New Roman" w:eastAsia="宋体" w:cs="Times New Roman"/>
                <w:color w:val="000000" w:themeColor="text1"/>
                <w:kern w:val="0"/>
                <w:sz w:val="24"/>
                <w:szCs w:val="32"/>
                <w:vertAlign w:val="subscript"/>
                <w14:textFill>
                  <w14:solidFill>
                    <w14:schemeClr w14:val="tx1"/>
                  </w14:solidFill>
                </w14:textFill>
              </w:rPr>
              <w:t>10</w:t>
            </w:r>
            <w:r>
              <w:rPr>
                <w:rFonts w:hint="default" w:ascii="Times New Roman" w:hAnsi="Times New Roman" w:eastAsia="宋体" w:cs="Times New Roman"/>
                <w:color w:val="000000" w:themeColor="text1"/>
                <w:kern w:val="0"/>
                <w:sz w:val="24"/>
                <w:szCs w:val="32"/>
                <w14:textFill>
                  <w14:solidFill>
                    <w14:schemeClr w14:val="tx1"/>
                  </w14:solidFill>
                </w14:textFill>
              </w:rPr>
              <w:t>、PM</w:t>
            </w:r>
            <w:r>
              <w:rPr>
                <w:rFonts w:hint="default" w:ascii="Times New Roman" w:hAnsi="Times New Roman" w:eastAsia="宋体" w:cs="Times New Roman"/>
                <w:color w:val="000000" w:themeColor="text1"/>
                <w:kern w:val="0"/>
                <w:sz w:val="24"/>
                <w:szCs w:val="32"/>
                <w:vertAlign w:val="subscript"/>
                <w14:textFill>
                  <w14:solidFill>
                    <w14:schemeClr w14:val="tx1"/>
                  </w14:solidFill>
                </w14:textFill>
              </w:rPr>
              <w:t>2.5</w:t>
            </w:r>
            <w:r>
              <w:rPr>
                <w:rFonts w:hint="default" w:ascii="Times New Roman" w:hAnsi="Times New Roman" w:eastAsia="宋体" w:cs="Times New Roman"/>
                <w:color w:val="000000" w:themeColor="text1"/>
                <w:kern w:val="0"/>
                <w:sz w:val="24"/>
                <w:szCs w:val="32"/>
                <w14:textFill>
                  <w14:solidFill>
                    <w14:schemeClr w14:val="tx1"/>
                  </w14:solidFill>
                </w14:textFill>
              </w:rPr>
              <w:t>、CO和O</w:t>
            </w:r>
            <w:r>
              <w:rPr>
                <w:rFonts w:hint="default" w:ascii="Times New Roman" w:hAnsi="Times New Roman" w:eastAsia="宋体" w:cs="Times New Roman"/>
                <w:color w:val="000000" w:themeColor="text1"/>
                <w:kern w:val="0"/>
                <w:sz w:val="24"/>
                <w:szCs w:val="32"/>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szCs w:val="32"/>
                <w14:textFill>
                  <w14:solidFill>
                    <w14:schemeClr w14:val="tx1"/>
                  </w14:solidFill>
                </w14:textFill>
              </w:rPr>
              <w:t>，六项污染物全部达标即为城市环境空气质量达标”。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32"/>
                <w14:textFill>
                  <w14:solidFill>
                    <w14:schemeClr w14:val="tx1"/>
                  </w14:solidFill>
                </w14:textFill>
              </w:rPr>
            </w:pPr>
            <w:r>
              <w:rPr>
                <w:rFonts w:hint="default" w:ascii="Times New Roman" w:hAnsi="Times New Roman" w:eastAsia="宋体" w:cs="Times New Roman"/>
                <w:color w:val="000000" w:themeColor="text1"/>
                <w:kern w:val="0"/>
                <w:sz w:val="24"/>
                <w:szCs w:val="32"/>
                <w14:textFill>
                  <w14:solidFill>
                    <w14:schemeClr w14:val="tx1"/>
                  </w14:solidFill>
                </w14:textFill>
              </w:rPr>
              <w:t>根据《环境影响评价技术导则 大气环境》（HJ2.2-2018），项目所在区域达标判定，优先采用国家或地方生态环境主管部门公开发布的评价基准年环境质量公告或环境质量报告中的数据或结论。其中评价基准年为近3年中数据相对完整的1个日历年作为评价基准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kern w:val="0"/>
                <w:sz w:val="24"/>
                <w:szCs w:val="32"/>
                <w14:textFill>
                  <w14:solidFill>
                    <w14:schemeClr w14:val="tx1"/>
                  </w14:solidFill>
                </w14:textFill>
              </w:rPr>
            </w:pPr>
            <w:r>
              <w:rPr>
                <w:rFonts w:hint="default" w:ascii="Times New Roman" w:hAnsi="Times New Roman" w:eastAsia="宋体" w:cs="Times New Roman"/>
                <w:color w:val="000000" w:themeColor="text1"/>
                <w:kern w:val="0"/>
                <w:sz w:val="24"/>
                <w:szCs w:val="32"/>
                <w14:textFill>
                  <w14:solidFill>
                    <w14:schemeClr w14:val="tx1"/>
                  </w14:solidFill>
                </w14:textFill>
              </w:rPr>
              <w:t>本项目位于庆阳市</w:t>
            </w:r>
            <w:r>
              <w:rPr>
                <w:rFonts w:hint="eastAsia" w:cs="Times New Roman"/>
                <w:color w:val="000000" w:themeColor="text1"/>
                <w:kern w:val="0"/>
                <w:sz w:val="24"/>
                <w:szCs w:val="32"/>
                <w:lang w:eastAsia="zh-CN"/>
                <w14:textFill>
                  <w14:solidFill>
                    <w14:schemeClr w14:val="tx1"/>
                  </w14:solidFill>
                </w14:textFill>
              </w:rPr>
              <w:t>宁县</w:t>
            </w:r>
            <w:r>
              <w:rPr>
                <w:rFonts w:hint="default" w:ascii="Times New Roman" w:hAnsi="Times New Roman" w:eastAsia="宋体" w:cs="Times New Roman"/>
                <w:color w:val="000000" w:themeColor="text1"/>
                <w:kern w:val="0"/>
                <w:sz w:val="24"/>
                <w:szCs w:val="32"/>
                <w14:textFill>
                  <w14:solidFill>
                    <w14:schemeClr w14:val="tx1"/>
                  </w14:solidFill>
                </w14:textFill>
              </w:rPr>
              <w:t>，本次环境质量现状数据引用庆阳市生态环境局公开公布的环境质量公告中的数据，20</w:t>
            </w:r>
            <w:r>
              <w:rPr>
                <w:rFonts w:hint="eastAsia" w:cs="Times New Roman"/>
                <w:color w:val="000000" w:themeColor="text1"/>
                <w:kern w:val="0"/>
                <w:sz w:val="24"/>
                <w:szCs w:val="32"/>
                <w:lang w:val="en-US" w:eastAsia="zh-CN"/>
                <w14:textFill>
                  <w14:solidFill>
                    <w14:schemeClr w14:val="tx1"/>
                  </w14:solidFill>
                </w14:textFill>
              </w:rPr>
              <w:t>21</w:t>
            </w:r>
            <w:r>
              <w:rPr>
                <w:rFonts w:hint="default" w:ascii="Times New Roman" w:hAnsi="Times New Roman" w:eastAsia="宋体" w:cs="Times New Roman"/>
                <w:color w:val="000000" w:themeColor="text1"/>
                <w:kern w:val="0"/>
                <w:sz w:val="24"/>
                <w:szCs w:val="32"/>
                <w14:textFill>
                  <w14:solidFill>
                    <w14:schemeClr w14:val="tx1"/>
                  </w14:solidFill>
                </w14:textFill>
              </w:rPr>
              <w:t>年庆阳市</w:t>
            </w:r>
            <w:r>
              <w:rPr>
                <w:rFonts w:hint="eastAsia" w:cs="Times New Roman"/>
                <w:color w:val="000000" w:themeColor="text1"/>
                <w:kern w:val="0"/>
                <w:sz w:val="24"/>
                <w:szCs w:val="32"/>
                <w:lang w:eastAsia="zh-CN"/>
                <w14:textFill>
                  <w14:solidFill>
                    <w14:schemeClr w14:val="tx1"/>
                  </w14:solidFill>
                </w14:textFill>
              </w:rPr>
              <w:t>宁县每月</w:t>
            </w:r>
            <w:r>
              <w:rPr>
                <w:rFonts w:hint="default" w:ascii="Times New Roman" w:hAnsi="Times New Roman" w:eastAsia="宋体" w:cs="Times New Roman"/>
                <w:color w:val="000000" w:themeColor="text1"/>
                <w:kern w:val="0"/>
                <w:sz w:val="24"/>
                <w:szCs w:val="32"/>
                <w14:textFill>
                  <w14:solidFill>
                    <w14:schemeClr w14:val="tx1"/>
                  </w14:solidFill>
                </w14:textFill>
              </w:rPr>
              <w:t>SO</w:t>
            </w:r>
            <w:r>
              <w:rPr>
                <w:rFonts w:hint="default" w:ascii="Times New Roman" w:hAnsi="Times New Roman" w:eastAsia="宋体" w:cs="Times New Roman"/>
                <w:color w:val="000000" w:themeColor="text1"/>
                <w:kern w:val="0"/>
                <w:sz w:val="24"/>
                <w:szCs w:val="32"/>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32"/>
                <w14:textFill>
                  <w14:solidFill>
                    <w14:schemeClr w14:val="tx1"/>
                  </w14:solidFill>
                </w14:textFill>
              </w:rPr>
              <w:t>、NO</w:t>
            </w:r>
            <w:r>
              <w:rPr>
                <w:rFonts w:hint="default" w:ascii="Times New Roman" w:hAnsi="Times New Roman" w:eastAsia="宋体" w:cs="Times New Roman"/>
                <w:color w:val="000000" w:themeColor="text1"/>
                <w:kern w:val="0"/>
                <w:sz w:val="24"/>
                <w:szCs w:val="32"/>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32"/>
                <w14:textFill>
                  <w14:solidFill>
                    <w14:schemeClr w14:val="tx1"/>
                  </w14:solidFill>
                </w14:textFill>
              </w:rPr>
              <w:t>、PM</w:t>
            </w:r>
            <w:r>
              <w:rPr>
                <w:rFonts w:hint="default" w:ascii="Times New Roman" w:hAnsi="Times New Roman" w:eastAsia="宋体" w:cs="Times New Roman"/>
                <w:color w:val="000000" w:themeColor="text1"/>
                <w:kern w:val="0"/>
                <w:sz w:val="24"/>
                <w:szCs w:val="32"/>
                <w:vertAlign w:val="subscript"/>
                <w14:textFill>
                  <w14:solidFill>
                    <w14:schemeClr w14:val="tx1"/>
                  </w14:solidFill>
                </w14:textFill>
              </w:rPr>
              <w:t>10</w:t>
            </w:r>
            <w:r>
              <w:rPr>
                <w:rFonts w:hint="default" w:ascii="Times New Roman" w:hAnsi="Times New Roman" w:eastAsia="宋体" w:cs="Times New Roman"/>
                <w:color w:val="000000" w:themeColor="text1"/>
                <w:kern w:val="0"/>
                <w:sz w:val="24"/>
                <w:szCs w:val="32"/>
                <w14:textFill>
                  <w14:solidFill>
                    <w14:schemeClr w14:val="tx1"/>
                  </w14:solidFill>
                </w14:textFill>
              </w:rPr>
              <w:t>、PM</w:t>
            </w:r>
            <w:r>
              <w:rPr>
                <w:rFonts w:hint="default" w:ascii="Times New Roman" w:hAnsi="Times New Roman" w:eastAsia="宋体" w:cs="Times New Roman"/>
                <w:color w:val="000000" w:themeColor="text1"/>
                <w:kern w:val="0"/>
                <w:sz w:val="24"/>
                <w:szCs w:val="32"/>
                <w:vertAlign w:val="subscript"/>
                <w14:textFill>
                  <w14:solidFill>
                    <w14:schemeClr w14:val="tx1"/>
                  </w14:solidFill>
                </w14:textFill>
              </w:rPr>
              <w:t>2.5</w:t>
            </w:r>
            <w:r>
              <w:rPr>
                <w:rFonts w:hint="default" w:ascii="Times New Roman" w:hAnsi="Times New Roman" w:eastAsia="宋体" w:cs="Times New Roman"/>
                <w:color w:val="000000" w:themeColor="text1"/>
                <w:kern w:val="0"/>
                <w:sz w:val="24"/>
                <w:szCs w:val="32"/>
                <w14:textFill>
                  <w14:solidFill>
                    <w14:schemeClr w14:val="tx1"/>
                  </w14:solidFill>
                </w14:textFill>
              </w:rPr>
              <w:t>、CO和O</w:t>
            </w:r>
            <w:r>
              <w:rPr>
                <w:rFonts w:hint="default" w:ascii="Times New Roman" w:hAnsi="Times New Roman" w:eastAsia="宋体" w:cs="Times New Roman"/>
                <w:color w:val="000000" w:themeColor="text1"/>
                <w:kern w:val="0"/>
                <w:sz w:val="24"/>
                <w:szCs w:val="32"/>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szCs w:val="32"/>
                <w14:textFill>
                  <w14:solidFill>
                    <w14:schemeClr w14:val="tx1"/>
                  </w14:solidFill>
                </w14:textFill>
              </w:rPr>
              <w:t>六项基本因子的监测数据</w:t>
            </w:r>
            <w:r>
              <w:rPr>
                <w:rFonts w:hint="default" w:ascii="Times New Roman" w:hAnsi="Times New Roman" w:eastAsia="宋体" w:cs="Times New Roman"/>
                <w:bCs/>
                <w:color w:val="000000" w:themeColor="text1"/>
                <w:kern w:val="0"/>
                <w:sz w:val="24"/>
                <w:szCs w:val="32"/>
                <w14:textFill>
                  <w14:solidFill>
                    <w14:schemeClr w14:val="tx1"/>
                  </w14:solidFill>
                </w14:textFill>
              </w:rPr>
              <w:t>，具体情况见下表3-1。</w:t>
            </w:r>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表3-1   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cs="Times New Roman"/>
                <w:color w:val="000000" w:themeColor="text1"/>
                <w:sz w:val="21"/>
                <w:szCs w:val="21"/>
                <w:lang w:eastAsia="zh-CN"/>
                <w14:textFill>
                  <w14:solidFill>
                    <w14:schemeClr w14:val="tx1"/>
                  </w14:solidFill>
                </w14:textFill>
              </w:rPr>
              <w:t>宁县</w:t>
            </w:r>
            <w:r>
              <w:rPr>
                <w:rFonts w:hint="default" w:ascii="Times New Roman" w:hAnsi="Times New Roman" w:eastAsia="宋体" w:cs="Times New Roman"/>
                <w:color w:val="000000" w:themeColor="text1"/>
                <w:sz w:val="21"/>
                <w:szCs w:val="21"/>
                <w14:textFill>
                  <w14:solidFill>
                    <w14:schemeClr w14:val="tx1"/>
                  </w14:solidFill>
                </w14:textFill>
              </w:rPr>
              <w:t>环境空气年均值情况表</w:t>
            </w:r>
          </w:p>
          <w:tbl>
            <w:tblPr>
              <w:tblStyle w:val="21"/>
              <w:tblW w:w="7856" w:type="dxa"/>
              <w:jc w:val="center"/>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41"/>
              <w:gridCol w:w="870"/>
              <w:gridCol w:w="1085"/>
              <w:gridCol w:w="1089"/>
              <w:gridCol w:w="889"/>
              <w:gridCol w:w="1053"/>
              <w:gridCol w:w="1329"/>
            </w:tblGrid>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9" w:hRule="atLeast"/>
                <w:jc w:val="center"/>
              </w:trPr>
              <w:tc>
                <w:tcPr>
                  <w:tcW w:w="1541" w:type="dxa"/>
                  <w:noWrap w:val="0"/>
                  <w:vAlign w:val="center"/>
                </w:tcPr>
                <w:p>
                  <w:pPr>
                    <w:tabs>
                      <w:tab w:val="left" w:pos="220"/>
                      <w:tab w:val="left" w:pos="430"/>
                    </w:tab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日期</w:t>
                  </w:r>
                </w:p>
              </w:tc>
              <w:tc>
                <w:tcPr>
                  <w:tcW w:w="870" w:type="dxa"/>
                  <w:noWrap w:val="0"/>
                  <w:vAlign w:val="center"/>
                </w:tcPr>
                <w:p>
                  <w:pPr>
                    <w:tabs>
                      <w:tab w:val="left" w:pos="220"/>
                      <w:tab w:val="left" w:pos="430"/>
                    </w:tab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085" w:type="dxa"/>
                  <w:noWrap w:val="0"/>
                  <w:vAlign w:val="center"/>
                </w:tcPr>
                <w:p>
                  <w:pPr>
                    <w:tabs>
                      <w:tab w:val="left" w:pos="220"/>
                      <w:tab w:val="left" w:pos="430"/>
                    </w:tab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089" w:type="dxa"/>
                  <w:noWrap w:val="0"/>
                  <w:vAlign w:val="center"/>
                </w:tcPr>
                <w:p>
                  <w:pPr>
                    <w:tabs>
                      <w:tab w:val="left" w:pos="220"/>
                      <w:tab w:val="left" w:pos="430"/>
                    </w:tab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p>
              </w:tc>
              <w:tc>
                <w:tcPr>
                  <w:tcW w:w="889" w:type="dxa"/>
                  <w:noWrap w:val="0"/>
                  <w:vAlign w:val="center"/>
                </w:tcPr>
                <w:p>
                  <w:pPr>
                    <w:tabs>
                      <w:tab w:val="left" w:pos="220"/>
                      <w:tab w:val="left" w:pos="430"/>
                    </w:tab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p>
              </w:tc>
              <w:tc>
                <w:tcPr>
                  <w:tcW w:w="1053" w:type="dxa"/>
                  <w:noWrap w:val="0"/>
                  <w:vAlign w:val="center"/>
                </w:tcPr>
                <w:p>
                  <w:pPr>
                    <w:tabs>
                      <w:tab w:val="left" w:pos="220"/>
                      <w:tab w:val="left" w:pos="430"/>
                    </w:tab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CO第95百分位数</w:t>
                  </w:r>
                </w:p>
              </w:tc>
              <w:tc>
                <w:tcPr>
                  <w:tcW w:w="1329" w:type="dxa"/>
                  <w:noWrap w:val="0"/>
                  <w:vAlign w:val="center"/>
                </w:tcPr>
                <w:p>
                  <w:pPr>
                    <w:tabs>
                      <w:tab w:val="left" w:pos="220"/>
                      <w:tab w:val="left" w:pos="430"/>
                    </w:tab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O3_8h第90百分位数</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年1月</w:t>
                  </w:r>
                </w:p>
              </w:tc>
              <w:tc>
                <w:tcPr>
                  <w:tcW w:w="870"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085"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1089"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97</w:t>
                  </w:r>
                </w:p>
              </w:tc>
              <w:tc>
                <w:tcPr>
                  <w:tcW w:w="889"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46</w:t>
                  </w:r>
                </w:p>
              </w:tc>
              <w:tc>
                <w:tcPr>
                  <w:tcW w:w="1053"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0.9</w:t>
                  </w:r>
                </w:p>
              </w:tc>
              <w:tc>
                <w:tcPr>
                  <w:tcW w:w="1329"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69</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年2月</w:t>
                  </w:r>
                </w:p>
              </w:tc>
              <w:tc>
                <w:tcPr>
                  <w:tcW w:w="870"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085"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089"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82</w:t>
                  </w:r>
                </w:p>
              </w:tc>
              <w:tc>
                <w:tcPr>
                  <w:tcW w:w="889"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46</w:t>
                  </w:r>
                </w:p>
              </w:tc>
              <w:tc>
                <w:tcPr>
                  <w:tcW w:w="1053"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w:t>
                  </w:r>
                </w:p>
              </w:tc>
              <w:tc>
                <w:tcPr>
                  <w:tcW w:w="1329" w:type="dxa"/>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74</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年3月</w:t>
                  </w:r>
                </w:p>
              </w:tc>
              <w:tc>
                <w:tcPr>
                  <w:tcW w:w="870"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085"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p>
              </w:tc>
              <w:tc>
                <w:tcPr>
                  <w:tcW w:w="10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95</w:t>
                  </w:r>
                </w:p>
              </w:tc>
              <w:tc>
                <w:tcPr>
                  <w:tcW w:w="8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35</w:t>
                  </w:r>
                </w:p>
              </w:tc>
              <w:tc>
                <w:tcPr>
                  <w:tcW w:w="1053"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w:t>
                  </w:r>
                </w:p>
              </w:tc>
              <w:tc>
                <w:tcPr>
                  <w:tcW w:w="132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年4月</w:t>
                  </w:r>
                </w:p>
              </w:tc>
              <w:tc>
                <w:tcPr>
                  <w:tcW w:w="870"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085"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w:t>
                  </w:r>
                </w:p>
              </w:tc>
              <w:tc>
                <w:tcPr>
                  <w:tcW w:w="10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74</w:t>
                  </w:r>
                </w:p>
              </w:tc>
              <w:tc>
                <w:tcPr>
                  <w:tcW w:w="8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29</w:t>
                  </w:r>
                </w:p>
              </w:tc>
              <w:tc>
                <w:tcPr>
                  <w:tcW w:w="1053" w:type="dxa"/>
                  <w:tcBorders>
                    <w:bottom w:val="single" w:color="auto" w:sz="4" w:space="0"/>
                  </w:tcBorders>
                  <w:noWrap w:val="0"/>
                  <w:vAlign w:val="center"/>
                </w:tcPr>
                <w:p>
                  <w:pPr>
                    <w:widowControl/>
                    <w:jc w:val="center"/>
                    <w:textAlignment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9</w:t>
                  </w:r>
                </w:p>
              </w:tc>
              <w:tc>
                <w:tcPr>
                  <w:tcW w:w="132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125</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年5月</w:t>
                  </w:r>
                </w:p>
              </w:tc>
              <w:tc>
                <w:tcPr>
                  <w:tcW w:w="870"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p>
              </w:tc>
              <w:tc>
                <w:tcPr>
                  <w:tcW w:w="1085"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p>
              </w:tc>
              <w:tc>
                <w:tcPr>
                  <w:tcW w:w="10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w:t>
                  </w:r>
                </w:p>
              </w:tc>
              <w:tc>
                <w:tcPr>
                  <w:tcW w:w="8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w:t>
                  </w:r>
                </w:p>
              </w:tc>
              <w:tc>
                <w:tcPr>
                  <w:tcW w:w="1053"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w:t>
                  </w:r>
                </w:p>
              </w:tc>
              <w:tc>
                <w:tcPr>
                  <w:tcW w:w="132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131</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年6月</w:t>
                  </w:r>
                </w:p>
              </w:tc>
              <w:tc>
                <w:tcPr>
                  <w:tcW w:w="870"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085"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w:t>
                  </w:r>
                </w:p>
              </w:tc>
              <w:tc>
                <w:tcPr>
                  <w:tcW w:w="10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67</w:t>
                  </w:r>
                </w:p>
              </w:tc>
              <w:tc>
                <w:tcPr>
                  <w:tcW w:w="8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24</w:t>
                  </w:r>
                </w:p>
              </w:tc>
              <w:tc>
                <w:tcPr>
                  <w:tcW w:w="1053"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w:t>
                  </w:r>
                </w:p>
              </w:tc>
              <w:tc>
                <w:tcPr>
                  <w:tcW w:w="132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138</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年7月</w:t>
                  </w:r>
                </w:p>
              </w:tc>
              <w:tc>
                <w:tcPr>
                  <w:tcW w:w="870"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1085"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0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59</w:t>
                  </w:r>
                </w:p>
              </w:tc>
              <w:tc>
                <w:tcPr>
                  <w:tcW w:w="8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24</w:t>
                  </w:r>
                </w:p>
              </w:tc>
              <w:tc>
                <w:tcPr>
                  <w:tcW w:w="1053"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w:t>
                  </w:r>
                </w:p>
              </w:tc>
              <w:tc>
                <w:tcPr>
                  <w:tcW w:w="132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127</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年8月</w:t>
                  </w:r>
                </w:p>
              </w:tc>
              <w:tc>
                <w:tcPr>
                  <w:tcW w:w="870"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085"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10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w:t>
                  </w:r>
                </w:p>
              </w:tc>
              <w:tc>
                <w:tcPr>
                  <w:tcW w:w="8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w:t>
                  </w:r>
                </w:p>
              </w:tc>
              <w:tc>
                <w:tcPr>
                  <w:tcW w:w="1053"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w:t>
                  </w:r>
                </w:p>
              </w:tc>
              <w:tc>
                <w:tcPr>
                  <w:tcW w:w="132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112</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年9月</w:t>
                  </w:r>
                </w:p>
              </w:tc>
              <w:tc>
                <w:tcPr>
                  <w:tcW w:w="870"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1085"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10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67</w:t>
                  </w:r>
                </w:p>
              </w:tc>
              <w:tc>
                <w:tcPr>
                  <w:tcW w:w="8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w:t>
                  </w:r>
                </w:p>
              </w:tc>
              <w:tc>
                <w:tcPr>
                  <w:tcW w:w="1053"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w:t>
                  </w:r>
                </w:p>
              </w:tc>
              <w:tc>
                <w:tcPr>
                  <w:tcW w:w="132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年10月</w:t>
                  </w:r>
                </w:p>
              </w:tc>
              <w:tc>
                <w:tcPr>
                  <w:tcW w:w="870"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1085"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w:t>
                  </w:r>
                </w:p>
              </w:tc>
              <w:tc>
                <w:tcPr>
                  <w:tcW w:w="10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66</w:t>
                  </w:r>
                </w:p>
              </w:tc>
              <w:tc>
                <w:tcPr>
                  <w:tcW w:w="8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w:t>
                  </w:r>
                </w:p>
              </w:tc>
              <w:tc>
                <w:tcPr>
                  <w:tcW w:w="1053"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w:t>
                  </w:r>
                </w:p>
              </w:tc>
              <w:tc>
                <w:tcPr>
                  <w:tcW w:w="132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68</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年11月</w:t>
                  </w:r>
                </w:p>
              </w:tc>
              <w:tc>
                <w:tcPr>
                  <w:tcW w:w="870"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085"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p>
              </w:tc>
              <w:tc>
                <w:tcPr>
                  <w:tcW w:w="10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96</w:t>
                  </w:r>
                </w:p>
              </w:tc>
              <w:tc>
                <w:tcPr>
                  <w:tcW w:w="8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w:t>
                  </w:r>
                </w:p>
              </w:tc>
              <w:tc>
                <w:tcPr>
                  <w:tcW w:w="1053"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w:t>
                  </w:r>
                </w:p>
              </w:tc>
              <w:tc>
                <w:tcPr>
                  <w:tcW w:w="132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86</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年12月</w:t>
                  </w:r>
                </w:p>
              </w:tc>
              <w:tc>
                <w:tcPr>
                  <w:tcW w:w="870"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085"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p>
              </w:tc>
              <w:tc>
                <w:tcPr>
                  <w:tcW w:w="10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86</w:t>
                  </w:r>
                </w:p>
              </w:tc>
              <w:tc>
                <w:tcPr>
                  <w:tcW w:w="8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46</w:t>
                  </w:r>
                </w:p>
              </w:tc>
              <w:tc>
                <w:tcPr>
                  <w:tcW w:w="1053"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32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68</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noWrap w:val="0"/>
                  <w:vAlign w:val="center"/>
                </w:tcPr>
                <w:p>
                  <w:pPr>
                    <w:widowControl/>
                    <w:jc w:val="center"/>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年均值</w:t>
                  </w:r>
                </w:p>
              </w:tc>
              <w:tc>
                <w:tcPr>
                  <w:tcW w:w="870"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085"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w:t>
                  </w:r>
                </w:p>
              </w:tc>
              <w:tc>
                <w:tcPr>
                  <w:tcW w:w="10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76</w:t>
                  </w:r>
                </w:p>
              </w:tc>
              <w:tc>
                <w:tcPr>
                  <w:tcW w:w="88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w:t>
                  </w:r>
                </w:p>
              </w:tc>
              <w:tc>
                <w:tcPr>
                  <w:tcW w:w="1053"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0.9</w:t>
                  </w:r>
                </w:p>
              </w:tc>
              <w:tc>
                <w:tcPr>
                  <w:tcW w:w="1329" w:type="dxa"/>
                  <w:tcBorders>
                    <w:bottom w:val="single" w:color="auto" w:sz="4" w:space="0"/>
                  </w:tcBorders>
                  <w:noWrap w:val="0"/>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116</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541" w:type="dxa"/>
                  <w:tcBorders>
                    <w:right w:val="single" w:color="auto" w:sz="4" w:space="0"/>
                  </w:tcBorders>
                  <w:noWrap w:val="0"/>
                  <w:vAlign w:val="center"/>
                </w:tcPr>
                <w:p>
                  <w:pPr>
                    <w:tabs>
                      <w:tab w:val="left" w:pos="220"/>
                      <w:tab w:val="left" w:pos="430"/>
                    </w:tab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标准值</w:t>
                  </w:r>
                </w:p>
              </w:tc>
              <w:tc>
                <w:tcPr>
                  <w:tcW w:w="870" w:type="dxa"/>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w:t>
                  </w:r>
                </w:p>
              </w:tc>
              <w:tc>
                <w:tcPr>
                  <w:tcW w:w="1085" w:type="dxa"/>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1089" w:type="dxa"/>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w:t>
                  </w:r>
                </w:p>
              </w:tc>
              <w:tc>
                <w:tcPr>
                  <w:tcW w:w="889" w:type="dxa"/>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w:t>
                  </w:r>
                </w:p>
              </w:tc>
              <w:tc>
                <w:tcPr>
                  <w:tcW w:w="1053"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329" w:type="dxa"/>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1541" w:type="dxa"/>
                  <w:tcBorders>
                    <w:right w:val="single" w:color="auto" w:sz="4" w:space="0"/>
                  </w:tcBorders>
                  <w:noWrap w:val="0"/>
                  <w:vAlign w:val="center"/>
                </w:tcPr>
                <w:p>
                  <w:pPr>
                    <w:tabs>
                      <w:tab w:val="left" w:pos="220"/>
                      <w:tab w:val="left" w:pos="430"/>
                    </w:tab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超标倍数</w:t>
                  </w:r>
                </w:p>
              </w:tc>
              <w:tc>
                <w:tcPr>
                  <w:tcW w:w="870" w:type="dxa"/>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1085" w:type="dxa"/>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1089" w:type="dxa"/>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889" w:type="dxa"/>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1053" w:type="dxa"/>
                  <w:noWrap w:val="0"/>
                  <w:vAlign w:val="center"/>
                </w:tcPr>
                <w:p>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1329" w:type="dxa"/>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二氧化硫：</w:t>
            </w:r>
            <w:r>
              <w:rPr>
                <w:rFonts w:hint="eastAsia" w:cs="Times New Roman"/>
                <w:color w:val="000000" w:themeColor="text1"/>
                <w:sz w:val="24"/>
                <w:szCs w:val="24"/>
                <w:lang w:eastAsia="zh-CN"/>
                <w14:textFill>
                  <w14:solidFill>
                    <w14:schemeClr w14:val="tx1"/>
                  </w14:solidFill>
                </w14:textFill>
              </w:rPr>
              <w:t>宁县</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均值浓度范围为</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微克/立方米，</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均值达标率为100%；年均值为</w:t>
            </w: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微克/立方米，达标。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二氧化氮：</w:t>
            </w:r>
            <w:r>
              <w:rPr>
                <w:rFonts w:hint="eastAsia" w:cs="Times New Roman"/>
                <w:color w:val="000000" w:themeColor="text1"/>
                <w:sz w:val="24"/>
                <w:szCs w:val="24"/>
                <w:lang w:eastAsia="zh-CN"/>
                <w14:textFill>
                  <w14:solidFill>
                    <w14:schemeClr w14:val="tx1"/>
                  </w14:solidFill>
                </w14:textFill>
              </w:rPr>
              <w:t>宁县</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均值浓度范围为</w:t>
            </w:r>
            <w:r>
              <w:rPr>
                <w:rFonts w:hint="eastAsia" w:cs="Times New Roman"/>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17</w:t>
            </w:r>
            <w:r>
              <w:rPr>
                <w:rFonts w:hint="default" w:ascii="Times New Roman" w:hAnsi="Times New Roman" w:eastAsia="宋体" w:cs="Times New Roman"/>
                <w:color w:val="000000" w:themeColor="text1"/>
                <w:sz w:val="24"/>
                <w:szCs w:val="24"/>
                <w14:textFill>
                  <w14:solidFill>
                    <w14:schemeClr w14:val="tx1"/>
                  </w14:solidFill>
                </w14:textFill>
              </w:rPr>
              <w:t>微克/立方米，</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均值达标率为100%；年均值为</w:t>
            </w:r>
            <w:r>
              <w:rPr>
                <w:rFonts w:hint="eastAsia" w:cs="Times New Roman"/>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14:textFill>
                  <w14:solidFill>
                    <w14:schemeClr w14:val="tx1"/>
                  </w14:solidFill>
                </w14:textFill>
              </w:rPr>
              <w:t>微克/立方米，达标。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可吸入颗粒物：</w:t>
            </w:r>
            <w:r>
              <w:rPr>
                <w:rFonts w:hint="eastAsia" w:cs="Times New Roman"/>
                <w:color w:val="000000" w:themeColor="text1"/>
                <w:sz w:val="24"/>
                <w:szCs w:val="24"/>
                <w:lang w:eastAsia="zh-CN"/>
                <w14:textFill>
                  <w14:solidFill>
                    <w14:schemeClr w14:val="tx1"/>
                  </w14:solidFill>
                </w14:textFill>
              </w:rPr>
              <w:t>宁县</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均值浓度范围为</w:t>
            </w:r>
            <w:r>
              <w:rPr>
                <w:rFonts w:hint="eastAsia" w:cs="Times New Roman"/>
                <w:color w:val="000000" w:themeColor="text1"/>
                <w:sz w:val="24"/>
                <w:szCs w:val="24"/>
                <w:lang w:val="en-US" w:eastAsia="zh-CN"/>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 xml:space="preserve"> 微克/立方米，</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均值达标率为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14:textFill>
                  <w14:solidFill>
                    <w14:schemeClr w14:val="tx1"/>
                  </w14:solidFill>
                </w14:textFill>
              </w:rPr>
              <w:t>%；年均值为</w:t>
            </w:r>
            <w:r>
              <w:rPr>
                <w:rFonts w:hint="eastAsia" w:cs="Times New Roman"/>
                <w:color w:val="000000" w:themeColor="text1"/>
                <w:sz w:val="24"/>
                <w:szCs w:val="24"/>
                <w:lang w:val="en-US" w:eastAsia="zh-CN"/>
                <w14:textFill>
                  <w14:solidFill>
                    <w14:schemeClr w14:val="tx1"/>
                  </w14:solidFill>
                </w14:textFill>
              </w:rPr>
              <w:t>76</w:t>
            </w:r>
            <w:r>
              <w:rPr>
                <w:rFonts w:hint="default" w:ascii="Times New Roman" w:hAnsi="Times New Roman" w:eastAsia="宋体" w:cs="Times New Roman"/>
                <w:color w:val="000000" w:themeColor="text1"/>
                <w:sz w:val="24"/>
                <w:szCs w:val="24"/>
                <w14:textFill>
                  <w14:solidFill>
                    <w14:schemeClr w14:val="tx1"/>
                  </w14:solidFill>
                </w14:textFill>
              </w:rPr>
              <w:t>微克/立方米，达标。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细颗粒物：</w:t>
            </w:r>
            <w:r>
              <w:rPr>
                <w:rFonts w:hint="eastAsia" w:cs="Times New Roman"/>
                <w:color w:val="000000" w:themeColor="text1"/>
                <w:sz w:val="24"/>
                <w:szCs w:val="24"/>
                <w:lang w:eastAsia="zh-CN"/>
                <w14:textFill>
                  <w14:solidFill>
                    <w14:schemeClr w14:val="tx1"/>
                  </w14:solidFill>
                </w14:textFill>
              </w:rPr>
              <w:t>宁县</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均值浓度范围为</w:t>
            </w:r>
            <w:r>
              <w:rPr>
                <w:rFonts w:hint="eastAsia" w:cs="Times New Roman"/>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 xml:space="preserve"> 微克/立方米，</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均值达标率为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14:textFill>
                  <w14:solidFill>
                    <w14:schemeClr w14:val="tx1"/>
                  </w14:solidFill>
                </w14:textFill>
              </w:rPr>
              <w:t>%；年均值为</w:t>
            </w:r>
            <w:r>
              <w:rPr>
                <w:rFonts w:hint="eastAsia" w:cs="Times New Roman"/>
                <w:color w:val="000000" w:themeColor="text1"/>
                <w:sz w:val="24"/>
                <w:szCs w:val="24"/>
                <w:lang w:val="en-US" w:eastAsia="zh-CN"/>
                <w14:textFill>
                  <w14:solidFill>
                    <w14:schemeClr w14:val="tx1"/>
                  </w14:solidFill>
                </w14:textFill>
              </w:rPr>
              <w:t>34</w:t>
            </w:r>
            <w:r>
              <w:rPr>
                <w:rFonts w:hint="default" w:ascii="Times New Roman" w:hAnsi="Times New Roman" w:eastAsia="宋体" w:cs="Times New Roman"/>
                <w:color w:val="000000" w:themeColor="text1"/>
                <w:sz w:val="24"/>
                <w:szCs w:val="24"/>
                <w14:textFill>
                  <w14:solidFill>
                    <w14:schemeClr w14:val="tx1"/>
                  </w14:solidFill>
                </w14:textFill>
              </w:rPr>
              <w:t>微克/立方米，达标。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一氧化碳：</w:t>
            </w:r>
            <w:r>
              <w:rPr>
                <w:rFonts w:hint="eastAsia" w:cs="Times New Roman"/>
                <w:color w:val="000000" w:themeColor="text1"/>
                <w:sz w:val="24"/>
                <w:szCs w:val="24"/>
                <w:lang w:eastAsia="zh-CN"/>
                <w14:textFill>
                  <w14:solidFill>
                    <w14:schemeClr w14:val="tx1"/>
                  </w14:solidFill>
                </w14:textFill>
              </w:rPr>
              <w:t>宁县</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均值浓度范围为 0.</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毫克/立方米，</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均值达标率为100%；</w:t>
            </w:r>
            <w:r>
              <w:rPr>
                <w:rFonts w:hint="eastAsia" w:ascii="Times New Roman" w:hAnsi="Times New Roman" w:eastAsia="宋体" w:cs="Times New Roman"/>
                <w:color w:val="000000" w:themeColor="text1"/>
                <w:sz w:val="24"/>
                <w:szCs w:val="24"/>
                <w:lang w:eastAsia="zh-CN"/>
                <w14:textFill>
                  <w14:solidFill>
                    <w14:schemeClr w14:val="tx1"/>
                  </w14:solidFill>
                </w14:textFill>
              </w:rPr>
              <w:t>年</w:t>
            </w:r>
            <w:r>
              <w:rPr>
                <w:rFonts w:hint="default" w:ascii="Times New Roman" w:hAnsi="Times New Roman" w:eastAsia="宋体" w:cs="Times New Roman"/>
                <w:color w:val="000000" w:themeColor="text1"/>
                <w:sz w:val="24"/>
                <w:szCs w:val="24"/>
                <w14:textFill>
                  <w14:solidFill>
                    <w14:schemeClr w14:val="tx1"/>
                  </w14:solidFill>
                </w14:textFill>
              </w:rPr>
              <w:t xml:space="preserve">均值第 95 百分位数为 </w:t>
            </w:r>
            <w:r>
              <w:rPr>
                <w:rFonts w:hint="eastAsia" w:cs="Times New Roman"/>
                <w:color w:val="000000" w:themeColor="text1"/>
                <w:sz w:val="24"/>
                <w:szCs w:val="24"/>
                <w:lang w:val="en-US" w:eastAsia="zh-CN"/>
                <w14:textFill>
                  <w14:solidFill>
                    <w14:schemeClr w14:val="tx1"/>
                  </w14:solidFill>
                </w14:textFill>
              </w:rPr>
              <w:t>0.9</w:t>
            </w:r>
            <w:r>
              <w:rPr>
                <w:rFonts w:hint="default" w:ascii="Times New Roman" w:hAnsi="Times New Roman" w:eastAsia="宋体" w:cs="Times New Roman"/>
                <w:color w:val="000000" w:themeColor="text1"/>
                <w:sz w:val="24"/>
                <w:szCs w:val="24"/>
                <w14:textFill>
                  <w14:solidFill>
                    <w14:schemeClr w14:val="tx1"/>
                  </w14:solidFill>
                </w14:textFill>
              </w:rPr>
              <w:t xml:space="preserve"> 毫克/立方米，达标。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臭氧；</w:t>
            </w:r>
            <w:r>
              <w:rPr>
                <w:rFonts w:hint="eastAsia" w:cs="Times New Roman"/>
                <w:color w:val="000000" w:themeColor="text1"/>
                <w:sz w:val="24"/>
                <w:szCs w:val="24"/>
                <w:lang w:eastAsia="zh-CN"/>
                <w14:textFill>
                  <w14:solidFill>
                    <w14:schemeClr w14:val="tx1"/>
                  </w14:solidFill>
                </w14:textFill>
              </w:rPr>
              <w:t>宁县</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 xml:space="preserve">最大 8 小时滑动平均的浓度范围为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38</w:t>
            </w:r>
            <w:r>
              <w:rPr>
                <w:rFonts w:hint="default" w:ascii="Times New Roman" w:hAnsi="Times New Roman" w:eastAsia="宋体" w:cs="Times New Roman"/>
                <w:color w:val="000000" w:themeColor="text1"/>
                <w:sz w:val="24"/>
                <w:szCs w:val="24"/>
                <w14:textFill>
                  <w14:solidFill>
                    <w14:schemeClr w14:val="tx1"/>
                  </w14:solidFill>
                </w14:textFill>
              </w:rPr>
              <w:t xml:space="preserve"> 微克/立方米，</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default" w:ascii="Times New Roman" w:hAnsi="Times New Roman" w:eastAsia="宋体" w:cs="Times New Roman"/>
                <w:color w:val="000000" w:themeColor="text1"/>
                <w:sz w:val="24"/>
                <w:szCs w:val="24"/>
                <w14:textFill>
                  <w14:solidFill>
                    <w14:schemeClr w14:val="tx1"/>
                  </w14:solidFill>
                </w14:textFill>
              </w:rPr>
              <w:t>最大 8 小时滑动平均值达标率为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年</w:t>
            </w:r>
            <w:r>
              <w:rPr>
                <w:rFonts w:hint="default" w:ascii="Times New Roman" w:hAnsi="Times New Roman" w:eastAsia="宋体" w:cs="Times New Roman"/>
                <w:color w:val="000000" w:themeColor="text1"/>
                <w:sz w:val="24"/>
                <w:szCs w:val="24"/>
                <w14:textFill>
                  <w14:solidFill>
                    <w14:schemeClr w14:val="tx1"/>
                  </w14:solidFill>
                </w14:textFill>
              </w:rPr>
              <w:t>最大8 小时滑动平均的第90百分位数为</w:t>
            </w:r>
            <w:r>
              <w:rPr>
                <w:rFonts w:hint="eastAsia" w:cs="Times New Roman"/>
                <w:color w:val="000000" w:themeColor="text1"/>
                <w:sz w:val="24"/>
                <w:szCs w:val="24"/>
                <w:lang w:val="en-US" w:eastAsia="zh-CN"/>
                <w14:textFill>
                  <w14:solidFill>
                    <w14:schemeClr w14:val="tx1"/>
                  </w14:solidFill>
                </w14:textFill>
              </w:rPr>
              <w:t>116</w:t>
            </w:r>
            <w:r>
              <w:rPr>
                <w:rFonts w:hint="default" w:ascii="Times New Roman" w:hAnsi="Times New Roman" w:eastAsia="宋体" w:cs="Times New Roman"/>
                <w:color w:val="000000" w:themeColor="text1"/>
                <w:sz w:val="24"/>
                <w:szCs w:val="24"/>
                <w14:textFill>
                  <w14:solidFill>
                    <w14:schemeClr w14:val="tx1"/>
                  </w14:solidFill>
                </w14:textFill>
              </w:rPr>
              <w:t>微克/立方米，达标。</w:t>
            </w:r>
          </w:p>
          <w:p>
            <w:pPr>
              <w:pStyle w:val="56"/>
              <w:bidi w:val="0"/>
              <w:rPr>
                <w:rFonts w:hint="eastAsia"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根据上述数据，庆阳市</w:t>
            </w:r>
            <w:r>
              <w:rPr>
                <w:rFonts w:hint="eastAsia" w:cs="Times New Roman"/>
                <w:color w:val="000000" w:themeColor="text1"/>
                <w:sz w:val="24"/>
                <w:szCs w:val="24"/>
                <w:lang w:eastAsia="zh-CN"/>
                <w14:textFill>
                  <w14:solidFill>
                    <w14:schemeClr w14:val="tx1"/>
                  </w14:solidFill>
                </w14:textFill>
              </w:rPr>
              <w:t>宁县</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年环境空气监测数据中二氧化硫、二氧化氮、可吸入颗粒物（PM10）、细颗粒物（PM2.5）、臭氧、一氧化碳均达到《环境空气质量标准》（GB3095-2012）二级标准，项目所在地属于达标区</w:t>
            </w:r>
            <w:r>
              <w:rPr>
                <w:rFonts w:hint="eastAsia" w:ascii="Times New Roman" w:hAnsi="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2</w:t>
            </w:r>
            <w:r>
              <w:rPr>
                <w:rFonts w:hint="eastAsia" w:ascii="Times New Roman" w:hAnsi="Times New Roman" w:eastAsia="宋体" w:cs="宋体"/>
                <w:color w:val="000000" w:themeColor="text1"/>
                <w:sz w:val="24"/>
                <w:lang w:eastAsia="zh-CN"/>
                <w14:textFill>
                  <w14:solidFill>
                    <w14:schemeClr w14:val="tx1"/>
                  </w14:solidFill>
                </w14:textFill>
              </w:rPr>
              <w:t>）地表水环境质量现状</w:t>
            </w:r>
          </w:p>
          <w:p>
            <w:pPr>
              <w:spacing w:line="360" w:lineRule="auto"/>
              <w:ind w:firstLine="480" w:firstLineChars="200"/>
              <w:jc w:val="left"/>
              <w:rPr>
                <w:color w:val="000000" w:themeColor="text1"/>
                <w:sz w:val="24"/>
                <w:szCs w:val="32"/>
                <w14:textFill>
                  <w14:solidFill>
                    <w14:schemeClr w14:val="tx1"/>
                  </w14:solidFill>
                </w14:textFill>
              </w:rPr>
            </w:pPr>
            <w:r>
              <w:rPr>
                <w:rFonts w:ascii="Times New Roman" w:hAnsi="Times New Roman" w:eastAsia="宋体"/>
                <w:color w:val="000000" w:themeColor="text1"/>
                <w:kern w:val="24"/>
                <w:sz w:val="24"/>
                <w:szCs w:val="24"/>
                <w:highlight w:val="none"/>
                <w14:textFill>
                  <w14:solidFill>
                    <w14:schemeClr w14:val="tx1"/>
                  </w14:solidFill>
                </w14:textFill>
              </w:rPr>
              <w:t>本次</w:t>
            </w:r>
            <w:r>
              <w:rPr>
                <w:rFonts w:hint="eastAsia" w:ascii="Times New Roman" w:hAnsi="Times New Roman" w:eastAsia="宋体"/>
                <w:color w:val="000000" w:themeColor="text1"/>
                <w:kern w:val="24"/>
                <w:sz w:val="24"/>
                <w:szCs w:val="24"/>
                <w:highlight w:val="none"/>
                <w14:textFill>
                  <w14:solidFill>
                    <w14:schemeClr w14:val="tx1"/>
                  </w14:solidFill>
                </w14:textFill>
              </w:rPr>
              <w:t>项目</w:t>
            </w:r>
            <w:r>
              <w:rPr>
                <w:rFonts w:hint="eastAsia" w:ascii="Times New Roman" w:hAnsi="Times New Roman" w:eastAsia="宋体"/>
                <w:color w:val="000000" w:themeColor="text1"/>
                <w:sz w:val="24"/>
                <w:szCs w:val="24"/>
                <w:highlight w:val="none"/>
                <w14:textFill>
                  <w14:solidFill>
                    <w14:schemeClr w14:val="tx1"/>
                  </w14:solidFill>
                </w14:textFill>
              </w:rPr>
              <w:t>地表水为</w:t>
            </w:r>
            <w:r>
              <w:rPr>
                <w:rFonts w:hint="eastAsia"/>
                <w:color w:val="000000" w:themeColor="text1"/>
                <w:sz w:val="24"/>
                <w:szCs w:val="24"/>
                <w:highlight w:val="none"/>
                <w:lang w:eastAsia="zh-CN"/>
                <w14:textFill>
                  <w14:solidFill>
                    <w14:schemeClr w14:val="tx1"/>
                  </w14:solidFill>
                </w14:textFill>
              </w:rPr>
              <w:t>城北河</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eastAsia="zh-CN"/>
                <w14:textFill>
                  <w14:solidFill>
                    <w14:schemeClr w14:val="tx1"/>
                  </w14:solidFill>
                </w14:textFill>
              </w:rPr>
              <w:t>最终汇入马莲河。</w:t>
            </w:r>
            <w:r>
              <w:rPr>
                <w:color w:val="000000" w:themeColor="text1"/>
                <w:sz w:val="24"/>
                <w:szCs w:val="32"/>
                <w14:textFill>
                  <w14:solidFill>
                    <w14:schemeClr w14:val="tx1"/>
                  </w14:solidFill>
                </w14:textFill>
              </w:rPr>
              <w:t>本次评价</w:t>
            </w:r>
            <w:r>
              <w:rPr>
                <w:rFonts w:hint="eastAsia"/>
                <w:color w:val="000000" w:themeColor="text1"/>
                <w:sz w:val="24"/>
                <w:szCs w:val="32"/>
                <w14:textFill>
                  <w14:solidFill>
                    <w14:schemeClr w14:val="tx1"/>
                  </w14:solidFill>
                </w14:textFill>
              </w:rPr>
              <w:t>引用</w:t>
            </w:r>
            <w:r>
              <w:rPr>
                <w:rFonts w:hint="eastAsia"/>
                <w:color w:val="000000" w:themeColor="text1"/>
                <w:sz w:val="24"/>
                <w:szCs w:val="32"/>
                <w:lang w:eastAsia="zh-CN"/>
                <w14:textFill>
                  <w14:solidFill>
                    <w14:schemeClr w14:val="tx1"/>
                  </w14:solidFill>
                </w14:textFill>
              </w:rPr>
              <w:t>甘肃海汇安全科技有限公司在湘乐村庞川村庞川桥头监测数据</w:t>
            </w:r>
            <w:r>
              <w:rPr>
                <w:color w:val="000000" w:themeColor="text1"/>
                <w:sz w:val="24"/>
                <w:szCs w:val="32"/>
                <w14:textFill>
                  <w14:solidFill>
                    <w14:schemeClr w14:val="tx1"/>
                  </w14:solidFill>
                </w14:textFill>
              </w:rPr>
              <w:t>。</w:t>
            </w:r>
          </w:p>
          <w:p>
            <w:pPr>
              <w:spacing w:line="360" w:lineRule="auto"/>
              <w:ind w:firstLine="480" w:firstLineChars="200"/>
              <w:jc w:val="left"/>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监测断面：</w:t>
            </w:r>
            <w:r>
              <w:rPr>
                <w:rFonts w:hint="eastAsia"/>
                <w:color w:val="000000" w:themeColor="text1"/>
                <w:sz w:val="24"/>
                <w:szCs w:val="32"/>
                <w14:textFill>
                  <w14:solidFill>
                    <w14:schemeClr w14:val="tx1"/>
                  </w14:solidFill>
                </w14:textFill>
              </w:rPr>
              <w:t>湘乐村庞川村庞川桥头</w:t>
            </w:r>
            <w:r>
              <w:rPr>
                <w:color w:val="000000" w:themeColor="text1"/>
                <w:sz w:val="24"/>
                <w:szCs w:val="32"/>
                <w14:textFill>
                  <w14:solidFill>
                    <w14:schemeClr w14:val="tx1"/>
                  </w14:solidFill>
                </w14:textFill>
              </w:rPr>
              <w:t>。</w:t>
            </w:r>
          </w:p>
          <w:p>
            <w:pPr>
              <w:spacing w:line="360" w:lineRule="auto"/>
              <w:ind w:firstLine="480" w:firstLineChars="200"/>
              <w:jc w:val="left"/>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监测因子为：</w:t>
            </w:r>
            <w:r>
              <w:rPr>
                <w:rFonts w:hint="eastAsia"/>
                <w:color w:val="000000" w:themeColor="text1"/>
                <w:sz w:val="24"/>
                <w:szCs w:val="32"/>
                <w14:textFill>
                  <w14:solidFill>
                    <w14:schemeClr w14:val="tx1"/>
                  </w14:solidFill>
                </w14:textFill>
              </w:rPr>
              <w:t>地表水断面监测项目为化学需氧量、氨氮、生化需氧量、总磷和总氮，共</w:t>
            </w:r>
            <w:r>
              <w:rPr>
                <w:rFonts w:hint="eastAsia"/>
                <w:color w:val="000000" w:themeColor="text1"/>
                <w:sz w:val="24"/>
                <w:szCs w:val="32"/>
                <w:lang w:val="en-US" w:eastAsia="zh-CN"/>
                <w14:textFill>
                  <w14:solidFill>
                    <w14:schemeClr w14:val="tx1"/>
                  </w14:solidFill>
                </w14:textFill>
              </w:rPr>
              <w:t>5</w:t>
            </w:r>
            <w:r>
              <w:rPr>
                <w:rFonts w:hint="eastAsia"/>
                <w:color w:val="000000" w:themeColor="text1"/>
                <w:sz w:val="24"/>
                <w:szCs w:val="32"/>
                <w14:textFill>
                  <w14:solidFill>
                    <w14:schemeClr w14:val="tx1"/>
                  </w14:solidFill>
                </w14:textFill>
              </w:rPr>
              <w:t>项监测指标</w:t>
            </w:r>
            <w:r>
              <w:rPr>
                <w:color w:val="000000" w:themeColor="text1"/>
                <w:sz w:val="24"/>
                <w:szCs w:val="32"/>
                <w14:textFill>
                  <w14:solidFill>
                    <w14:schemeClr w14:val="tx1"/>
                  </w14:solidFill>
                </w14:textFill>
              </w:rPr>
              <w:t>。</w:t>
            </w:r>
          </w:p>
          <w:p>
            <w:pPr>
              <w:spacing w:line="360" w:lineRule="auto"/>
              <w:ind w:firstLine="480" w:firstLineChars="200"/>
              <w:jc w:val="left"/>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监测时间及频率：20</w:t>
            </w:r>
            <w:r>
              <w:rPr>
                <w:rFonts w:hint="eastAsia"/>
                <w:color w:val="000000" w:themeColor="text1"/>
                <w:sz w:val="24"/>
                <w:szCs w:val="32"/>
                <w:lang w:val="en-US" w:eastAsia="zh-CN"/>
                <w14:textFill>
                  <w14:solidFill>
                    <w14:schemeClr w14:val="tx1"/>
                  </w14:solidFill>
                </w14:textFill>
              </w:rPr>
              <w:t>21</w:t>
            </w:r>
            <w:r>
              <w:rPr>
                <w:color w:val="000000" w:themeColor="text1"/>
                <w:sz w:val="24"/>
                <w:szCs w:val="32"/>
                <w14:textFill>
                  <w14:solidFill>
                    <w14:schemeClr w14:val="tx1"/>
                  </w14:solidFill>
                </w14:textFill>
              </w:rPr>
              <w:t>年</w:t>
            </w:r>
            <w:r>
              <w:rPr>
                <w:rFonts w:hint="eastAsia"/>
                <w:color w:val="000000" w:themeColor="text1"/>
                <w:sz w:val="24"/>
                <w:szCs w:val="32"/>
                <w:lang w:eastAsia="zh-CN"/>
                <w14:textFill>
                  <w14:solidFill>
                    <w14:schemeClr w14:val="tx1"/>
                  </w14:solidFill>
                </w14:textFill>
              </w:rPr>
              <w:t>年</w:t>
            </w:r>
            <w:r>
              <w:rPr>
                <w:rFonts w:hint="eastAsia"/>
                <w:color w:val="000000" w:themeColor="text1"/>
                <w:sz w:val="24"/>
                <w:szCs w:val="32"/>
                <w:lang w:val="en-US" w:eastAsia="zh-CN"/>
                <w14:textFill>
                  <w14:solidFill>
                    <w14:schemeClr w14:val="tx1"/>
                  </w14:solidFill>
                </w14:textFill>
              </w:rPr>
              <w:t>5月18日</w:t>
            </w:r>
            <w:r>
              <w:rPr>
                <w:color w:val="000000" w:themeColor="text1"/>
                <w:sz w:val="24"/>
                <w:szCs w:val="32"/>
                <w14:textFill>
                  <w14:solidFill>
                    <w14:schemeClr w14:val="tx1"/>
                  </w14:solidFill>
                </w14:textFill>
              </w:rPr>
              <w:t>。</w:t>
            </w:r>
          </w:p>
          <w:p>
            <w:pPr>
              <w:spacing w:line="360" w:lineRule="auto"/>
              <w:ind w:firstLine="480" w:firstLineChars="200"/>
              <w:jc w:val="left"/>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评价标准：《地表水环境质量标准》（GB3838-2002）Ⅲ类。</w:t>
            </w:r>
          </w:p>
          <w:p>
            <w:pPr>
              <w:spacing w:line="360" w:lineRule="auto"/>
              <w:ind w:firstLine="480" w:firstLineChars="200"/>
              <w:jc w:val="left"/>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采样及分析方法：</w:t>
            </w:r>
            <w:r>
              <w:rPr>
                <w:rFonts w:hint="eastAsia"/>
                <w:color w:val="000000" w:themeColor="text1"/>
                <w:sz w:val="24"/>
                <w:szCs w:val="32"/>
                <w14:textFill>
                  <w14:solidFill>
                    <w14:schemeClr w14:val="tx1"/>
                  </w14:solidFill>
                </w14:textFill>
              </w:rPr>
              <w:t>各项目监测方法均以国家环保部规定的各项目监测标准和《水和废水监测分析方法》（第四版增补版）中规定的监测分析方法为准</w:t>
            </w:r>
            <w:r>
              <w:rPr>
                <w:color w:val="000000" w:themeColor="text1"/>
                <w:sz w:val="24"/>
                <w:szCs w:val="32"/>
                <w14:textFill>
                  <w14:solidFill>
                    <w14:schemeClr w14:val="tx1"/>
                  </w14:solidFill>
                </w14:textFill>
              </w:rPr>
              <w:t>。</w:t>
            </w:r>
          </w:p>
          <w:p>
            <w:pPr>
              <w:spacing w:line="360" w:lineRule="auto"/>
              <w:ind w:firstLine="480" w:firstLineChars="200"/>
              <w:jc w:val="left"/>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监测结果：见表3-</w:t>
            </w:r>
            <w:r>
              <w:rPr>
                <w:rFonts w:hint="eastAsia"/>
                <w:color w:val="000000" w:themeColor="text1"/>
                <w:sz w:val="24"/>
                <w:szCs w:val="32"/>
                <w:lang w:val="en-US" w:eastAsia="zh-CN"/>
                <w14:textFill>
                  <w14:solidFill>
                    <w14:schemeClr w14:val="tx1"/>
                  </w14:solidFill>
                </w14:textFill>
              </w:rPr>
              <w:t>2</w:t>
            </w:r>
            <w:r>
              <w:rPr>
                <w:color w:val="000000" w:themeColor="text1"/>
                <w:sz w:val="24"/>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表3-</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2</w:t>
            </w:r>
            <w:r>
              <w:rPr>
                <w:rFonts w:hint="eastAsia" w:ascii="Times New Roman" w:hAnsi="Times New Roman" w:eastAsia="宋体" w:cs="Times New Roman"/>
                <w:b/>
                <w:bCs/>
                <w:color w:val="000000" w:themeColor="text1"/>
                <w:szCs w:val="21"/>
                <w14:textFill>
                  <w14:solidFill>
                    <w14:schemeClr w14:val="tx1"/>
                  </w14:solidFill>
                </w14:textFill>
              </w:rPr>
              <w:t xml:space="preserve">       地表水监测结果     单位：mg/L</w:t>
            </w:r>
          </w:p>
          <w:tbl>
            <w:tblPr>
              <w:tblStyle w:val="22"/>
              <w:tblW w:w="7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1915"/>
              <w:gridCol w:w="1915"/>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监测因子</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监测结果</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限值</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COD</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氨氮</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0.248</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总磷</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0.07</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0.2</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BOD</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1.1</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4</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总氮</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1.62</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c>
                <w:tcPr>
                  <w:tcW w:w="1915" w:type="dxa"/>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r>
          </w:tbl>
          <w:p>
            <w:pPr>
              <w:wordWrap w:val="0"/>
              <w:spacing w:before="159" w:beforeLines="50" w:beforeAutospacing="0" w:line="360" w:lineRule="auto"/>
              <w:ind w:firstLine="480" w:firstLineChars="200"/>
              <w:jc w:val="left"/>
              <w:rPr>
                <w:rFonts w:ascii="Times New Roman" w:hAnsi="Times New Roman" w:eastAsia="宋体"/>
                <w:color w:val="000000" w:themeColor="text1"/>
                <w:kern w:val="24"/>
                <w:sz w:val="24"/>
                <w:szCs w:val="24"/>
                <w14:textFill>
                  <w14:solidFill>
                    <w14:schemeClr w14:val="tx1"/>
                  </w14:solidFill>
                </w14:textFill>
              </w:rPr>
            </w:pPr>
            <w:r>
              <w:rPr>
                <w:rFonts w:hint="eastAsia"/>
                <w:color w:val="000000" w:themeColor="text1"/>
                <w:sz w:val="24"/>
                <w14:textFill>
                  <w14:solidFill>
                    <w14:schemeClr w14:val="tx1"/>
                  </w14:solidFill>
                </w14:textFill>
              </w:rPr>
              <w:t>由检测结果可知，湘乐村庞川村庞川桥头断面参评的</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项指标年均值均符合</w:t>
            </w:r>
            <w:r>
              <w:rPr>
                <w:color w:val="000000" w:themeColor="text1"/>
                <w:sz w:val="24"/>
                <w:szCs w:val="32"/>
                <w14:textFill>
                  <w14:solidFill>
                    <w14:schemeClr w14:val="tx1"/>
                  </w14:solidFill>
                </w14:textFill>
              </w:rPr>
              <w:t>Ⅲ</w:t>
            </w:r>
            <w:r>
              <w:rPr>
                <w:rFonts w:hint="eastAsia"/>
                <w:color w:val="000000" w:themeColor="text1"/>
                <w:sz w:val="24"/>
                <w14:textFill>
                  <w14:solidFill>
                    <w14:schemeClr w14:val="tx1"/>
                  </w14:solidFill>
                </w14:textFill>
              </w:rPr>
              <w:t>类水质标准。</w:t>
            </w:r>
            <w:r>
              <w:rPr>
                <w:color w:val="000000" w:themeColor="text1"/>
                <w:sz w:val="24"/>
                <w14:textFill>
                  <w14:solidFill>
                    <w14:schemeClr w14:val="tx1"/>
                  </w14:solidFill>
                </w14:textFill>
              </w:rPr>
              <w:t>区域地表水环境质量</w:t>
            </w:r>
            <w:r>
              <w:rPr>
                <w:rFonts w:hint="eastAsia"/>
                <w:color w:val="000000" w:themeColor="text1"/>
                <w:sz w:val="24"/>
                <w14:textFill>
                  <w14:solidFill>
                    <w14:schemeClr w14:val="tx1"/>
                  </w14:solidFill>
                </w14:textFill>
              </w:rPr>
              <w:t>较好</w:t>
            </w:r>
            <w:r>
              <w:rPr>
                <w:rFonts w:hint="eastAsia" w:ascii="Times New Roman" w:hAnsi="Times New Roman" w:eastAsia="宋体"/>
                <w:color w:val="000000" w:themeColor="text1"/>
                <w:kern w:val="24"/>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cs="宋体"/>
                <w:color w:val="000000" w:themeColor="text1"/>
                <w:sz w:val="24"/>
                <w:lang w:eastAsia="zh-CN"/>
                <w14:textFill>
                  <w14:solidFill>
                    <w14:schemeClr w14:val="tx1"/>
                  </w14:solidFill>
                </w14:textFill>
              </w:rPr>
              <w:t>底泥监测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cs="宋体"/>
                <w:color w:val="000000" w:themeColor="text1"/>
                <w:sz w:val="24"/>
                <w:lang w:eastAsia="zh-CN"/>
                <w14:textFill>
                  <w14:solidFill>
                    <w14:schemeClr w14:val="tx1"/>
                  </w14:solidFill>
                </w14:textFill>
              </w:rPr>
              <w:t>为了解项目区河道底泥重金属污染情况，委托甘肃清绿源环境检测有限公司对项目区底泥进行监测。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color w:val="000000" w:themeColor="text1"/>
                <w:sz w:val="24"/>
                <w:lang w:eastAsia="zh-CN"/>
                <w14:textFill>
                  <w14:solidFill>
                    <w14:schemeClr w14:val="tx1"/>
                  </w14:solidFill>
                </w14:textFill>
              </w:rPr>
            </w:pPr>
            <w:r>
              <w:rPr>
                <w:rFonts w:hint="eastAsia" w:cs="宋体"/>
                <w:color w:val="000000" w:themeColor="text1"/>
                <w:sz w:val="24"/>
                <w:lang w:eastAsia="zh-CN"/>
                <w14:textFill>
                  <w14:solidFill>
                    <w14:schemeClr w14:val="tx1"/>
                  </w14:solidFill>
                </w14:textFill>
              </w:rPr>
              <w:t>监测点位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共布设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个</w:t>
            </w:r>
            <w:r>
              <w:rPr>
                <w:rFonts w:hint="eastAsia" w:ascii="Times New Roman" w:hAnsi="Times New Roman" w:eastAsia="宋体" w:cs="Times New Roman"/>
                <w:color w:val="000000" w:themeColor="text1"/>
                <w:sz w:val="24"/>
                <w:szCs w:val="24"/>
                <w:lang w:eastAsia="zh-CN"/>
                <w14:textFill>
                  <w14:solidFill>
                    <w14:schemeClr w14:val="tx1"/>
                  </w14:solidFill>
                </w14:textFill>
              </w:rPr>
              <w:t>底泥环境质量</w:t>
            </w:r>
            <w:r>
              <w:rPr>
                <w:rFonts w:hint="default" w:ascii="Times New Roman" w:hAnsi="Times New Roman" w:eastAsia="宋体" w:cs="Times New Roman"/>
                <w:color w:val="000000" w:themeColor="text1"/>
                <w:sz w:val="24"/>
                <w:szCs w:val="24"/>
                <w:lang w:eastAsia="zh-CN"/>
                <w14:textFill>
                  <w14:solidFill>
                    <w14:schemeClr w14:val="tx1"/>
                  </w14:solidFill>
                </w14:textFill>
              </w:rPr>
              <w:t>现状监测</w:t>
            </w:r>
            <w:r>
              <w:rPr>
                <w:rFonts w:hint="eastAsia" w:ascii="Times New Roman" w:hAnsi="Times New Roman" w:eastAsia="宋体" w:cs="Times New Roman"/>
                <w:color w:val="000000" w:themeColor="text1"/>
                <w:sz w:val="24"/>
                <w:szCs w:val="24"/>
                <w:lang w:eastAsia="zh-CN"/>
                <w14:textFill>
                  <w14:solidFill>
                    <w14:schemeClr w14:val="tx1"/>
                  </w14:solidFill>
                </w14:textFill>
              </w:rPr>
              <w:t>断面</w:t>
            </w:r>
            <w:r>
              <w:rPr>
                <w:rFonts w:hint="default" w:ascii="Times New Roman" w:hAnsi="Times New Roman" w:eastAsia="宋体" w:cs="Times New Roman"/>
                <w:color w:val="000000" w:themeColor="text1"/>
                <w:sz w:val="24"/>
                <w:szCs w:val="24"/>
                <w:lang w:eastAsia="zh-CN"/>
                <w14:textFill>
                  <w14:solidFill>
                    <w14:schemeClr w14:val="tx1"/>
                  </w14:solidFill>
                </w14:textFill>
              </w:rPr>
              <w:t>。具体</w:t>
            </w:r>
            <w:r>
              <w:rPr>
                <w:rFonts w:hint="eastAsia" w:ascii="Times New Roman" w:hAnsi="Times New Roman" w:eastAsia="宋体" w:cs="Times New Roman"/>
                <w:color w:val="000000" w:themeColor="text1"/>
                <w:sz w:val="24"/>
                <w:szCs w:val="24"/>
                <w:lang w:eastAsia="zh-CN"/>
                <w14:textFill>
                  <w14:solidFill>
                    <w14:schemeClr w14:val="tx1"/>
                  </w14:solidFill>
                </w14:textFill>
              </w:rPr>
              <w:t>点位布设</w:t>
            </w:r>
            <w:r>
              <w:rPr>
                <w:rFonts w:hint="default" w:ascii="Times New Roman" w:hAnsi="Times New Roman" w:eastAsia="宋体" w:cs="Times New Roman"/>
                <w:color w:val="000000" w:themeColor="text1"/>
                <w:sz w:val="24"/>
                <w:szCs w:val="24"/>
                <w:lang w:eastAsia="zh-CN"/>
                <w14:textFill>
                  <w14:solidFill>
                    <w14:schemeClr w14:val="tx1"/>
                  </w14:solidFill>
                </w14:textFill>
              </w:rPr>
              <w:t>见</w:t>
            </w:r>
            <w:r>
              <w:rPr>
                <w:rFonts w:hint="eastAsia" w:ascii="Times New Roman" w:hAnsi="Times New Roman" w:eastAsia="宋体" w:cs="Times New Roman"/>
                <w:color w:val="000000" w:themeColor="text1"/>
                <w:sz w:val="24"/>
                <w:szCs w:val="24"/>
                <w:lang w:eastAsia="zh-CN"/>
                <w14:textFill>
                  <w14:solidFill>
                    <w14:schemeClr w14:val="tx1"/>
                  </w14:solidFill>
                </w14:textFill>
              </w:rPr>
              <w:t>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ind w:left="0" w:leftChars="0" w:firstLine="0" w:firstLineChars="0"/>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表3-3  监测点位一览表</w:t>
            </w:r>
          </w:p>
          <w:tbl>
            <w:tblPr>
              <w:tblStyle w:val="22"/>
              <w:tblW w:w="7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2470"/>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监测点位编号</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监测点位置</w:t>
                  </w:r>
                </w:p>
              </w:tc>
              <w:tc>
                <w:tcPr>
                  <w:tcW w:w="2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1#</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2"/>
                      <w:szCs w:val="22"/>
                      <w:lang w:eastAsia="zh-CN"/>
                      <w14:textFill>
                        <w14:solidFill>
                          <w14:schemeClr w14:val="tx1"/>
                        </w14:solidFill>
                      </w14:textFill>
                    </w:rPr>
                    <w:t>金钟村跨城北河桥下</w:t>
                  </w:r>
                </w:p>
              </w:tc>
              <w:tc>
                <w:tcPr>
                  <w:tcW w:w="2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107°55′36.949″, 35°30′46.626″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2#</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2"/>
                      <w:szCs w:val="22"/>
                      <w:lang w:eastAsia="zh-CN"/>
                      <w14:textFill>
                        <w14:solidFill>
                          <w14:schemeClr w14:val="tx1"/>
                        </w14:solidFill>
                      </w14:textFill>
                    </w:rPr>
                    <w:t>县医院桥下</w:t>
                  </w:r>
                </w:p>
              </w:tc>
              <w:tc>
                <w:tcPr>
                  <w:tcW w:w="2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107°55′14.547″, 35°30′21.134″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检测项目：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铜、锌、砷、汞、镉、铬（六价）、铅。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检测时间及频次：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连续采样3天，每天采样一次</w:t>
            </w:r>
            <w:r>
              <w:rPr>
                <w:rFonts w:hint="eastAsia" w:cs="宋体"/>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color w:val="000000" w:themeColor="text1"/>
                <w:sz w:val="24"/>
                <w:lang w:eastAsia="zh-CN"/>
                <w14:textFill>
                  <w14:solidFill>
                    <w14:schemeClr w14:val="tx1"/>
                  </w14:solidFill>
                </w14:textFill>
              </w:rPr>
            </w:pPr>
            <w:r>
              <w:rPr>
                <w:rFonts w:hint="eastAsia" w:cs="宋体"/>
                <w:color w:val="000000" w:themeColor="text1"/>
                <w:sz w:val="24"/>
                <w:lang w:eastAsia="zh-CN"/>
                <w14:textFill>
                  <w14:solidFill>
                    <w14:schemeClr w14:val="tx1"/>
                  </w14:solidFill>
                </w14:textFill>
              </w:rPr>
              <w:t>监测结果：监测结果见下表。</w:t>
            </w:r>
          </w:p>
          <w:p>
            <w:pPr>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3-4</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底泥</w:t>
            </w:r>
            <w:r>
              <w:rPr>
                <w:rFonts w:hint="default" w:ascii="Times New Roman" w:hAnsi="Times New Roman" w:eastAsia="宋体" w:cs="Times New Roman"/>
                <w:b/>
                <w:bCs/>
                <w:color w:val="000000" w:themeColor="text1"/>
                <w:lang w:val="en-US" w:eastAsia="zh-CN"/>
                <w14:textFill>
                  <w14:solidFill>
                    <w14:schemeClr w14:val="tx1"/>
                  </w14:solidFill>
                </w14:textFill>
              </w:rPr>
              <w:t>检测数据</w:t>
            </w:r>
          </w:p>
          <w:tbl>
            <w:tblPr>
              <w:tblStyle w:val="21"/>
              <w:tblW w:w="7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639"/>
              <w:gridCol w:w="1069"/>
              <w:gridCol w:w="1288"/>
              <w:gridCol w:w="1500"/>
              <w:gridCol w:w="1633"/>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vMerge w:val="restar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序号</w:t>
                  </w:r>
                </w:p>
              </w:tc>
              <w:tc>
                <w:tcPr>
                  <w:tcW w:w="413" w:type="pct"/>
                  <w:vMerge w:val="restar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检测项目</w:t>
                  </w:r>
                </w:p>
              </w:tc>
              <w:tc>
                <w:tcPr>
                  <w:tcW w:w="692" w:type="pct"/>
                  <w:vMerge w:val="restar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单位</w:t>
                  </w:r>
                </w:p>
              </w:tc>
              <w:tc>
                <w:tcPr>
                  <w:tcW w:w="2864" w:type="pct"/>
                  <w:gridSpan w:val="3"/>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金钟村跨城北河桥下检测结果</w:t>
                  </w:r>
                </w:p>
              </w:tc>
              <w:tc>
                <w:tcPr>
                  <w:tcW w:w="767" w:type="pct"/>
                  <w:vMerge w:val="restar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62" w:type="pct"/>
                  <w:vMerge w:val="continue"/>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13" w:type="pct"/>
                  <w:vMerge w:val="continue"/>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92" w:type="pct"/>
                  <w:vMerge w:val="continue"/>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834"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2022年12月20日</w:t>
                  </w:r>
                </w:p>
              </w:tc>
              <w:tc>
                <w:tcPr>
                  <w:tcW w:w="971"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2022年12月21日</w:t>
                  </w:r>
                </w:p>
              </w:tc>
              <w:tc>
                <w:tcPr>
                  <w:tcW w:w="1057"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2022年12月22日</w:t>
                  </w:r>
                </w:p>
              </w:tc>
              <w:tc>
                <w:tcPr>
                  <w:tcW w:w="767" w:type="pct"/>
                  <w:vMerge w:val="continue"/>
                  <w:noWrap w:val="0"/>
                  <w:vAlign w:val="center"/>
                </w:tcPr>
                <w:p>
                  <w:pPr>
                    <w:keepNext w:val="0"/>
                    <w:keepLines w:val="0"/>
                    <w:pageBreakBefore w:val="0"/>
                    <w:kinsoku/>
                    <w:wordWrap/>
                    <w:overflowPunct/>
                    <w:topLinePunct w:val="0"/>
                    <w:bidi w:val="0"/>
                    <w:ind w:left="-105" w:leftChars="-50" w:right="-105" w:rightChars="-5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w:t>
                  </w:r>
                </w:p>
              </w:tc>
              <w:tc>
                <w:tcPr>
                  <w:tcW w:w="413"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六价铬</w:t>
                  </w:r>
                </w:p>
              </w:tc>
              <w:tc>
                <w:tcPr>
                  <w:tcW w:w="69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34"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w:t>
                  </w:r>
                </w:p>
              </w:tc>
              <w:tc>
                <w:tcPr>
                  <w:tcW w:w="97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w:t>
                  </w:r>
                </w:p>
              </w:tc>
              <w:tc>
                <w:tcPr>
                  <w:tcW w:w="105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w:t>
                  </w:r>
                </w:p>
              </w:tc>
              <w:tc>
                <w:tcPr>
                  <w:tcW w:w="76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p>
              </w:tc>
              <w:tc>
                <w:tcPr>
                  <w:tcW w:w="413"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汞</w:t>
                  </w:r>
                </w:p>
              </w:tc>
              <w:tc>
                <w:tcPr>
                  <w:tcW w:w="69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34"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0.01</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w:t>
                  </w:r>
                </w:p>
              </w:tc>
              <w:tc>
                <w:tcPr>
                  <w:tcW w:w="97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0.01</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w:t>
                  </w:r>
                </w:p>
              </w:tc>
              <w:tc>
                <w:tcPr>
                  <w:tcW w:w="105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0.01</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w:t>
                  </w:r>
                </w:p>
              </w:tc>
              <w:tc>
                <w:tcPr>
                  <w:tcW w:w="76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3</w:t>
                  </w:r>
                </w:p>
              </w:tc>
              <w:tc>
                <w:tcPr>
                  <w:tcW w:w="413"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砷</w:t>
                  </w:r>
                </w:p>
              </w:tc>
              <w:tc>
                <w:tcPr>
                  <w:tcW w:w="69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34"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14</w:t>
                  </w:r>
                </w:p>
              </w:tc>
              <w:tc>
                <w:tcPr>
                  <w:tcW w:w="97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15</w:t>
                  </w:r>
                </w:p>
              </w:tc>
              <w:tc>
                <w:tcPr>
                  <w:tcW w:w="105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14</w:t>
                  </w:r>
                </w:p>
              </w:tc>
              <w:tc>
                <w:tcPr>
                  <w:tcW w:w="76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4</w:t>
                  </w:r>
                </w:p>
              </w:tc>
              <w:tc>
                <w:tcPr>
                  <w:tcW w:w="413"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铅</w:t>
                  </w:r>
                </w:p>
              </w:tc>
              <w:tc>
                <w:tcPr>
                  <w:tcW w:w="69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34"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4.5</w:t>
                  </w:r>
                </w:p>
              </w:tc>
              <w:tc>
                <w:tcPr>
                  <w:tcW w:w="97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4.6</w:t>
                  </w:r>
                </w:p>
              </w:tc>
              <w:tc>
                <w:tcPr>
                  <w:tcW w:w="105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4.6</w:t>
                  </w:r>
                </w:p>
              </w:tc>
              <w:tc>
                <w:tcPr>
                  <w:tcW w:w="76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5</w:t>
                  </w:r>
                </w:p>
              </w:tc>
              <w:tc>
                <w:tcPr>
                  <w:tcW w:w="413"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铜</w:t>
                  </w:r>
                </w:p>
              </w:tc>
              <w:tc>
                <w:tcPr>
                  <w:tcW w:w="69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34"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9</w:t>
                  </w:r>
                </w:p>
              </w:tc>
              <w:tc>
                <w:tcPr>
                  <w:tcW w:w="97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11</w:t>
                  </w:r>
                </w:p>
              </w:tc>
              <w:tc>
                <w:tcPr>
                  <w:tcW w:w="105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p>
              </w:tc>
              <w:tc>
                <w:tcPr>
                  <w:tcW w:w="76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6</w:t>
                  </w:r>
                </w:p>
              </w:tc>
              <w:tc>
                <w:tcPr>
                  <w:tcW w:w="413"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镉</w:t>
                  </w:r>
                </w:p>
              </w:tc>
              <w:tc>
                <w:tcPr>
                  <w:tcW w:w="69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34"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08</w:t>
                  </w:r>
                </w:p>
              </w:tc>
              <w:tc>
                <w:tcPr>
                  <w:tcW w:w="97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07</w:t>
                  </w:r>
                </w:p>
              </w:tc>
              <w:tc>
                <w:tcPr>
                  <w:tcW w:w="105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08</w:t>
                  </w:r>
                </w:p>
              </w:tc>
              <w:tc>
                <w:tcPr>
                  <w:tcW w:w="76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7</w:t>
                  </w:r>
                </w:p>
              </w:tc>
              <w:tc>
                <w:tcPr>
                  <w:tcW w:w="413"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锌</w:t>
                  </w:r>
                </w:p>
              </w:tc>
              <w:tc>
                <w:tcPr>
                  <w:tcW w:w="69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34"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22</w:t>
                  </w:r>
                </w:p>
              </w:tc>
              <w:tc>
                <w:tcPr>
                  <w:tcW w:w="97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23</w:t>
                  </w:r>
                </w:p>
              </w:tc>
              <w:tc>
                <w:tcPr>
                  <w:tcW w:w="105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21</w:t>
                  </w:r>
                </w:p>
              </w:tc>
              <w:tc>
                <w:tcPr>
                  <w:tcW w:w="76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300</w:t>
                  </w:r>
                </w:p>
              </w:tc>
            </w:tr>
          </w:tbl>
          <w:p>
            <w:pPr>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3-5</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底泥</w:t>
            </w:r>
            <w:r>
              <w:rPr>
                <w:rFonts w:hint="default" w:ascii="Times New Roman" w:hAnsi="Times New Roman" w:eastAsia="宋体" w:cs="Times New Roman"/>
                <w:b/>
                <w:bCs/>
                <w:color w:val="000000" w:themeColor="text1"/>
                <w:lang w:val="en-US" w:eastAsia="zh-CN"/>
                <w14:textFill>
                  <w14:solidFill>
                    <w14:schemeClr w14:val="tx1"/>
                  </w14:solidFill>
                </w14:textFill>
              </w:rPr>
              <w:t>检测数据</w:t>
            </w:r>
          </w:p>
          <w:tbl>
            <w:tblPr>
              <w:tblStyle w:val="21"/>
              <w:tblW w:w="51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937"/>
              <w:gridCol w:w="1379"/>
              <w:gridCol w:w="1363"/>
              <w:gridCol w:w="1476"/>
              <w:gridCol w:w="1267"/>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vMerge w:val="restar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序号</w:t>
                  </w:r>
                </w:p>
              </w:tc>
              <w:tc>
                <w:tcPr>
                  <w:tcW w:w="610" w:type="pct"/>
                  <w:vMerge w:val="restar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检测项目</w:t>
                  </w:r>
                </w:p>
              </w:tc>
              <w:tc>
                <w:tcPr>
                  <w:tcW w:w="898" w:type="pct"/>
                  <w:vMerge w:val="restar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单位</w:t>
                  </w:r>
                </w:p>
              </w:tc>
              <w:tc>
                <w:tcPr>
                  <w:tcW w:w="2673" w:type="pct"/>
                  <w:gridSpan w:val="3"/>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县医院桥下检测结果</w:t>
                  </w:r>
                </w:p>
              </w:tc>
              <w:tc>
                <w:tcPr>
                  <w:tcW w:w="555" w:type="pct"/>
                  <w:vMerge w:val="restar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62" w:type="pct"/>
                  <w:vMerge w:val="continue"/>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10" w:type="pct"/>
                  <w:vMerge w:val="continue"/>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898" w:type="pct"/>
                  <w:vMerge w:val="continue"/>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887"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2022年12月20日</w:t>
                  </w:r>
                </w:p>
              </w:tc>
              <w:tc>
                <w:tcPr>
                  <w:tcW w:w="961"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2022年12月21日</w:t>
                  </w:r>
                </w:p>
              </w:tc>
              <w:tc>
                <w:tcPr>
                  <w:tcW w:w="825"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2022年12月22日</w:t>
                  </w:r>
                </w:p>
              </w:tc>
              <w:tc>
                <w:tcPr>
                  <w:tcW w:w="555" w:type="pct"/>
                  <w:vMerge w:val="continue"/>
                  <w:noWrap w:val="0"/>
                  <w:vAlign w:val="center"/>
                </w:tcPr>
                <w:p>
                  <w:pPr>
                    <w:keepNext w:val="0"/>
                    <w:keepLines w:val="0"/>
                    <w:pageBreakBefore w:val="0"/>
                    <w:kinsoku/>
                    <w:wordWrap/>
                    <w:overflowPunct/>
                    <w:topLinePunct w:val="0"/>
                    <w:bidi w:val="0"/>
                    <w:ind w:left="-105" w:leftChars="-50" w:right="-105" w:rightChars="-5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w:t>
                  </w:r>
                </w:p>
              </w:tc>
              <w:tc>
                <w:tcPr>
                  <w:tcW w:w="610"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六价铬</w:t>
                  </w:r>
                </w:p>
              </w:tc>
              <w:tc>
                <w:tcPr>
                  <w:tcW w:w="898"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8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8</w:t>
                  </w:r>
                </w:p>
              </w:tc>
              <w:tc>
                <w:tcPr>
                  <w:tcW w:w="96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8</w:t>
                  </w:r>
                </w:p>
              </w:tc>
              <w:tc>
                <w:tcPr>
                  <w:tcW w:w="82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w:t>
                  </w:r>
                </w:p>
              </w:tc>
              <w:tc>
                <w:tcPr>
                  <w:tcW w:w="55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p>
              </w:tc>
              <w:tc>
                <w:tcPr>
                  <w:tcW w:w="610"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汞</w:t>
                  </w:r>
                </w:p>
              </w:tc>
              <w:tc>
                <w:tcPr>
                  <w:tcW w:w="898"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8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0.01</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5</w:t>
                  </w:r>
                </w:p>
              </w:tc>
              <w:tc>
                <w:tcPr>
                  <w:tcW w:w="96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0.01</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w:t>
                  </w:r>
                </w:p>
              </w:tc>
              <w:tc>
                <w:tcPr>
                  <w:tcW w:w="82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0.01</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w:t>
                  </w:r>
                </w:p>
              </w:tc>
              <w:tc>
                <w:tcPr>
                  <w:tcW w:w="55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3</w:t>
                  </w:r>
                </w:p>
              </w:tc>
              <w:tc>
                <w:tcPr>
                  <w:tcW w:w="610"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砷</w:t>
                  </w:r>
                </w:p>
              </w:tc>
              <w:tc>
                <w:tcPr>
                  <w:tcW w:w="898"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8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19</w:t>
                  </w:r>
                </w:p>
              </w:tc>
              <w:tc>
                <w:tcPr>
                  <w:tcW w:w="96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18</w:t>
                  </w:r>
                </w:p>
              </w:tc>
              <w:tc>
                <w:tcPr>
                  <w:tcW w:w="82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19</w:t>
                  </w:r>
                </w:p>
              </w:tc>
              <w:tc>
                <w:tcPr>
                  <w:tcW w:w="55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4</w:t>
                  </w:r>
                </w:p>
              </w:tc>
              <w:tc>
                <w:tcPr>
                  <w:tcW w:w="610"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铅</w:t>
                  </w:r>
                </w:p>
              </w:tc>
              <w:tc>
                <w:tcPr>
                  <w:tcW w:w="898"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8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4.2</w:t>
                  </w:r>
                </w:p>
              </w:tc>
              <w:tc>
                <w:tcPr>
                  <w:tcW w:w="96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4.2</w:t>
                  </w:r>
                </w:p>
              </w:tc>
              <w:tc>
                <w:tcPr>
                  <w:tcW w:w="82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4.1</w:t>
                  </w:r>
                </w:p>
              </w:tc>
              <w:tc>
                <w:tcPr>
                  <w:tcW w:w="55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5</w:t>
                  </w:r>
                </w:p>
              </w:tc>
              <w:tc>
                <w:tcPr>
                  <w:tcW w:w="610"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铜</w:t>
                  </w:r>
                </w:p>
              </w:tc>
              <w:tc>
                <w:tcPr>
                  <w:tcW w:w="898"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8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11</w:t>
                  </w:r>
                </w:p>
              </w:tc>
              <w:tc>
                <w:tcPr>
                  <w:tcW w:w="96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p>
              </w:tc>
              <w:tc>
                <w:tcPr>
                  <w:tcW w:w="82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p>
              </w:tc>
              <w:tc>
                <w:tcPr>
                  <w:tcW w:w="55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6</w:t>
                  </w:r>
                </w:p>
              </w:tc>
              <w:tc>
                <w:tcPr>
                  <w:tcW w:w="610"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镉</w:t>
                  </w:r>
                </w:p>
              </w:tc>
              <w:tc>
                <w:tcPr>
                  <w:tcW w:w="898"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8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11</w:t>
                  </w:r>
                </w:p>
              </w:tc>
              <w:tc>
                <w:tcPr>
                  <w:tcW w:w="96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p>
              </w:tc>
              <w:tc>
                <w:tcPr>
                  <w:tcW w:w="82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08</w:t>
                  </w:r>
                </w:p>
              </w:tc>
              <w:tc>
                <w:tcPr>
                  <w:tcW w:w="55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62"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7</w:t>
                  </w:r>
                </w:p>
              </w:tc>
              <w:tc>
                <w:tcPr>
                  <w:tcW w:w="610"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锌</w:t>
                  </w:r>
                </w:p>
              </w:tc>
              <w:tc>
                <w:tcPr>
                  <w:tcW w:w="898" w:type="pct"/>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mg/kg</w:t>
                  </w:r>
                </w:p>
              </w:tc>
              <w:tc>
                <w:tcPr>
                  <w:tcW w:w="887"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23</w:t>
                  </w:r>
                </w:p>
              </w:tc>
              <w:tc>
                <w:tcPr>
                  <w:tcW w:w="961"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25</w:t>
                  </w:r>
                </w:p>
              </w:tc>
              <w:tc>
                <w:tcPr>
                  <w:tcW w:w="82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22</w:t>
                  </w:r>
                </w:p>
              </w:tc>
              <w:tc>
                <w:tcPr>
                  <w:tcW w:w="555" w:type="pct"/>
                  <w:tcBorders>
                    <w:right w:val="single" w:color="000000" w:sz="6" w:space="0"/>
                  </w:tcBorders>
                  <w:noWrap w:val="0"/>
                  <w:vAlign w:val="center"/>
                </w:tcPr>
                <w:p>
                  <w:pPr>
                    <w:keepNext w:val="0"/>
                    <w:keepLines w:val="0"/>
                    <w:pageBreakBefore w:val="0"/>
                    <w:kinsoku/>
                    <w:wordWrap/>
                    <w:overflowPunct/>
                    <w:topLinePunct w:val="0"/>
                    <w:bidi w:val="0"/>
                    <w:ind w:left="-105" w:leftChars="-50" w:right="-105" w:rightChars="-5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300</w:t>
                  </w:r>
                </w:p>
              </w:tc>
            </w:tr>
          </w:tbl>
          <w:p>
            <w:pPr>
              <w:wordWrap w:val="0"/>
              <w:spacing w:before="159" w:beforeLines="50" w:beforeAutospacing="0" w:line="360" w:lineRule="auto"/>
              <w:ind w:firstLine="480" w:firstLineChars="200"/>
              <w:jc w:val="left"/>
              <w:rPr>
                <w:rFonts w:ascii="Times New Roman" w:hAnsi="Times New Roman" w:eastAsia="宋体"/>
                <w:color w:val="000000" w:themeColor="text1"/>
                <w:kern w:val="24"/>
                <w:sz w:val="24"/>
                <w:szCs w:val="24"/>
                <w14:textFill>
                  <w14:solidFill>
                    <w14:schemeClr w14:val="tx1"/>
                  </w14:solidFill>
                </w14:textFill>
              </w:rPr>
            </w:pPr>
            <w:r>
              <w:rPr>
                <w:rFonts w:hint="eastAsia"/>
                <w:color w:val="000000" w:themeColor="text1"/>
                <w:sz w:val="24"/>
                <w14:textFill>
                  <w14:solidFill>
                    <w14:schemeClr w14:val="tx1"/>
                  </w14:solidFill>
                </w14:textFill>
              </w:rPr>
              <w:t>由检测结果可知，</w:t>
            </w:r>
            <w:r>
              <w:rPr>
                <w:rFonts w:hint="eastAsia"/>
                <w:color w:val="000000" w:themeColor="text1"/>
                <w:sz w:val="24"/>
                <w:lang w:eastAsia="zh-CN"/>
                <w14:textFill>
                  <w14:solidFill>
                    <w14:schemeClr w14:val="tx1"/>
                  </w14:solidFill>
                </w14:textFill>
              </w:rPr>
              <w:t>项目区底泥满足</w:t>
            </w:r>
            <w:r>
              <w:rPr>
                <w:rFonts w:hint="eastAsia" w:ascii="Times New Roman" w:hAnsi="Times New Roman" w:eastAsia="宋体" w:cs="Times New Roman"/>
                <w:color w:val="000000" w:themeColor="text1"/>
                <w:sz w:val="24"/>
                <w:szCs w:val="24"/>
                <w14:textFill>
                  <w14:solidFill>
                    <w14:schemeClr w14:val="tx1"/>
                  </w14:solidFill>
                </w14:textFill>
              </w:rPr>
              <w:t>《土壤环境质量建设用地土壤污染风险管控标 准（试行）》(GB36600—2018)中第二类用地相应标准和《土壤环境质量 农用地土壤污染风险管控标准（试行）》（GB15618-2018）标准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，项目区底泥不涉及重金属污染</w:t>
            </w:r>
            <w:r>
              <w:rPr>
                <w:rFonts w:hint="eastAsia" w:ascii="Times New Roman" w:hAnsi="Times New Roman" w:eastAsia="宋体"/>
                <w:color w:val="000000" w:themeColor="text1"/>
                <w:kern w:val="24"/>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000000" w:themeColor="text1"/>
                <w:sz w:val="24"/>
                <w:lang w:eastAsia="zh-CN"/>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3</w:t>
            </w:r>
            <w:r>
              <w:rPr>
                <w:rFonts w:hint="eastAsia" w:ascii="Times New Roman" w:hAnsi="Times New Roman" w:eastAsia="宋体" w:cs="宋体"/>
                <w:color w:val="000000" w:themeColor="text1"/>
                <w:sz w:val="24"/>
                <w:lang w:eastAsia="zh-CN"/>
                <w14:textFill>
                  <w14:solidFill>
                    <w14:schemeClr w14:val="tx1"/>
                  </w14:solidFill>
                </w14:textFill>
              </w:rPr>
              <w:t>）声环境质量现状</w:t>
            </w:r>
          </w:p>
          <w:p>
            <w:pPr>
              <w:spacing w:line="500" w:lineRule="exact"/>
              <w:ind w:firstLine="480" w:firstLineChars="200"/>
              <w:rPr>
                <w:bCs/>
                <w:color w:val="FF0000"/>
                <w:sz w:val="24"/>
              </w:rPr>
            </w:pPr>
            <w:r>
              <w:rPr>
                <w:bCs/>
                <w:color w:val="FF0000"/>
                <w:sz w:val="24"/>
              </w:rPr>
              <w:t>本次环评声环境现状委托</w:t>
            </w:r>
            <w:r>
              <w:rPr>
                <w:rFonts w:hint="eastAsia"/>
                <w:color w:val="FF0000"/>
                <w:sz w:val="24"/>
                <w:szCs w:val="24"/>
                <w:lang w:eastAsia="zh-CN"/>
              </w:rPr>
              <w:t>甘肃清绿源环境检测有限公司</w:t>
            </w:r>
            <w:r>
              <w:rPr>
                <w:bCs/>
                <w:color w:val="FF0000"/>
                <w:sz w:val="24"/>
              </w:rPr>
              <w:t>进行监测。</w:t>
            </w:r>
          </w:p>
          <w:p>
            <w:pPr>
              <w:spacing w:line="500" w:lineRule="exact"/>
              <w:ind w:firstLine="480" w:firstLineChars="200"/>
              <w:rPr>
                <w:bCs/>
                <w:color w:val="FF0000"/>
                <w:sz w:val="24"/>
              </w:rPr>
            </w:pPr>
            <w:r>
              <w:rPr>
                <w:bCs/>
                <w:color w:val="FF0000"/>
                <w:sz w:val="24"/>
              </w:rPr>
              <w:t>监测点的布设</w:t>
            </w:r>
          </w:p>
          <w:p>
            <w:pPr>
              <w:spacing w:line="500" w:lineRule="exact"/>
              <w:ind w:firstLine="480" w:firstLineChars="200"/>
              <w:rPr>
                <w:bCs/>
                <w:color w:val="FF0000"/>
                <w:sz w:val="24"/>
              </w:rPr>
            </w:pPr>
            <w:r>
              <w:rPr>
                <w:bCs/>
                <w:color w:val="FF0000"/>
                <w:sz w:val="24"/>
              </w:rPr>
              <w:t>本次声环境质量现状监测在厂区四周共设5个噪声监测点位。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color w:val="FF0000"/>
                <w:sz w:val="21"/>
                <w:szCs w:val="21"/>
                <w:lang w:val="en-US" w:eastAsia="zh-CN"/>
              </w:rPr>
            </w:pPr>
            <w:r>
              <w:rPr>
                <w:rFonts w:hint="eastAsia"/>
                <w:b/>
                <w:color w:val="FF0000"/>
                <w:sz w:val="21"/>
                <w:szCs w:val="21"/>
              </w:rPr>
              <w:t>表</w:t>
            </w:r>
            <w:r>
              <w:rPr>
                <w:rFonts w:hint="eastAsia"/>
                <w:b/>
                <w:color w:val="FF0000"/>
                <w:sz w:val="21"/>
                <w:szCs w:val="21"/>
                <w:lang w:val="en-US" w:eastAsia="zh-CN"/>
              </w:rPr>
              <w:t>3-6</w:t>
            </w:r>
            <w:r>
              <w:rPr>
                <w:rFonts w:hint="eastAsia"/>
                <w:b/>
                <w:color w:val="FF0000"/>
                <w:sz w:val="21"/>
                <w:szCs w:val="21"/>
              </w:rPr>
              <w:t xml:space="preserve"> </w:t>
            </w:r>
            <w:r>
              <w:rPr>
                <w:rFonts w:hint="eastAsia"/>
                <w:b/>
                <w:color w:val="FF0000"/>
                <w:sz w:val="21"/>
                <w:szCs w:val="21"/>
                <w:lang w:val="en-US" w:eastAsia="zh-CN"/>
              </w:rPr>
              <w:t>声环境检测点位</w:t>
            </w:r>
            <w:r>
              <w:rPr>
                <w:rFonts w:hint="eastAsia"/>
                <w:b/>
                <w:color w:val="FF0000"/>
                <w:sz w:val="21"/>
                <w:szCs w:val="21"/>
              </w:rPr>
              <w:t>布点</w:t>
            </w:r>
            <w:r>
              <w:rPr>
                <w:rFonts w:hint="eastAsia"/>
                <w:b/>
                <w:color w:val="FF0000"/>
                <w:sz w:val="21"/>
                <w:szCs w:val="21"/>
                <w:lang w:val="en-US" w:eastAsia="zh-CN"/>
              </w:rPr>
              <w:t>情况</w:t>
            </w:r>
          </w:p>
          <w:tbl>
            <w:tblPr>
              <w:tblStyle w:val="21"/>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2825"/>
              <w:gridCol w:w="3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序号</w:t>
                  </w:r>
                </w:p>
              </w:tc>
              <w:tc>
                <w:tcPr>
                  <w:tcW w:w="18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检测点位</w:t>
                  </w:r>
                </w:p>
              </w:tc>
              <w:tc>
                <w:tcPr>
                  <w:tcW w:w="22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1</w:t>
                  </w:r>
                </w:p>
              </w:tc>
              <w:tc>
                <w:tcPr>
                  <w:tcW w:w="18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左家岭</w:t>
                  </w:r>
                </w:p>
              </w:tc>
              <w:tc>
                <w:tcPr>
                  <w:tcW w:w="22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107°59′1.809″, 35°35′4.903″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2</w:t>
                  </w:r>
                </w:p>
              </w:tc>
              <w:tc>
                <w:tcPr>
                  <w:tcW w:w="18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王台村</w:t>
                  </w:r>
                </w:p>
              </w:tc>
              <w:tc>
                <w:tcPr>
                  <w:tcW w:w="22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107°57′44.6″, 35°33′4.860″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3</w:t>
                  </w:r>
                </w:p>
              </w:tc>
              <w:tc>
                <w:tcPr>
                  <w:tcW w:w="18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人民路口</w:t>
                  </w:r>
                </w:p>
              </w:tc>
              <w:tc>
                <w:tcPr>
                  <w:tcW w:w="22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107°55′5.586″, 35°30′18.025″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4</w:t>
                  </w:r>
                </w:p>
              </w:tc>
              <w:tc>
                <w:tcPr>
                  <w:tcW w:w="18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阴山</w:t>
                  </w:r>
                </w:p>
              </w:tc>
              <w:tc>
                <w:tcPr>
                  <w:tcW w:w="22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2"/>
                      <w:szCs w:val="22"/>
                      <w:vertAlign w:val="baseline"/>
                      <w:lang w:val="en-US" w:eastAsia="zh-CN"/>
                    </w:rPr>
                  </w:pPr>
                  <w:r>
                    <w:rPr>
                      <w:rFonts w:hint="default" w:ascii="Times New Roman" w:hAnsi="Times New Roman" w:eastAsia="宋体" w:cs="Times New Roman"/>
                      <w:color w:val="FF0000"/>
                      <w:sz w:val="22"/>
                      <w:szCs w:val="22"/>
                      <w:vertAlign w:val="baseline"/>
                      <w:lang w:val="en-US" w:eastAsia="zh-CN"/>
                    </w:rPr>
                    <w:t>108°01′14.946″, 35°35′20.082″</w:t>
                  </w:r>
                </w:p>
              </w:tc>
            </w:tr>
          </w:tbl>
          <w:p>
            <w:pPr>
              <w:spacing w:line="500" w:lineRule="exact"/>
              <w:ind w:firstLine="480" w:firstLineChars="200"/>
              <w:rPr>
                <w:bCs/>
                <w:color w:val="FF0000"/>
                <w:sz w:val="24"/>
              </w:rPr>
            </w:pPr>
            <w:r>
              <w:rPr>
                <w:bCs/>
                <w:color w:val="FF0000"/>
                <w:sz w:val="24"/>
              </w:rPr>
              <w:t>监测时间</w:t>
            </w:r>
          </w:p>
          <w:p>
            <w:pPr>
              <w:spacing w:line="500" w:lineRule="exact"/>
              <w:ind w:firstLine="480" w:firstLineChars="200"/>
              <w:rPr>
                <w:bCs/>
                <w:color w:val="FF0000"/>
                <w:sz w:val="24"/>
              </w:rPr>
            </w:pPr>
            <w:r>
              <w:rPr>
                <w:bCs/>
                <w:color w:val="FF0000"/>
                <w:sz w:val="24"/>
              </w:rPr>
              <w:t>20</w:t>
            </w:r>
            <w:r>
              <w:rPr>
                <w:rFonts w:hint="eastAsia"/>
                <w:bCs/>
                <w:color w:val="FF0000"/>
                <w:sz w:val="24"/>
                <w:lang w:val="en-US" w:eastAsia="zh-CN"/>
              </w:rPr>
              <w:t>22</w:t>
            </w:r>
            <w:r>
              <w:rPr>
                <w:bCs/>
                <w:color w:val="FF0000"/>
                <w:sz w:val="24"/>
              </w:rPr>
              <w:t>年</w:t>
            </w:r>
            <w:r>
              <w:rPr>
                <w:rFonts w:hint="eastAsia"/>
                <w:bCs/>
                <w:color w:val="FF0000"/>
                <w:sz w:val="24"/>
                <w:lang w:val="en-US" w:eastAsia="zh-CN"/>
              </w:rPr>
              <w:t>12</w:t>
            </w:r>
            <w:r>
              <w:rPr>
                <w:bCs/>
                <w:color w:val="FF0000"/>
                <w:sz w:val="24"/>
              </w:rPr>
              <w:t>月</w:t>
            </w:r>
            <w:r>
              <w:rPr>
                <w:rFonts w:hint="eastAsia"/>
                <w:bCs/>
                <w:color w:val="FF0000"/>
                <w:sz w:val="24"/>
                <w:lang w:val="en-US" w:eastAsia="zh-CN"/>
              </w:rPr>
              <w:t>20</w:t>
            </w:r>
            <w:r>
              <w:rPr>
                <w:bCs/>
                <w:color w:val="FF0000"/>
                <w:sz w:val="24"/>
              </w:rPr>
              <w:t>日~</w:t>
            </w:r>
            <w:r>
              <w:rPr>
                <w:rFonts w:hint="eastAsia"/>
                <w:bCs/>
                <w:color w:val="FF0000"/>
                <w:sz w:val="24"/>
                <w:lang w:val="en-US" w:eastAsia="zh-CN"/>
              </w:rPr>
              <w:t>12</w:t>
            </w:r>
            <w:r>
              <w:rPr>
                <w:bCs/>
                <w:color w:val="FF0000"/>
                <w:sz w:val="24"/>
              </w:rPr>
              <w:t>月</w:t>
            </w:r>
            <w:r>
              <w:rPr>
                <w:rFonts w:hint="eastAsia"/>
                <w:bCs/>
                <w:color w:val="FF0000"/>
                <w:sz w:val="24"/>
                <w:lang w:val="en-US" w:eastAsia="zh-CN"/>
              </w:rPr>
              <w:t>21</w:t>
            </w:r>
            <w:r>
              <w:rPr>
                <w:bCs/>
                <w:color w:val="FF0000"/>
                <w:sz w:val="24"/>
              </w:rPr>
              <w:t>日。</w:t>
            </w:r>
          </w:p>
          <w:p>
            <w:pPr>
              <w:spacing w:line="500" w:lineRule="exact"/>
              <w:ind w:firstLine="480" w:firstLineChars="200"/>
              <w:rPr>
                <w:bCs/>
                <w:color w:val="FF0000"/>
                <w:sz w:val="24"/>
              </w:rPr>
            </w:pPr>
            <w:r>
              <w:rPr>
                <w:bCs/>
                <w:color w:val="FF0000"/>
                <w:sz w:val="24"/>
              </w:rPr>
              <w:t>（3）监测项目</w:t>
            </w:r>
          </w:p>
          <w:p>
            <w:pPr>
              <w:spacing w:line="500" w:lineRule="exact"/>
              <w:ind w:firstLine="480" w:firstLineChars="200"/>
              <w:rPr>
                <w:bCs/>
                <w:color w:val="FF0000"/>
                <w:sz w:val="24"/>
              </w:rPr>
            </w:pPr>
            <w:r>
              <w:rPr>
                <w:bCs/>
                <w:color w:val="FF0000"/>
                <w:sz w:val="24"/>
              </w:rPr>
              <w:t>等效连续A声级。</w:t>
            </w:r>
          </w:p>
          <w:p>
            <w:pPr>
              <w:spacing w:line="500" w:lineRule="exact"/>
              <w:ind w:firstLine="480" w:firstLineChars="200"/>
              <w:rPr>
                <w:bCs/>
                <w:color w:val="FF0000"/>
                <w:sz w:val="24"/>
              </w:rPr>
            </w:pPr>
            <w:r>
              <w:rPr>
                <w:bCs/>
                <w:color w:val="FF0000"/>
                <w:sz w:val="24"/>
              </w:rPr>
              <w:t>（4）监测方法与频次</w:t>
            </w:r>
          </w:p>
          <w:p>
            <w:pPr>
              <w:spacing w:line="500" w:lineRule="exact"/>
              <w:ind w:firstLine="480" w:firstLineChars="200"/>
              <w:rPr>
                <w:bCs/>
                <w:color w:val="FF0000"/>
                <w:sz w:val="24"/>
              </w:rPr>
            </w:pPr>
            <w:r>
              <w:rPr>
                <w:bCs/>
                <w:color w:val="FF0000"/>
                <w:sz w:val="24"/>
              </w:rPr>
              <w:t>执行《声环境质量标准》（GB/T3096-2008）。本次噪声监测仪器使用AWA6228型噪声频谱分析仪，检出限28~120dB(A)，各噪声点位连续监测2天，昼、夜各监测一次。</w:t>
            </w:r>
          </w:p>
          <w:p>
            <w:pPr>
              <w:spacing w:line="500" w:lineRule="exact"/>
              <w:ind w:firstLine="480" w:firstLineChars="200"/>
              <w:rPr>
                <w:bCs/>
                <w:color w:val="FF0000"/>
                <w:sz w:val="24"/>
              </w:rPr>
            </w:pPr>
            <w:r>
              <w:rPr>
                <w:bCs/>
                <w:color w:val="FF0000"/>
                <w:sz w:val="24"/>
              </w:rPr>
              <w:t>（5）监测结果及现状评价</w:t>
            </w:r>
          </w:p>
          <w:p>
            <w:pPr>
              <w:spacing w:line="500" w:lineRule="exact"/>
              <w:ind w:firstLine="480" w:firstLineChars="200"/>
              <w:rPr>
                <w:bCs/>
                <w:color w:val="FF0000"/>
                <w:sz w:val="24"/>
              </w:rPr>
            </w:pPr>
            <w:r>
              <w:rPr>
                <w:bCs/>
                <w:color w:val="FF0000"/>
                <w:sz w:val="24"/>
              </w:rPr>
              <w:t>监测结果及分析与评价统计情况见表3-</w:t>
            </w:r>
            <w:r>
              <w:rPr>
                <w:rFonts w:hint="eastAsia"/>
                <w:bCs/>
                <w:color w:val="FF0000"/>
                <w:sz w:val="24"/>
                <w:lang w:val="en-US" w:eastAsia="zh-CN"/>
              </w:rPr>
              <w:t>7</w:t>
            </w:r>
            <w:r>
              <w:rPr>
                <w:bCs/>
                <w:color w:val="FF0000"/>
                <w:sz w:val="24"/>
              </w:rPr>
              <w:t>。</w:t>
            </w:r>
          </w:p>
          <w:p>
            <w:pPr>
              <w:spacing w:line="500" w:lineRule="exact"/>
              <w:jc w:val="center"/>
              <w:rPr>
                <w:b/>
                <w:color w:val="FF0000"/>
                <w:szCs w:val="21"/>
              </w:rPr>
            </w:pPr>
            <w:r>
              <w:rPr>
                <w:b/>
                <w:color w:val="FF0000"/>
                <w:szCs w:val="21"/>
              </w:rPr>
              <w:t>表3-</w:t>
            </w:r>
            <w:r>
              <w:rPr>
                <w:rFonts w:hint="eastAsia"/>
                <w:b/>
                <w:color w:val="FF0000"/>
                <w:szCs w:val="21"/>
                <w:lang w:val="en-US" w:eastAsia="zh-CN"/>
              </w:rPr>
              <w:t>7</w:t>
            </w:r>
            <w:r>
              <w:rPr>
                <w:b/>
                <w:color w:val="FF0000"/>
                <w:szCs w:val="21"/>
              </w:rPr>
              <w:t xml:space="preserve">  环境噪声监测结果一览表  单位：dB(A)</w:t>
            </w:r>
          </w:p>
          <w:tbl>
            <w:tblPr>
              <w:tblStyle w:val="21"/>
              <w:tblW w:w="7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623"/>
              <w:gridCol w:w="1247"/>
              <w:gridCol w:w="1259"/>
              <w:gridCol w:w="124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blHeader/>
                <w:jc w:val="center"/>
              </w:trPr>
              <w:tc>
                <w:tcPr>
                  <w:tcW w:w="691" w:type="pct"/>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检测项目</w:t>
                  </w:r>
                </w:p>
              </w:tc>
              <w:tc>
                <w:tcPr>
                  <w:tcW w:w="1051" w:type="pct"/>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点位名称</w:t>
                  </w:r>
                </w:p>
              </w:tc>
              <w:tc>
                <w:tcPr>
                  <w:tcW w:w="3256" w:type="pct"/>
                  <w:gridSpan w:val="4"/>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测定结果（dB（A））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blHeader/>
                <w:jc w:val="center"/>
              </w:trPr>
              <w:tc>
                <w:tcPr>
                  <w:tcW w:w="691"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p>
              </w:tc>
              <w:tc>
                <w:tcPr>
                  <w:tcW w:w="1051"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p>
              </w:tc>
              <w:tc>
                <w:tcPr>
                  <w:tcW w:w="1623" w:type="pct"/>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202</w:t>
                  </w:r>
                  <w:r>
                    <w:rPr>
                      <w:rFonts w:hint="eastAsia" w:ascii="Times New Roman" w:hAnsi="Times New Roman" w:eastAsia="宋体" w:cs="Times New Roman"/>
                      <w:color w:val="FF0000"/>
                      <w:lang w:val="en-US" w:eastAsia="zh-CN"/>
                    </w:rPr>
                    <w:t>2</w:t>
                  </w:r>
                  <w:r>
                    <w:rPr>
                      <w:rFonts w:hint="default" w:ascii="Times New Roman" w:hAnsi="Times New Roman" w:eastAsia="宋体" w:cs="Times New Roman"/>
                      <w:color w:val="FF0000"/>
                    </w:rPr>
                    <w:t>年</w:t>
                  </w:r>
                  <w:r>
                    <w:rPr>
                      <w:rFonts w:hint="eastAsia" w:ascii="Times New Roman" w:hAnsi="Times New Roman" w:eastAsia="宋体" w:cs="Times New Roman"/>
                      <w:color w:val="FF0000"/>
                      <w:lang w:val="en-US" w:eastAsia="zh-CN"/>
                    </w:rPr>
                    <w:t>12</w:t>
                  </w:r>
                  <w:r>
                    <w:rPr>
                      <w:rFonts w:hint="default" w:ascii="Times New Roman" w:hAnsi="Times New Roman" w:eastAsia="宋体" w:cs="Times New Roman"/>
                      <w:color w:val="FF0000"/>
                    </w:rPr>
                    <w:t>月</w:t>
                  </w:r>
                  <w:r>
                    <w:rPr>
                      <w:rFonts w:hint="eastAsia" w:ascii="Times New Roman" w:hAnsi="Times New Roman" w:eastAsia="宋体" w:cs="Times New Roman"/>
                      <w:color w:val="FF0000"/>
                      <w:lang w:val="en-US" w:eastAsia="zh-CN"/>
                    </w:rPr>
                    <w:t>20</w:t>
                  </w:r>
                  <w:r>
                    <w:rPr>
                      <w:rFonts w:hint="default" w:ascii="Times New Roman" w:hAnsi="Times New Roman" w:eastAsia="宋体" w:cs="Times New Roman"/>
                      <w:color w:val="FF0000"/>
                    </w:rPr>
                    <w:t>日</w:t>
                  </w:r>
                </w:p>
              </w:tc>
              <w:tc>
                <w:tcPr>
                  <w:tcW w:w="1633" w:type="pct"/>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202</w:t>
                  </w:r>
                  <w:r>
                    <w:rPr>
                      <w:rFonts w:hint="eastAsia" w:ascii="Times New Roman" w:hAnsi="Times New Roman" w:eastAsia="宋体" w:cs="Times New Roman"/>
                      <w:color w:val="FF0000"/>
                      <w:lang w:val="en-US" w:eastAsia="zh-CN"/>
                    </w:rPr>
                    <w:t>2</w:t>
                  </w:r>
                  <w:r>
                    <w:rPr>
                      <w:rFonts w:hint="default" w:ascii="Times New Roman" w:hAnsi="Times New Roman" w:eastAsia="宋体" w:cs="Times New Roman"/>
                      <w:color w:val="FF0000"/>
                    </w:rPr>
                    <w:t>年</w:t>
                  </w:r>
                  <w:r>
                    <w:rPr>
                      <w:rFonts w:hint="eastAsia" w:ascii="Times New Roman" w:hAnsi="Times New Roman" w:eastAsia="宋体" w:cs="Times New Roman"/>
                      <w:color w:val="FF0000"/>
                      <w:lang w:val="en-US" w:eastAsia="zh-CN"/>
                    </w:rPr>
                    <w:t>12</w:t>
                  </w:r>
                  <w:r>
                    <w:rPr>
                      <w:rFonts w:hint="default" w:ascii="Times New Roman" w:hAnsi="Times New Roman" w:eastAsia="宋体" w:cs="Times New Roman"/>
                      <w:color w:val="FF0000"/>
                    </w:rPr>
                    <w:t>月</w:t>
                  </w:r>
                  <w:r>
                    <w:rPr>
                      <w:rFonts w:hint="eastAsia" w:ascii="Times New Roman" w:hAnsi="Times New Roman" w:eastAsia="宋体" w:cs="Times New Roman"/>
                      <w:color w:val="FF0000"/>
                      <w:lang w:val="en-US" w:eastAsia="zh-CN"/>
                    </w:rPr>
                    <w:t>21</w:t>
                  </w:r>
                  <w:r>
                    <w:rPr>
                      <w:rFonts w:hint="default" w:ascii="Times New Roman" w:hAnsi="Times New Roman" w:eastAsia="宋体" w:cs="Times New Roman"/>
                      <w:color w:val="FF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blHeader/>
                <w:jc w:val="center"/>
              </w:trPr>
              <w:tc>
                <w:tcPr>
                  <w:tcW w:w="691"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p>
              </w:tc>
              <w:tc>
                <w:tcPr>
                  <w:tcW w:w="1051"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p>
              </w:tc>
              <w:tc>
                <w:tcPr>
                  <w:tcW w:w="807"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昼间</w:t>
                  </w:r>
                </w:p>
              </w:tc>
              <w:tc>
                <w:tcPr>
                  <w:tcW w:w="815"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rPr>
                    <w:t>夜间</w:t>
                  </w:r>
                </w:p>
              </w:tc>
              <w:tc>
                <w:tcPr>
                  <w:tcW w:w="807"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昼间</w:t>
                  </w:r>
                </w:p>
              </w:tc>
              <w:tc>
                <w:tcPr>
                  <w:tcW w:w="825"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691" w:type="pct"/>
                  <w:vMerge w:val="restart"/>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噪声</w:t>
                  </w:r>
                </w:p>
              </w:tc>
              <w:tc>
                <w:tcPr>
                  <w:tcW w:w="10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sz w:val="22"/>
                      <w:szCs w:val="22"/>
                      <w:vertAlign w:val="baseline"/>
                      <w:lang w:val="en-US" w:eastAsia="zh-CN"/>
                    </w:rPr>
                    <w:t>左家岭</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sz w:val="21"/>
                      <w:szCs w:val="21"/>
                      <w:lang w:val="en-US" w:eastAsia="zh-CN"/>
                    </w:rPr>
                    <w:t>4</w:t>
                  </w:r>
                  <w:r>
                    <w:rPr>
                      <w:rFonts w:hint="eastAsia" w:ascii="Times New Roman" w:hAnsi="Times New Roman" w:eastAsia="宋体" w:cs="Times New Roman"/>
                      <w:color w:val="FF0000"/>
                      <w:sz w:val="21"/>
                      <w:szCs w:val="21"/>
                      <w:lang w:val="en-US" w:eastAsia="zh-CN"/>
                    </w:rPr>
                    <w:t>5</w:t>
                  </w:r>
                  <w:r>
                    <w:rPr>
                      <w:rFonts w:hint="default" w:ascii="Times New Roman" w:hAnsi="Times New Roman" w:eastAsia="宋体"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2</w:t>
                  </w:r>
                </w:p>
              </w:tc>
              <w:tc>
                <w:tcPr>
                  <w:tcW w:w="815"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FF0000"/>
                      <w:sz w:val="21"/>
                      <w:szCs w:val="21"/>
                      <w:lang w:val="en-US" w:eastAsia="zh-CN"/>
                    </w:rPr>
                    <w:t>36</w:t>
                  </w:r>
                  <w:r>
                    <w:rPr>
                      <w:rFonts w:hint="default" w:ascii="Times New Roman" w:hAnsi="Times New Roman" w:eastAsia="宋体" w:cs="Times New Roman"/>
                      <w:color w:val="FF0000"/>
                      <w:sz w:val="21"/>
                      <w:szCs w:val="21"/>
                      <w:lang w:val="en-US" w:eastAsia="zh-CN"/>
                    </w:rPr>
                    <w:t>.3</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sz w:val="21"/>
                      <w:szCs w:val="21"/>
                      <w:lang w:val="en-US" w:eastAsia="zh-CN"/>
                    </w:rPr>
                    <w:t>44</w:t>
                  </w:r>
                  <w:r>
                    <w:rPr>
                      <w:rFonts w:hint="default" w:ascii="Times New Roman" w:hAnsi="Times New Roman" w:eastAsia="宋体" w:cs="Times New Roman"/>
                      <w:color w:val="FF0000"/>
                      <w:sz w:val="21"/>
                      <w:szCs w:val="21"/>
                      <w:lang w:val="en-US" w:eastAsia="zh-CN"/>
                    </w:rPr>
                    <w:t>.0</w:t>
                  </w:r>
                </w:p>
              </w:tc>
              <w:tc>
                <w:tcPr>
                  <w:tcW w:w="825"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FF0000"/>
                      <w:sz w:val="21"/>
                      <w:szCs w:val="21"/>
                      <w:lang w:val="en-US" w:eastAsia="zh-CN"/>
                    </w:rPr>
                    <w:t>36</w:t>
                  </w:r>
                  <w:r>
                    <w:rPr>
                      <w:rFonts w:hint="default" w:ascii="Times New Roman" w:hAnsi="Times New Roman" w:eastAsia="宋体" w:cs="Times New Roman"/>
                      <w:color w:val="FF000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691"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p>
              </w:tc>
              <w:tc>
                <w:tcPr>
                  <w:tcW w:w="10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 w:val="22"/>
                      <w:szCs w:val="22"/>
                      <w:vertAlign w:val="baseline"/>
                      <w:lang w:val="en-US" w:eastAsia="zh-CN"/>
                    </w:rPr>
                    <w:t>王台村</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sz w:val="21"/>
                      <w:szCs w:val="21"/>
                      <w:lang w:val="en-US" w:eastAsia="zh-CN"/>
                    </w:rPr>
                    <w:t>4</w:t>
                  </w:r>
                  <w:r>
                    <w:rPr>
                      <w:rFonts w:hint="eastAsia" w:ascii="Times New Roman" w:hAnsi="Times New Roman" w:eastAsia="宋体" w:cs="Times New Roman"/>
                      <w:color w:val="FF0000"/>
                      <w:sz w:val="21"/>
                      <w:szCs w:val="21"/>
                      <w:lang w:val="en-US" w:eastAsia="zh-CN"/>
                    </w:rPr>
                    <w:t>4</w:t>
                  </w:r>
                  <w:r>
                    <w:rPr>
                      <w:rFonts w:hint="default" w:ascii="Times New Roman" w:hAnsi="Times New Roman" w:eastAsia="宋体"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1</w:t>
                  </w:r>
                </w:p>
              </w:tc>
              <w:tc>
                <w:tcPr>
                  <w:tcW w:w="815"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FF0000"/>
                      <w:sz w:val="21"/>
                      <w:szCs w:val="21"/>
                      <w:lang w:val="en-US" w:eastAsia="zh-CN"/>
                    </w:rPr>
                    <w:t>36</w:t>
                  </w:r>
                  <w:r>
                    <w:rPr>
                      <w:rFonts w:hint="default" w:ascii="Times New Roman" w:hAnsi="Times New Roman" w:eastAsia="宋体" w:cs="Times New Roman"/>
                      <w:color w:val="FF0000"/>
                      <w:sz w:val="21"/>
                      <w:szCs w:val="21"/>
                      <w:lang w:val="en-US" w:eastAsia="zh-CN"/>
                    </w:rPr>
                    <w:t>.8</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sz w:val="21"/>
                      <w:szCs w:val="21"/>
                      <w:lang w:val="en-US" w:eastAsia="zh-CN"/>
                    </w:rPr>
                    <w:t>4</w:t>
                  </w:r>
                  <w:r>
                    <w:rPr>
                      <w:rFonts w:hint="eastAsia" w:ascii="Times New Roman" w:hAnsi="Times New Roman" w:eastAsia="宋体" w:cs="Times New Roman"/>
                      <w:color w:val="FF0000"/>
                      <w:sz w:val="21"/>
                      <w:szCs w:val="21"/>
                      <w:lang w:val="en-US" w:eastAsia="zh-CN"/>
                    </w:rPr>
                    <w:t>3.8</w:t>
                  </w:r>
                </w:p>
              </w:tc>
              <w:tc>
                <w:tcPr>
                  <w:tcW w:w="825"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FF0000"/>
                      <w:sz w:val="21"/>
                      <w:szCs w:val="21"/>
                      <w:lang w:val="en-US" w:eastAsia="zh-CN"/>
                    </w:rPr>
                    <w:t>36</w:t>
                  </w:r>
                  <w:r>
                    <w:rPr>
                      <w:rFonts w:hint="default" w:ascii="Times New Roman" w:hAnsi="Times New Roman" w:eastAsia="宋体" w:cs="Times New Roman"/>
                      <w:color w:val="FF000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691"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p>
              </w:tc>
              <w:tc>
                <w:tcPr>
                  <w:tcW w:w="10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FF0000"/>
                      <w:szCs w:val="21"/>
                      <w:lang w:val="en-US" w:eastAsia="zh-CN"/>
                    </w:rPr>
                  </w:pPr>
                  <w:r>
                    <w:rPr>
                      <w:rFonts w:hint="default" w:ascii="Times New Roman" w:hAnsi="Times New Roman" w:eastAsia="宋体" w:cs="Times New Roman"/>
                      <w:color w:val="FF0000"/>
                      <w:sz w:val="22"/>
                      <w:szCs w:val="22"/>
                      <w:vertAlign w:val="baseline"/>
                      <w:lang w:val="en-US" w:eastAsia="zh-CN"/>
                    </w:rPr>
                    <w:t>人民路口</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sz w:val="21"/>
                      <w:szCs w:val="21"/>
                      <w:lang w:val="en-US" w:eastAsia="zh-CN"/>
                    </w:rPr>
                    <w:t>4</w:t>
                  </w:r>
                  <w:r>
                    <w:rPr>
                      <w:rFonts w:hint="eastAsia" w:ascii="Times New Roman" w:hAnsi="Times New Roman" w:eastAsia="宋体" w:cs="Times New Roman"/>
                      <w:color w:val="FF0000"/>
                      <w:sz w:val="21"/>
                      <w:szCs w:val="21"/>
                      <w:lang w:val="en-US" w:eastAsia="zh-CN"/>
                    </w:rPr>
                    <w:t>4</w:t>
                  </w:r>
                  <w:r>
                    <w:rPr>
                      <w:rFonts w:hint="default" w:ascii="Times New Roman" w:hAnsi="Times New Roman" w:eastAsia="宋体" w:cs="Times New Roman"/>
                      <w:color w:val="FF0000"/>
                      <w:sz w:val="21"/>
                      <w:szCs w:val="21"/>
                      <w:lang w:val="en-US" w:eastAsia="zh-CN"/>
                    </w:rPr>
                    <w:t>.9</w:t>
                  </w:r>
                </w:p>
              </w:tc>
              <w:tc>
                <w:tcPr>
                  <w:tcW w:w="815"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FF0000"/>
                      <w:sz w:val="21"/>
                      <w:szCs w:val="21"/>
                      <w:lang w:val="en-US" w:eastAsia="zh-CN"/>
                    </w:rPr>
                    <w:t>37</w:t>
                  </w:r>
                  <w:r>
                    <w:rPr>
                      <w:rFonts w:hint="default" w:ascii="Times New Roman" w:hAnsi="Times New Roman" w:eastAsia="宋体" w:cs="Times New Roman"/>
                      <w:color w:val="FF0000"/>
                      <w:sz w:val="21"/>
                      <w:szCs w:val="21"/>
                      <w:lang w:val="en-US" w:eastAsia="zh-CN"/>
                    </w:rPr>
                    <w:t>.4</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sz w:val="21"/>
                      <w:szCs w:val="21"/>
                      <w:lang w:val="en-US" w:eastAsia="zh-CN"/>
                    </w:rPr>
                    <w:t>4</w:t>
                  </w:r>
                  <w:r>
                    <w:rPr>
                      <w:rFonts w:hint="eastAsia" w:ascii="Times New Roman" w:hAnsi="Times New Roman" w:eastAsia="宋体" w:cs="Times New Roman"/>
                      <w:color w:val="FF0000"/>
                      <w:sz w:val="21"/>
                      <w:szCs w:val="21"/>
                      <w:lang w:val="en-US" w:eastAsia="zh-CN"/>
                    </w:rPr>
                    <w:t>4</w:t>
                  </w:r>
                  <w:r>
                    <w:rPr>
                      <w:rFonts w:hint="default" w:ascii="Times New Roman" w:hAnsi="Times New Roman" w:eastAsia="宋体" w:cs="Times New Roman"/>
                      <w:color w:val="FF0000"/>
                      <w:sz w:val="21"/>
                      <w:szCs w:val="21"/>
                      <w:lang w:val="en-US" w:eastAsia="zh-CN"/>
                    </w:rPr>
                    <w:t>.6</w:t>
                  </w:r>
                </w:p>
              </w:tc>
              <w:tc>
                <w:tcPr>
                  <w:tcW w:w="825"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FF0000"/>
                      <w:sz w:val="21"/>
                      <w:szCs w:val="21"/>
                      <w:lang w:val="en-US" w:eastAsia="zh-CN"/>
                    </w:rPr>
                    <w:t>36</w:t>
                  </w:r>
                  <w:r>
                    <w:rPr>
                      <w:rFonts w:hint="default" w:ascii="Times New Roman" w:hAnsi="Times New Roman" w:eastAsia="宋体" w:cs="Times New Roman"/>
                      <w:color w:val="FF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691"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p>
              </w:tc>
              <w:tc>
                <w:tcPr>
                  <w:tcW w:w="10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Cs/>
                      <w:color w:val="FF0000"/>
                      <w:szCs w:val="21"/>
                      <w:lang w:val="en-US" w:eastAsia="zh-CN"/>
                    </w:rPr>
                  </w:pPr>
                  <w:r>
                    <w:rPr>
                      <w:rFonts w:hint="default" w:ascii="Times New Roman" w:hAnsi="Times New Roman" w:eastAsia="宋体" w:cs="Times New Roman"/>
                      <w:color w:val="FF0000"/>
                      <w:sz w:val="22"/>
                      <w:szCs w:val="22"/>
                      <w:vertAlign w:val="baseline"/>
                      <w:lang w:val="en-US" w:eastAsia="zh-CN"/>
                    </w:rPr>
                    <w:t>阴山</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sz w:val="21"/>
                      <w:szCs w:val="21"/>
                      <w:lang w:val="en-US" w:eastAsia="zh-CN"/>
                    </w:rPr>
                    <w:t>43</w:t>
                  </w:r>
                  <w:r>
                    <w:rPr>
                      <w:rFonts w:hint="default" w:ascii="Times New Roman" w:hAnsi="Times New Roman" w:eastAsia="宋体" w:cs="Times New Roman"/>
                      <w:color w:val="FF0000"/>
                      <w:sz w:val="21"/>
                      <w:szCs w:val="21"/>
                      <w:lang w:val="en-US" w:eastAsia="zh-CN"/>
                    </w:rPr>
                    <w:t>.1</w:t>
                  </w:r>
                </w:p>
              </w:tc>
              <w:tc>
                <w:tcPr>
                  <w:tcW w:w="815"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FF0000"/>
                      <w:sz w:val="21"/>
                      <w:szCs w:val="21"/>
                      <w:lang w:val="en-US" w:eastAsia="zh-CN"/>
                    </w:rPr>
                    <w:t>3</w:t>
                  </w:r>
                  <w:r>
                    <w:rPr>
                      <w:rFonts w:hint="default" w:ascii="Times New Roman" w:hAnsi="Times New Roman" w:eastAsia="宋体" w:cs="Times New Roman"/>
                      <w:color w:val="FF0000"/>
                      <w:sz w:val="21"/>
                      <w:szCs w:val="21"/>
                      <w:lang w:val="en-US" w:eastAsia="zh-CN"/>
                    </w:rPr>
                    <w:t>6.</w:t>
                  </w:r>
                  <w:r>
                    <w:rPr>
                      <w:rFonts w:hint="eastAsia" w:ascii="Times New Roman" w:hAnsi="Times New Roman" w:eastAsia="宋体" w:cs="Times New Roman"/>
                      <w:color w:val="FF0000"/>
                      <w:sz w:val="21"/>
                      <w:szCs w:val="21"/>
                      <w:lang w:val="en-US" w:eastAsia="zh-CN"/>
                    </w:rPr>
                    <w:t>2</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sz w:val="21"/>
                      <w:szCs w:val="21"/>
                      <w:lang w:val="en-US" w:eastAsia="zh-CN"/>
                    </w:rPr>
                    <w:t>42</w:t>
                  </w:r>
                  <w:r>
                    <w:rPr>
                      <w:rFonts w:hint="default" w:ascii="Times New Roman" w:hAnsi="Times New Roman" w:eastAsia="宋体" w:cs="Times New Roman"/>
                      <w:color w:val="FF0000"/>
                      <w:sz w:val="21"/>
                      <w:szCs w:val="21"/>
                      <w:lang w:val="en-US" w:eastAsia="zh-CN"/>
                    </w:rPr>
                    <w:t>.7</w:t>
                  </w:r>
                </w:p>
              </w:tc>
              <w:tc>
                <w:tcPr>
                  <w:tcW w:w="825" w:type="pct"/>
                  <w:noWrap w:val="0"/>
                  <w:vAlign w:val="center"/>
                </w:tcPr>
                <w:p>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FF0000"/>
                      <w:sz w:val="21"/>
                      <w:szCs w:val="21"/>
                      <w:lang w:val="en-US" w:eastAsia="zh-CN"/>
                    </w:rPr>
                    <w:t>36</w:t>
                  </w:r>
                  <w:r>
                    <w:rPr>
                      <w:rFonts w:hint="default" w:ascii="Times New Roman" w:hAnsi="Times New Roman" w:eastAsia="宋体" w:cs="Times New Roman"/>
                      <w:color w:val="FF000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jc w:val="center"/>
              </w:trPr>
              <w:tc>
                <w:tcPr>
                  <w:tcW w:w="1743" w:type="pct"/>
                  <w:gridSpan w:val="2"/>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rPr>
                    <w:t>评价标准（dB（A））</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FF0000"/>
                      <w:lang w:val="en-US" w:eastAsia="zh-CN"/>
                    </w:rPr>
                  </w:pPr>
                  <w:r>
                    <w:rPr>
                      <w:rFonts w:hint="default" w:ascii="Times New Roman" w:hAnsi="Times New Roman" w:eastAsia="宋体" w:cs="Times New Roman"/>
                      <w:color w:val="FF0000"/>
                    </w:rPr>
                    <w:t>60</w:t>
                  </w:r>
                </w:p>
              </w:tc>
              <w:tc>
                <w:tcPr>
                  <w:tcW w:w="815" w:type="pct"/>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rPr>
                  </w:pPr>
                  <w:r>
                    <w:rPr>
                      <w:rFonts w:hint="eastAsia" w:ascii="Times New Roman" w:hAnsi="Times New Roman" w:eastAsia="宋体" w:cs="Times New Roman"/>
                      <w:color w:val="FF0000"/>
                      <w:lang w:val="en-US" w:eastAsia="zh-CN"/>
                    </w:rPr>
                    <w:t>50</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FF0000"/>
                      <w:kern w:val="2"/>
                      <w:sz w:val="21"/>
                      <w:szCs w:val="24"/>
                      <w:lang w:val="en-US" w:eastAsia="zh-CN" w:bidi="ar-SA"/>
                    </w:rPr>
                    <w:t>60</w:t>
                  </w:r>
                </w:p>
              </w:tc>
              <w:tc>
                <w:tcPr>
                  <w:tcW w:w="825" w:type="pct"/>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50</w:t>
                  </w:r>
                </w:p>
              </w:tc>
            </w:tr>
          </w:tbl>
          <w:p>
            <w:pPr>
              <w:topLinePunct/>
              <w:spacing w:line="360" w:lineRule="auto"/>
              <w:ind w:firstLine="480" w:firstLineChars="200"/>
              <w:contextualSpacing/>
              <w:jc w:val="left"/>
              <w:rPr>
                <w:rFonts w:ascii="宋体" w:hAnsi="宋体" w:cs="宋体"/>
                <w:color w:val="000000" w:themeColor="text1"/>
                <w:kern w:val="0"/>
                <w:sz w:val="24"/>
                <w:szCs w:val="24"/>
                <w14:textFill>
                  <w14:solidFill>
                    <w14:schemeClr w14:val="tx1"/>
                  </w14:solidFill>
                </w14:textFill>
              </w:rPr>
            </w:pPr>
            <w:r>
              <w:rPr>
                <w:bCs/>
                <w:color w:val="FF0000"/>
                <w:sz w:val="24"/>
              </w:rPr>
              <w:t>由监测结果可知，项目</w:t>
            </w:r>
            <w:r>
              <w:rPr>
                <w:rFonts w:hint="eastAsia"/>
                <w:bCs/>
                <w:color w:val="FF0000"/>
                <w:sz w:val="24"/>
                <w:lang w:eastAsia="zh-CN"/>
              </w:rPr>
              <w:t>各监测点位均</w:t>
            </w:r>
            <w:r>
              <w:rPr>
                <w:bCs/>
                <w:color w:val="FF0000"/>
                <w:sz w:val="24"/>
              </w:rPr>
              <w:t>符合《声环境质量标准》（GB3096-2008）</w:t>
            </w:r>
            <w:r>
              <w:rPr>
                <w:rFonts w:hint="eastAsia"/>
                <w:bCs/>
                <w:color w:val="FF0000"/>
                <w:sz w:val="24"/>
                <w:lang w:val="en-US" w:eastAsia="zh-CN"/>
              </w:rPr>
              <w:t>2</w:t>
            </w:r>
            <w:r>
              <w:rPr>
                <w:bCs/>
                <w:color w:val="FF0000"/>
                <w:sz w:val="24"/>
              </w:rPr>
              <w:t>类标准，可见项目建设地周围声环境质量良好</w:t>
            </w:r>
            <w:r>
              <w:rPr>
                <w:rFonts w:hint="eastAsia" w:ascii="Times New Roman" w:eastAsia="宋体" w:cs="宋体"/>
                <w:color w:val="000000" w:themeColor="text1"/>
                <w:kern w:val="2"/>
                <w:sz w:val="24"/>
                <w:szCs w:val="24"/>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904" w:type="dxa"/>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与项目有关的原有环境污染和生态破坏问题</w:t>
            </w:r>
          </w:p>
        </w:tc>
        <w:tc>
          <w:tcPr>
            <w:tcW w:w="8253" w:type="dxa"/>
            <w:noWrap w:val="0"/>
            <w:vAlign w:val="center"/>
          </w:tcPr>
          <w:p>
            <w:pPr>
              <w:spacing w:line="360" w:lineRule="auto"/>
              <w:ind w:left="0" w:leftChars="0" w:firstLine="0" w:firstLineChars="0"/>
              <w:contextualSpacing/>
              <w:jc w:val="left"/>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4</w:t>
            </w:r>
            <w:r>
              <w:rPr>
                <w:rFonts w:hint="eastAsia"/>
                <w:b/>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所在流域现状：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宋体" w:hAnsi="宋体" w:cs="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本次水环境综合治理工程位于宁县城北河流域，治理河道长度共 34.36km，涉及城北河和湘乐川两条河流。城北河北起杨家湾子上游 600m处漫水桥，南至城北河与马莲河汇流处，治理河道长度20.08km；湘乐川东起莲池村莲花池景区，西至与湘乐川与城北河汇流处，治理河道长度为14.28km。工程区距离庆阳市60.0km，距离宁县县城18.0km。当地政府牢固树立绿色发展理念，坚持生态优先，强力推进城北河重点流域生态河道水环境综合治理工程，使项目区生态环境得到显著改善，城乡居民收入和生活品质大幅提升，对项目区的生态治理保护和乡村振兴的发展有很大的促进作用，将城北河、湘乐川打造成水清岸绿景美的景观河和致富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904" w:type="dxa"/>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生态环境保护目标</w:t>
            </w:r>
          </w:p>
        </w:tc>
        <w:tc>
          <w:tcPr>
            <w:tcW w:w="8253" w:type="dxa"/>
            <w:noWrap w:val="0"/>
            <w:vAlign w:val="center"/>
          </w:tcPr>
          <w:p>
            <w:pPr>
              <w:spacing w:line="360" w:lineRule="auto"/>
              <w:ind w:firstLine="471"/>
              <w:contextualSpacing/>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（1）大气环境：按照环境影响评价相关技术导则要求确定评价范围并识别环境保护目标</w:t>
            </w:r>
            <w:r>
              <w:rPr>
                <w:rFonts w:hint="eastAsia"/>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本项目为河道治理项目，属于生态类项目，</w:t>
            </w:r>
            <w:r>
              <w:rPr>
                <w:rFonts w:hint="eastAsia"/>
                <w:color w:val="000000" w:themeColor="text1"/>
                <w:sz w:val="24"/>
                <w:szCs w:val="24"/>
                <w:lang w:eastAsia="zh-CN"/>
                <w14:textFill>
                  <w14:solidFill>
                    <w14:schemeClr w14:val="tx1"/>
                  </w14:solidFill>
                </w14:textFill>
              </w:rPr>
              <w:t>运营期无废气产生与排放，确定大气评价等级为三级</w:t>
            </w:r>
            <w:r>
              <w:rPr>
                <w:rFonts w:hint="eastAsia" w:ascii="Times New Roman" w:hAnsi="Times New Roman" w:eastAsia="宋体"/>
                <w:color w:val="000000" w:themeColor="text1"/>
                <w:sz w:val="24"/>
                <w:szCs w:val="24"/>
                <w14:textFill>
                  <w14:solidFill>
                    <w14:schemeClr w14:val="tx1"/>
                  </w14:solidFill>
                </w14:textFill>
              </w:rPr>
              <w:t>，因此</w:t>
            </w:r>
            <w:r>
              <w:rPr>
                <w:rFonts w:hint="eastAsia"/>
                <w:color w:val="000000" w:themeColor="text1"/>
                <w:sz w:val="24"/>
                <w:szCs w:val="24"/>
                <w:lang w:eastAsia="zh-CN"/>
                <w14:textFill>
                  <w14:solidFill>
                    <w14:schemeClr w14:val="tx1"/>
                  </w14:solidFill>
                </w14:textFill>
              </w:rPr>
              <w:t>确定</w:t>
            </w:r>
            <w:r>
              <w:rPr>
                <w:rFonts w:hint="eastAsia" w:ascii="Times New Roman" w:hAnsi="Times New Roman" w:eastAsia="宋体"/>
                <w:color w:val="000000" w:themeColor="text1"/>
                <w:sz w:val="24"/>
                <w:szCs w:val="24"/>
                <w14:textFill>
                  <w14:solidFill>
                    <w14:schemeClr w14:val="tx1"/>
                  </w14:solidFill>
                </w14:textFill>
              </w:rPr>
              <w:t>本项目大气</w:t>
            </w:r>
            <w:r>
              <w:rPr>
                <w:rFonts w:hint="eastAsia"/>
                <w:color w:val="000000" w:themeColor="text1"/>
                <w:sz w:val="24"/>
                <w:szCs w:val="24"/>
                <w:lang w:eastAsia="zh-CN"/>
                <w14:textFill>
                  <w14:solidFill>
                    <w14:schemeClr w14:val="tx1"/>
                  </w14:solidFill>
                </w14:textFill>
              </w:rPr>
              <w:t>环境保护目标如下：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表3-</w:t>
            </w:r>
            <w:r>
              <w:rPr>
                <w:rFonts w:hint="eastAsia" w:cs="Times New Roman"/>
                <w:b/>
                <w:bCs/>
                <w:color w:val="000000" w:themeColor="text1"/>
                <w:szCs w:val="21"/>
                <w:lang w:val="en-US" w:eastAsia="zh-CN"/>
                <w14:textFill>
                  <w14:solidFill>
                    <w14:schemeClr w14:val="tx1"/>
                  </w14:solidFill>
                </w14:textFill>
              </w:rPr>
              <w:t>8</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 xml:space="preserve">    项目区大气环境敏感目标</w:t>
            </w:r>
          </w:p>
          <w:tbl>
            <w:tblPr>
              <w:tblStyle w:val="21"/>
              <w:tblW w:w="7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6"/>
              <w:gridCol w:w="1366"/>
              <w:gridCol w:w="1227"/>
              <w:gridCol w:w="1077"/>
              <w:gridCol w:w="1132"/>
              <w:gridCol w:w="1036"/>
              <w:gridCol w:w="666"/>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jc w:val="center"/>
              </w:trPr>
              <w:tc>
                <w:tcPr>
                  <w:tcW w:w="263"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名称</w:t>
                  </w:r>
                </w:p>
              </w:tc>
              <w:tc>
                <w:tcPr>
                  <w:tcW w:w="1684" w:type="pct"/>
                  <w:gridSpan w:val="2"/>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坐标/m</w:t>
                  </w:r>
                </w:p>
              </w:tc>
              <w:tc>
                <w:tcPr>
                  <w:tcW w:w="699"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保护对象</w:t>
                  </w:r>
                </w:p>
              </w:tc>
              <w:tc>
                <w:tcPr>
                  <w:tcW w:w="735" w:type="pct"/>
                  <w:vMerge w:val="restart"/>
                  <w:vAlign w:val="center"/>
                </w:tcPr>
                <w:p>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ascii="Times New Roman" w:hAnsi="Times New Roman" w:eastAsia="宋体" w:cs="宋体"/>
                      <w:color w:val="000000" w:themeColor="text1"/>
                      <w:kern w:val="0"/>
                      <w:sz w:val="21"/>
                      <w:szCs w:val="21"/>
                      <w:lang w:eastAsia="zh-CN"/>
                      <w14:textFill>
                        <w14:solidFill>
                          <w14:schemeClr w14:val="tx1"/>
                        </w14:solidFill>
                      </w14:textFill>
                    </w:rPr>
                    <w:t>规模</w:t>
                  </w:r>
                </w:p>
              </w:tc>
              <w:tc>
                <w:tcPr>
                  <w:tcW w:w="672"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环境功能区</w:t>
                  </w:r>
                </w:p>
              </w:tc>
              <w:tc>
                <w:tcPr>
                  <w:tcW w:w="432"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相对方位</w:t>
                  </w:r>
                </w:p>
              </w:tc>
              <w:tc>
                <w:tcPr>
                  <w:tcW w:w="511"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相对距离/m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东经</w:t>
                  </w:r>
                </w:p>
              </w:tc>
              <w:tc>
                <w:tcPr>
                  <w:tcW w:w="796"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北纬</w:t>
                  </w:r>
                </w:p>
              </w:tc>
              <w:tc>
                <w:tcPr>
                  <w:tcW w:w="699"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735"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511"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7" w:hRule="atLeast"/>
                <w:jc w:val="center"/>
              </w:trPr>
              <w:tc>
                <w:tcPr>
                  <w:tcW w:w="263"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环境空气</w:t>
                  </w:r>
                </w:p>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107.986958</w:t>
                  </w:r>
                </w:p>
              </w:tc>
              <w:tc>
                <w:tcPr>
                  <w:tcW w:w="796"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35.617139</w:t>
                  </w:r>
                </w:p>
              </w:tc>
              <w:tc>
                <w:tcPr>
                  <w:tcW w:w="699"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杨家湾子</w:t>
                  </w:r>
                </w:p>
              </w:tc>
              <w:tc>
                <w:tcPr>
                  <w:tcW w:w="735"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18</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户</w:t>
                  </w:r>
                </w:p>
              </w:tc>
              <w:tc>
                <w:tcPr>
                  <w:tcW w:w="672"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《环境空气质量标准》(GB3095-2012) 二类标准</w:t>
                  </w:r>
                </w:p>
              </w:tc>
              <w:tc>
                <w:tcPr>
                  <w:tcW w:w="432"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W</w:t>
                  </w:r>
                </w:p>
              </w:tc>
              <w:tc>
                <w:tcPr>
                  <w:tcW w:w="511"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107.993459</w:t>
                  </w:r>
                </w:p>
              </w:tc>
              <w:tc>
                <w:tcPr>
                  <w:tcW w:w="796"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35.6198108</w:t>
                  </w:r>
                </w:p>
              </w:tc>
              <w:tc>
                <w:tcPr>
                  <w:tcW w:w="699" w:type="pct"/>
                  <w:vAlign w:val="center"/>
                </w:tcPr>
                <w:p>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cs="宋体"/>
                      <w:color w:val="000000" w:themeColor="text1"/>
                      <w:kern w:val="0"/>
                      <w:sz w:val="21"/>
                      <w:szCs w:val="21"/>
                      <w:lang w:eastAsia="zh-CN"/>
                      <w14:textFill>
                        <w14:solidFill>
                          <w14:schemeClr w14:val="tx1"/>
                        </w14:solidFill>
                      </w14:textFill>
                    </w:rPr>
                    <w:t>宋家台</w:t>
                  </w:r>
                </w:p>
              </w:tc>
              <w:tc>
                <w:tcPr>
                  <w:tcW w:w="735"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30</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70~500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107.989253</w:t>
                  </w:r>
                </w:p>
              </w:tc>
              <w:tc>
                <w:tcPr>
                  <w:tcW w:w="796"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35.606635</w:t>
                  </w:r>
                </w:p>
              </w:tc>
              <w:tc>
                <w:tcPr>
                  <w:tcW w:w="699"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新庄</w:t>
                  </w:r>
                </w:p>
              </w:tc>
              <w:tc>
                <w:tcPr>
                  <w:tcW w:w="735"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w:t>
                  </w:r>
                  <w:r>
                    <w:rPr>
                      <w:rFonts w:hint="eastAsia" w:eastAsia="宋体" w:cs="宋体"/>
                      <w:color w:val="000000" w:themeColor="text1"/>
                      <w:kern w:val="0"/>
                      <w:sz w:val="21"/>
                      <w:szCs w:val="21"/>
                      <w:lang w:val="en-US" w:eastAsia="zh-CN"/>
                      <w14:textFill>
                        <w14:solidFill>
                          <w14:schemeClr w14:val="tx1"/>
                        </w14:solidFill>
                      </w14:textFill>
                    </w:rPr>
                    <w:t>6</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100~240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ascii="Times New Roman" w:hAnsi="Times New Roman" w:eastAsia="宋体" w:cs="宋体"/>
                      <w:color w:val="000000" w:themeColor="text1"/>
                      <w:kern w:val="0"/>
                      <w:sz w:val="21"/>
                      <w:szCs w:val="21"/>
                      <w:lang w:eastAsia="zh-CN"/>
                      <w14:textFill>
                        <w14:solidFill>
                          <w14:schemeClr w14:val="tx1"/>
                        </w14:solidFill>
                      </w14:textFill>
                    </w:rPr>
                    <w:t>107.983675</w:t>
                  </w:r>
                </w:p>
              </w:tc>
              <w:tc>
                <w:tcPr>
                  <w:tcW w:w="796"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35.60019</w:t>
                  </w:r>
                  <w:r>
                    <w:rPr>
                      <w:rFonts w:hint="eastAsia" w:cs="宋体"/>
                      <w:color w:val="000000" w:themeColor="text1"/>
                      <w:kern w:val="0"/>
                      <w:sz w:val="21"/>
                      <w:szCs w:val="21"/>
                      <w:lang w:val="en-US" w:eastAsia="zh-CN"/>
                      <w14:textFill>
                        <w14:solidFill>
                          <w14:schemeClr w14:val="tx1"/>
                        </w14:solidFill>
                      </w14:textFill>
                    </w:rPr>
                    <w:t>1</w:t>
                  </w:r>
                </w:p>
              </w:tc>
              <w:tc>
                <w:tcPr>
                  <w:tcW w:w="699"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冯家岸瑶</w:t>
                  </w:r>
                </w:p>
              </w:tc>
              <w:tc>
                <w:tcPr>
                  <w:tcW w:w="735"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25户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W</w:t>
                  </w:r>
                </w:p>
              </w:tc>
              <w:tc>
                <w:tcPr>
                  <w:tcW w:w="511"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60~220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107.987848</w:t>
                  </w:r>
                </w:p>
              </w:tc>
              <w:tc>
                <w:tcPr>
                  <w:tcW w:w="796"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35.598975</w:t>
                  </w:r>
                </w:p>
              </w:tc>
              <w:tc>
                <w:tcPr>
                  <w:tcW w:w="699" w:type="pct"/>
                  <w:vAlign w:val="center"/>
                </w:tcPr>
                <w:p>
                  <w:pPr>
                    <w:jc w:val="center"/>
                    <w:rPr>
                      <w:rFonts w:hint="eastAsia" w:cs="宋体"/>
                      <w:color w:val="000000" w:themeColor="text1"/>
                      <w:kern w:val="0"/>
                      <w:sz w:val="21"/>
                      <w:szCs w:val="21"/>
                      <w:lang w:eastAsia="zh-CN"/>
                      <w14:textFill>
                        <w14:solidFill>
                          <w14:schemeClr w14:val="tx1"/>
                        </w14:solidFill>
                      </w14:textFill>
                    </w:rPr>
                  </w:pPr>
                  <w:r>
                    <w:rPr>
                      <w:rFonts w:hint="eastAsia" w:cs="宋体"/>
                      <w:color w:val="000000" w:themeColor="text1"/>
                      <w:kern w:val="0"/>
                      <w:sz w:val="21"/>
                      <w:szCs w:val="21"/>
                      <w:lang w:eastAsia="zh-CN"/>
                      <w14:textFill>
                        <w14:solidFill>
                          <w14:schemeClr w14:val="tx1"/>
                        </w14:solidFill>
                      </w14:textFill>
                    </w:rPr>
                    <w:t>张家庄</w:t>
                  </w:r>
                </w:p>
              </w:tc>
              <w:tc>
                <w:tcPr>
                  <w:tcW w:w="735"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22户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50~300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107.985627</w:t>
                  </w:r>
                </w:p>
              </w:tc>
              <w:tc>
                <w:tcPr>
                  <w:tcW w:w="796"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35.590317</w:t>
                  </w:r>
                </w:p>
              </w:tc>
              <w:tc>
                <w:tcPr>
                  <w:tcW w:w="699" w:type="pct"/>
                  <w:vAlign w:val="center"/>
                </w:tcPr>
                <w:p>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cs="宋体"/>
                      <w:color w:val="000000" w:themeColor="text1"/>
                      <w:kern w:val="0"/>
                      <w:sz w:val="21"/>
                      <w:szCs w:val="21"/>
                      <w:lang w:eastAsia="zh-CN"/>
                      <w14:textFill>
                        <w14:solidFill>
                          <w14:schemeClr w14:val="tx1"/>
                        </w14:solidFill>
                      </w14:textFill>
                    </w:rPr>
                    <w:t>香水泉</w:t>
                  </w:r>
                </w:p>
              </w:tc>
              <w:tc>
                <w:tcPr>
                  <w:tcW w:w="735"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45户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bidi="ar-SA"/>
                      <w14:textFill>
                        <w14:solidFill>
                          <w14:schemeClr w14:val="tx1"/>
                        </w14:solidFill>
                      </w14:textFill>
                    </w:rPr>
                    <w:t>160~350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107.984704</w:t>
                  </w:r>
                </w:p>
              </w:tc>
              <w:tc>
                <w:tcPr>
                  <w:tcW w:w="796"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35.584223</w:t>
                  </w:r>
                </w:p>
              </w:tc>
              <w:tc>
                <w:tcPr>
                  <w:tcW w:w="699"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左家岭</w:t>
                  </w:r>
                </w:p>
              </w:tc>
              <w:tc>
                <w:tcPr>
                  <w:tcW w:w="735"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15户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107.979061</w:t>
                  </w:r>
                </w:p>
              </w:tc>
              <w:tc>
                <w:tcPr>
                  <w:tcW w:w="796"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35.584588</w:t>
                  </w:r>
                </w:p>
              </w:tc>
              <w:tc>
                <w:tcPr>
                  <w:tcW w:w="699"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桃湾</w:t>
                  </w:r>
                </w:p>
              </w:tc>
              <w:tc>
                <w:tcPr>
                  <w:tcW w:w="735"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25户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W</w:t>
                  </w:r>
                </w:p>
              </w:tc>
              <w:tc>
                <w:tcPr>
                  <w:tcW w:w="511"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107.97906</w:t>
                  </w:r>
                  <w:r>
                    <w:rPr>
                      <w:rFonts w:hint="eastAsia" w:cs="宋体"/>
                      <w:color w:val="000000" w:themeColor="text1"/>
                      <w:kern w:val="0"/>
                      <w:sz w:val="21"/>
                      <w:szCs w:val="21"/>
                      <w:lang w:val="en-US" w:eastAsia="zh-CN"/>
                      <w14:textFill>
                        <w14:solidFill>
                          <w14:schemeClr w14:val="tx1"/>
                        </w14:solidFill>
                      </w14:textFill>
                    </w:rPr>
                    <w:t>2</w:t>
                  </w:r>
                </w:p>
              </w:tc>
              <w:tc>
                <w:tcPr>
                  <w:tcW w:w="796"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35.576144</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寨河村</w:t>
                  </w:r>
                </w:p>
              </w:tc>
              <w:tc>
                <w:tcPr>
                  <w:tcW w:w="735"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30</w:t>
                  </w:r>
                  <w:r>
                    <w:rPr>
                      <w:rFonts w:hint="eastAsia" w:eastAsia="宋体" w:cs="宋体"/>
                      <w:color w:val="000000" w:themeColor="text1"/>
                      <w:kern w:val="0"/>
                      <w:sz w:val="21"/>
                      <w:szCs w:val="21"/>
                      <w:lang w:val="en-US" w:eastAsia="zh-CN"/>
                      <w14:textFill>
                        <w14:solidFill>
                          <w14:schemeClr w14:val="tx1"/>
                        </w14:solidFill>
                      </w14:textFill>
                    </w:rPr>
                    <w:t>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t>107.974179</w:t>
                  </w:r>
                </w:p>
              </w:tc>
              <w:tc>
                <w:tcPr>
                  <w:tcW w:w="796"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t>35.574138</w:t>
                  </w:r>
                </w:p>
              </w:tc>
              <w:tc>
                <w:tcPr>
                  <w:tcW w:w="699" w:type="pct"/>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bidi="ar-SA"/>
                      <w14:textFill>
                        <w14:solidFill>
                          <w14:schemeClr w14:val="tx1"/>
                        </w14:solidFill>
                      </w14:textFill>
                    </w:rPr>
                    <w:t>陈家河</w:t>
                  </w:r>
                </w:p>
              </w:tc>
              <w:tc>
                <w:tcPr>
                  <w:tcW w:w="735"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kern w:val="0"/>
                      <w:sz w:val="21"/>
                      <w:szCs w:val="21"/>
                      <w:lang w:val="en-US" w:eastAsia="zh-CN"/>
                      <w14:textFill>
                        <w14:solidFill>
                          <w14:schemeClr w14:val="tx1"/>
                        </w14:solidFill>
                      </w14:textFill>
                    </w:rPr>
                    <w:t>1</w:t>
                  </w:r>
                  <w:r>
                    <w:rPr>
                      <w:rFonts w:hint="eastAsia" w:cs="宋体"/>
                      <w:color w:val="000000" w:themeColor="text1"/>
                      <w:kern w:val="0"/>
                      <w:sz w:val="21"/>
                      <w:szCs w:val="21"/>
                      <w:lang w:val="en-US" w:eastAsia="zh-CN"/>
                      <w14:textFill>
                        <w14:solidFill>
                          <w14:schemeClr w14:val="tx1"/>
                        </w14:solidFill>
                      </w14:textFill>
                    </w:rPr>
                    <w:t>0</w:t>
                  </w:r>
                  <w:r>
                    <w:rPr>
                      <w:rFonts w:hint="eastAsia" w:eastAsia="宋体" w:cs="宋体"/>
                      <w:color w:val="000000" w:themeColor="text1"/>
                      <w:kern w:val="0"/>
                      <w:sz w:val="21"/>
                      <w:szCs w:val="21"/>
                      <w:lang w:val="en-US" w:eastAsia="zh-CN"/>
                      <w14:textFill>
                        <w14:solidFill>
                          <w14:schemeClr w14:val="tx1"/>
                        </w14:solidFill>
                      </w14:textFill>
                    </w:rPr>
                    <w:t>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bidi="ar-SA"/>
                      <w14:textFill>
                        <w14:solidFill>
                          <w14:schemeClr w14:val="tx1"/>
                        </w14:solidFill>
                      </w14:textFill>
                    </w:rPr>
                    <w:t>W</w:t>
                  </w:r>
                </w:p>
              </w:tc>
              <w:tc>
                <w:tcPr>
                  <w:tcW w:w="511" w:type="pct"/>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bidi="ar-SA"/>
                      <w14:textFill>
                        <w14:solidFill>
                          <w14:schemeClr w14:val="tx1"/>
                        </w14:solidFill>
                      </w14:textFill>
                    </w:rPr>
                    <w:t>50~180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107.974684</w:t>
                  </w:r>
                </w:p>
              </w:tc>
              <w:tc>
                <w:tcPr>
                  <w:tcW w:w="796"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35.565029</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高庙</w:t>
                  </w:r>
                </w:p>
              </w:tc>
              <w:tc>
                <w:tcPr>
                  <w:tcW w:w="735"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w:t>
                  </w:r>
                  <w:r>
                    <w:rPr>
                      <w:rFonts w:hint="eastAsia" w:eastAsia="宋体" w:cs="宋体"/>
                      <w:color w:val="000000" w:themeColor="text1"/>
                      <w:kern w:val="0"/>
                      <w:sz w:val="21"/>
                      <w:szCs w:val="21"/>
                      <w:lang w:val="en-US" w:eastAsia="zh-CN"/>
                      <w14:textFill>
                        <w14:solidFill>
                          <w14:schemeClr w14:val="tx1"/>
                        </w14:solidFill>
                      </w14:textFill>
                    </w:rPr>
                    <w:t>5户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107.968418</w:t>
                  </w:r>
                </w:p>
              </w:tc>
              <w:tc>
                <w:tcPr>
                  <w:tcW w:w="796"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35.555233</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杨家河</w:t>
                  </w:r>
                </w:p>
              </w:tc>
              <w:tc>
                <w:tcPr>
                  <w:tcW w:w="735"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18</w:t>
                  </w:r>
                  <w:r>
                    <w:rPr>
                      <w:rFonts w:hint="eastAsia" w:eastAsia="宋体" w:cs="宋体"/>
                      <w:color w:val="000000" w:themeColor="text1"/>
                      <w:kern w:val="0"/>
                      <w:sz w:val="21"/>
                      <w:szCs w:val="21"/>
                      <w:lang w:val="en-US" w:eastAsia="zh-CN"/>
                      <w14:textFill>
                        <w14:solidFill>
                          <w14:schemeClr w14:val="tx1"/>
                        </w14:solidFill>
                      </w14:textFill>
                    </w:rPr>
                    <w:t>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W</w:t>
                  </w:r>
                </w:p>
              </w:tc>
              <w:tc>
                <w:tcPr>
                  <w:tcW w:w="511"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50~230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107.970789</w:t>
                  </w:r>
                </w:p>
              </w:tc>
              <w:tc>
                <w:tcPr>
                  <w:tcW w:w="796"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35.552819</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杨家河</w:t>
                  </w:r>
                </w:p>
              </w:tc>
              <w:tc>
                <w:tcPr>
                  <w:tcW w:w="735"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15户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55~260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107.963665</w:t>
                  </w:r>
                </w:p>
              </w:tc>
              <w:tc>
                <w:tcPr>
                  <w:tcW w:w="796"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35.55135</w:t>
                  </w:r>
                  <w:r>
                    <w:rPr>
                      <w:rFonts w:hint="eastAsia" w:cs="宋体"/>
                      <w:color w:val="000000" w:themeColor="text1"/>
                      <w:kern w:val="0"/>
                      <w:sz w:val="21"/>
                      <w:szCs w:val="21"/>
                      <w:lang w:val="en-US" w:eastAsia="zh-CN"/>
                      <w14:textFill>
                        <w14:solidFill>
                          <w14:schemeClr w14:val="tx1"/>
                        </w14:solidFill>
                      </w14:textFill>
                    </w:rPr>
                    <w:t>0</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王台</w:t>
                  </w:r>
                </w:p>
              </w:tc>
              <w:tc>
                <w:tcPr>
                  <w:tcW w:w="735"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w:t>
                  </w:r>
                  <w:r>
                    <w:rPr>
                      <w:rFonts w:hint="eastAsia" w:eastAsia="宋体" w:cs="宋体"/>
                      <w:color w:val="000000" w:themeColor="text1"/>
                      <w:kern w:val="0"/>
                      <w:sz w:val="21"/>
                      <w:szCs w:val="21"/>
                      <w:lang w:val="en-US" w:eastAsia="zh-CN"/>
                      <w14:textFill>
                        <w14:solidFill>
                          <w14:schemeClr w14:val="tx1"/>
                        </w14:solidFill>
                      </w14:textFill>
                    </w:rPr>
                    <w:t>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107.956069</w:t>
                  </w:r>
                </w:p>
              </w:tc>
              <w:tc>
                <w:tcPr>
                  <w:tcW w:w="796"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35.542058</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王台村</w:t>
                  </w:r>
                </w:p>
              </w:tc>
              <w:tc>
                <w:tcPr>
                  <w:tcW w:w="735"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72户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107.950447</w:t>
                  </w:r>
                </w:p>
              </w:tc>
              <w:tc>
                <w:tcPr>
                  <w:tcW w:w="796"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35.534763</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焦家湾</w:t>
                  </w:r>
                </w:p>
              </w:tc>
              <w:tc>
                <w:tcPr>
                  <w:tcW w:w="735"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31户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60~280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107.944868</w:t>
                  </w:r>
                </w:p>
              </w:tc>
              <w:tc>
                <w:tcPr>
                  <w:tcW w:w="796"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35.532263</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畅沟</w:t>
                  </w:r>
                </w:p>
              </w:tc>
              <w:tc>
                <w:tcPr>
                  <w:tcW w:w="735"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15户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W</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58~380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107.944418</w:t>
                  </w:r>
                </w:p>
              </w:tc>
              <w:tc>
                <w:tcPr>
                  <w:tcW w:w="796"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35.526764</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小沟</w:t>
                  </w:r>
                </w:p>
              </w:tc>
              <w:tc>
                <w:tcPr>
                  <w:tcW w:w="735"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27户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46~220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107.940309</w:t>
                  </w:r>
                </w:p>
              </w:tc>
              <w:tc>
                <w:tcPr>
                  <w:tcW w:w="796"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35.524549</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小沟</w:t>
                  </w:r>
                </w:p>
              </w:tc>
              <w:tc>
                <w:tcPr>
                  <w:tcW w:w="735"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15户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W</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84~230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107.929719</w:t>
                  </w:r>
                </w:p>
              </w:tc>
              <w:tc>
                <w:tcPr>
                  <w:tcW w:w="796"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35.511986</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金钟村</w:t>
                  </w:r>
                </w:p>
              </w:tc>
              <w:tc>
                <w:tcPr>
                  <w:tcW w:w="735"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40户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107.922928</w:t>
                  </w:r>
                </w:p>
              </w:tc>
              <w:tc>
                <w:tcPr>
                  <w:tcW w:w="796" w:type="pct"/>
                  <w:vAlign w:val="center"/>
                </w:tcPr>
                <w:p>
                  <w:pPr>
                    <w:jc w:val="center"/>
                    <w:rPr>
                      <w:rFonts w:hint="default"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35.50889</w:t>
                  </w:r>
                  <w:r>
                    <w:rPr>
                      <w:rFonts w:hint="eastAsia" w:cs="宋体"/>
                      <w:color w:val="000000" w:themeColor="text1"/>
                      <w:kern w:val="0"/>
                      <w:sz w:val="21"/>
                      <w:szCs w:val="21"/>
                      <w:lang w:val="en-US" w:eastAsia="zh-CN"/>
                      <w14:textFill>
                        <w14:solidFill>
                          <w14:schemeClr w14:val="tx1"/>
                        </w14:solidFill>
                      </w14:textFill>
                    </w:rPr>
                    <w:t>1</w:t>
                  </w:r>
                </w:p>
              </w:tc>
              <w:tc>
                <w:tcPr>
                  <w:tcW w:w="699"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槐树台</w:t>
                  </w:r>
                </w:p>
              </w:tc>
              <w:tc>
                <w:tcPr>
                  <w:tcW w:w="735"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31户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W</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107.919280</w:t>
                  </w:r>
                </w:p>
              </w:tc>
              <w:tc>
                <w:tcPr>
                  <w:tcW w:w="796"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35.508048</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永馨园</w:t>
                  </w:r>
                </w:p>
              </w:tc>
              <w:tc>
                <w:tcPr>
                  <w:tcW w:w="735"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150户</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W</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160~380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107.921844</w:t>
                  </w:r>
                </w:p>
              </w:tc>
              <w:tc>
                <w:tcPr>
                  <w:tcW w:w="796"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35.507168</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宁县人民医院</w:t>
                  </w:r>
                </w:p>
              </w:tc>
              <w:tc>
                <w:tcPr>
                  <w:tcW w:w="735"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医院</w:t>
                  </w:r>
                </w:p>
              </w:tc>
              <w:tc>
                <w:tcPr>
                  <w:tcW w:w="672" w:type="pct"/>
                  <w:vMerge w:val="continue"/>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107.998845</w:t>
                  </w:r>
                </w:p>
              </w:tc>
              <w:tc>
                <w:tcPr>
                  <w:tcW w:w="796" w:type="pct"/>
                  <w:vAlign w:val="center"/>
                </w:tcPr>
                <w:p>
                  <w:pPr>
                    <w:jc w:val="center"/>
                    <w:rPr>
                      <w:rFonts w:hint="eastAsia" w:ascii="Times New Roman" w:hAnsi="Times New Roman" w:eastAsia="宋体" w:cs="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35.58302</w:t>
                  </w:r>
                  <w:r>
                    <w:rPr>
                      <w:rFonts w:hint="eastAsia" w:cs="宋体"/>
                      <w:color w:val="000000" w:themeColor="text1"/>
                      <w:kern w:val="0"/>
                      <w:sz w:val="21"/>
                      <w:szCs w:val="21"/>
                      <w:lang w:val="en-US" w:eastAsia="zh-CN"/>
                      <w14:textFill>
                        <w14:solidFill>
                          <w14:schemeClr w14:val="tx1"/>
                        </w14:solidFill>
                      </w14:textFill>
                    </w:rPr>
                    <w:t>1</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昔家沟</w:t>
                  </w:r>
                </w:p>
              </w:tc>
              <w:tc>
                <w:tcPr>
                  <w:tcW w:w="735"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6</w:t>
                  </w:r>
                  <w:r>
                    <w:rPr>
                      <w:rFonts w:hint="eastAsia" w:eastAsia="宋体" w:cs="宋体"/>
                      <w:color w:val="000000" w:themeColor="text1"/>
                      <w:kern w:val="0"/>
                      <w:sz w:val="21"/>
                      <w:szCs w:val="21"/>
                      <w:lang w:val="en-US" w:eastAsia="zh-CN"/>
                      <w14:textFill>
                        <w14:solidFill>
                          <w14:schemeClr w14:val="tx1"/>
                        </w14:solidFill>
                      </w14:textFill>
                    </w:rPr>
                    <w:t>0户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511"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110~400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107.993845</w:t>
                  </w:r>
                </w:p>
              </w:tc>
              <w:tc>
                <w:tcPr>
                  <w:tcW w:w="796"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35.586133</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高家台</w:t>
                  </w:r>
                </w:p>
              </w:tc>
              <w:tc>
                <w:tcPr>
                  <w:tcW w:w="735"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38户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N</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108.020818</w:t>
                  </w:r>
                </w:p>
              </w:tc>
              <w:tc>
                <w:tcPr>
                  <w:tcW w:w="796"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35.588911</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阴山</w:t>
                  </w:r>
                </w:p>
              </w:tc>
              <w:tc>
                <w:tcPr>
                  <w:tcW w:w="735"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67户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S</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70~400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108.028789</w:t>
                  </w:r>
                </w:p>
              </w:tc>
              <w:tc>
                <w:tcPr>
                  <w:tcW w:w="796"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35.594179</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庞西</w:t>
                  </w:r>
                </w:p>
              </w:tc>
              <w:tc>
                <w:tcPr>
                  <w:tcW w:w="735"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84户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N</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108.040881</w:t>
                  </w:r>
                </w:p>
              </w:tc>
              <w:tc>
                <w:tcPr>
                  <w:tcW w:w="796"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35.592918</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转咀子</w:t>
                  </w:r>
                </w:p>
              </w:tc>
              <w:tc>
                <w:tcPr>
                  <w:tcW w:w="735"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S</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22~180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108.072016</w:t>
                  </w:r>
                </w:p>
              </w:tc>
              <w:tc>
                <w:tcPr>
                  <w:tcW w:w="796" w:type="pct"/>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35.594007</w:t>
                  </w:r>
                </w:p>
              </w:tc>
              <w:tc>
                <w:tcPr>
                  <w:tcW w:w="699" w:type="pct"/>
                  <w:vAlign w:val="center"/>
                </w:tcPr>
                <w:p>
                  <w:pPr>
                    <w:jc w:val="center"/>
                    <w:rPr>
                      <w:rFonts w:hint="eastAsia"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莲花池</w:t>
                  </w:r>
                </w:p>
              </w:tc>
              <w:tc>
                <w:tcPr>
                  <w:tcW w:w="735" w:type="pct"/>
                  <w:vAlign w:val="center"/>
                </w:tcPr>
                <w:p>
                  <w:pPr>
                    <w:jc w:val="center"/>
                    <w:rPr>
                      <w:rFonts w:hint="default" w:eastAsia="宋体"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182户</w:t>
                  </w: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32"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N</w:t>
                  </w:r>
                </w:p>
              </w:tc>
              <w:tc>
                <w:tcPr>
                  <w:tcW w:w="511" w:type="pct"/>
                  <w:vAlign w:val="center"/>
                </w:tcPr>
                <w:p>
                  <w:pPr>
                    <w:jc w:val="center"/>
                    <w:rPr>
                      <w:rFonts w:hint="default" w:cs="宋体"/>
                      <w:color w:val="000000" w:themeColor="text1"/>
                      <w:kern w:val="0"/>
                      <w:sz w:val="21"/>
                      <w:szCs w:val="21"/>
                      <w:lang w:val="en-US" w:eastAsia="zh-CN"/>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20~450</w:t>
                  </w:r>
                </w:p>
              </w:tc>
            </w:tr>
          </w:tbl>
          <w:p>
            <w:pPr>
              <w:numPr>
                <w:ilvl w:val="0"/>
                <w:numId w:val="6"/>
              </w:numPr>
              <w:spacing w:line="360" w:lineRule="auto"/>
              <w:ind w:firstLine="471"/>
              <w:contextualSpacing/>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声环境：根据《环境影响评价技术导则 声环境》（HJ2.4-2009）中规定“根据建设项目实施过程中噪声的影响特点，可按施工期和运行期分别开展声环境影响评价”，由于本工程噪声环境影响绝大部分在施工期，项目建成后噪声随之消失，评价范围为河道治理两侧200m范围。</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表3-</w:t>
            </w:r>
            <w:r>
              <w:rPr>
                <w:rFonts w:hint="eastAsia" w:cs="Times New Roman"/>
                <w:b/>
                <w:bCs/>
                <w:color w:val="000000" w:themeColor="text1"/>
                <w:szCs w:val="21"/>
                <w:lang w:val="en-US" w:eastAsia="zh-CN"/>
                <w14:textFill>
                  <w14:solidFill>
                    <w14:schemeClr w14:val="tx1"/>
                  </w14:solidFill>
                </w14:textFill>
              </w:rPr>
              <w:t>9</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 xml:space="preserve">    项目区声环境敏感目标</w:t>
            </w:r>
          </w:p>
          <w:tbl>
            <w:tblPr>
              <w:tblStyle w:val="21"/>
              <w:tblW w:w="7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6"/>
              <w:gridCol w:w="1366"/>
              <w:gridCol w:w="1227"/>
              <w:gridCol w:w="1077"/>
              <w:gridCol w:w="1132"/>
              <w:gridCol w:w="1036"/>
              <w:gridCol w:w="696"/>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263"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名称</w:t>
                  </w:r>
                </w:p>
              </w:tc>
              <w:tc>
                <w:tcPr>
                  <w:tcW w:w="1684" w:type="pct"/>
                  <w:gridSpan w:val="2"/>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坐标/m</w:t>
                  </w:r>
                </w:p>
              </w:tc>
              <w:tc>
                <w:tcPr>
                  <w:tcW w:w="699"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保护对象</w:t>
                  </w:r>
                </w:p>
              </w:tc>
              <w:tc>
                <w:tcPr>
                  <w:tcW w:w="735" w:type="pct"/>
                  <w:vMerge w:val="restart"/>
                  <w:vAlign w:val="center"/>
                </w:tcPr>
                <w:p>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ascii="Times New Roman" w:hAnsi="Times New Roman" w:eastAsia="宋体" w:cs="宋体"/>
                      <w:color w:val="000000" w:themeColor="text1"/>
                      <w:kern w:val="0"/>
                      <w:sz w:val="21"/>
                      <w:szCs w:val="21"/>
                      <w:lang w:eastAsia="zh-CN"/>
                      <w14:textFill>
                        <w14:solidFill>
                          <w14:schemeClr w14:val="tx1"/>
                        </w14:solidFill>
                      </w14:textFill>
                    </w:rPr>
                    <w:t>规模</w:t>
                  </w:r>
                </w:p>
              </w:tc>
              <w:tc>
                <w:tcPr>
                  <w:tcW w:w="672"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环境功能区</w:t>
                  </w:r>
                </w:p>
              </w:tc>
              <w:tc>
                <w:tcPr>
                  <w:tcW w:w="452"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相对方位</w:t>
                  </w:r>
                </w:p>
              </w:tc>
              <w:tc>
                <w:tcPr>
                  <w:tcW w:w="492"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相对距离/m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263"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东经</w:t>
                  </w:r>
                </w:p>
              </w:tc>
              <w:tc>
                <w:tcPr>
                  <w:tcW w:w="796"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北纬</w:t>
                  </w:r>
                </w:p>
              </w:tc>
              <w:tc>
                <w:tcPr>
                  <w:tcW w:w="699"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735"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67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5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492"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7" w:hRule="atLeast"/>
                <w:jc w:val="center"/>
              </w:trPr>
              <w:tc>
                <w:tcPr>
                  <w:tcW w:w="263" w:type="pct"/>
                  <w:vMerge w:val="restart"/>
                  <w:vAlign w:val="center"/>
                </w:tcPr>
                <w:p>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eastAsia="宋体" w:cs="宋体"/>
                      <w:color w:val="000000" w:themeColor="text1"/>
                      <w:kern w:val="0"/>
                      <w:sz w:val="21"/>
                      <w:szCs w:val="21"/>
                      <w:lang w:eastAsia="zh-CN"/>
                      <w14:textFill>
                        <w14:solidFill>
                          <w14:schemeClr w14:val="tx1"/>
                        </w14:solidFill>
                      </w14:textFill>
                    </w:rPr>
                    <w:t>声</w:t>
                  </w:r>
                </w:p>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环境</w:t>
                  </w:r>
                </w:p>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107.986958</w:t>
                  </w:r>
                </w:p>
              </w:tc>
              <w:tc>
                <w:tcPr>
                  <w:tcW w:w="796" w:type="pct"/>
                  <w:vAlign w:val="center"/>
                </w:tcPr>
                <w:p>
                  <w:pPr>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35.617139</w:t>
                  </w:r>
                </w:p>
              </w:tc>
              <w:tc>
                <w:tcPr>
                  <w:tcW w:w="699"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杨家湾子</w:t>
                  </w:r>
                </w:p>
              </w:tc>
              <w:tc>
                <w:tcPr>
                  <w:tcW w:w="735" w:type="pct"/>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4</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户</w:t>
                  </w:r>
                </w:p>
              </w:tc>
              <w:tc>
                <w:tcPr>
                  <w:tcW w:w="672"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《声环境质量标准》（GB3096-2008）</w:t>
                  </w:r>
                  <w:r>
                    <w:rPr>
                      <w:rFonts w:hint="eastAsia" w:cs="宋体"/>
                      <w:color w:val="000000" w:themeColor="text1"/>
                      <w:kern w:val="0"/>
                      <w:sz w:val="21"/>
                      <w:szCs w:val="21"/>
                      <w:lang w:eastAsia="zh-CN"/>
                      <w14:textFill>
                        <w14:solidFill>
                          <w14:schemeClr w14:val="tx1"/>
                        </w14:solidFill>
                      </w14:textFill>
                    </w:rPr>
                    <w:t>二类标准</w:t>
                  </w:r>
                </w:p>
              </w:tc>
              <w:tc>
                <w:tcPr>
                  <w:tcW w:w="452"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W</w:t>
                  </w:r>
                </w:p>
              </w:tc>
              <w:tc>
                <w:tcPr>
                  <w:tcW w:w="492" w:type="pct"/>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107.984704</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35.584223</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左家岭</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107.97906</w:t>
                  </w:r>
                  <w:r>
                    <w:rPr>
                      <w:rFonts w:hint="eastAsia" w:cs="宋体"/>
                      <w:color w:val="000000" w:themeColor="text1"/>
                      <w:kern w:val="0"/>
                      <w:sz w:val="21"/>
                      <w:szCs w:val="21"/>
                      <w:lang w:val="en-US" w:eastAsia="zh-CN"/>
                      <w14:textFill>
                        <w14:solidFill>
                          <w14:schemeClr w14:val="tx1"/>
                        </w14:solidFill>
                      </w14:textFill>
                    </w:rPr>
                    <w:t>2</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35.576144</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寨河村</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8</w:t>
                  </w:r>
                  <w:r>
                    <w:rPr>
                      <w:rFonts w:hint="eastAsia" w:eastAsia="宋体" w:cs="宋体"/>
                      <w:color w:val="000000" w:themeColor="text1"/>
                      <w:kern w:val="0"/>
                      <w:sz w:val="21"/>
                      <w:szCs w:val="21"/>
                      <w:lang w:val="en-US" w:eastAsia="zh-CN"/>
                      <w14:textFill>
                        <w14:solidFill>
                          <w14:schemeClr w14:val="tx1"/>
                        </w14:solidFill>
                      </w14:textFill>
                    </w:rPr>
                    <w:t>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107.974684</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35.565029</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高庙</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6</w:t>
                  </w:r>
                  <w:r>
                    <w:rPr>
                      <w:rFonts w:hint="eastAsia" w:eastAsia="宋体" w:cs="宋体"/>
                      <w:color w:val="000000" w:themeColor="text1"/>
                      <w:kern w:val="0"/>
                      <w:sz w:val="21"/>
                      <w:szCs w:val="21"/>
                      <w:lang w:val="en-US" w:eastAsia="zh-CN"/>
                      <w14:textFill>
                        <w14:solidFill>
                          <w14:schemeClr w14:val="tx1"/>
                        </w14:solidFill>
                      </w14:textFill>
                    </w:rPr>
                    <w:t>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107.963665</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35.55135</w:t>
                  </w:r>
                  <w:r>
                    <w:rPr>
                      <w:rFonts w:hint="eastAsia" w:cs="宋体"/>
                      <w:color w:val="000000" w:themeColor="text1"/>
                      <w:kern w:val="0"/>
                      <w:sz w:val="21"/>
                      <w:szCs w:val="21"/>
                      <w:lang w:val="en-US" w:eastAsia="zh-CN"/>
                      <w14:textFill>
                        <w14:solidFill>
                          <w14:schemeClr w14:val="tx1"/>
                        </w14:solidFill>
                      </w14:textFill>
                    </w:rPr>
                    <w:t>0</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王台</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4</w:t>
                  </w:r>
                  <w:r>
                    <w:rPr>
                      <w:rFonts w:hint="eastAsia" w:eastAsia="宋体" w:cs="宋体"/>
                      <w:color w:val="000000" w:themeColor="text1"/>
                      <w:kern w:val="0"/>
                      <w:sz w:val="21"/>
                      <w:szCs w:val="21"/>
                      <w:lang w:val="en-US" w:eastAsia="zh-CN"/>
                      <w14:textFill>
                        <w14:solidFill>
                          <w14:schemeClr w14:val="tx1"/>
                        </w14:solidFill>
                      </w14:textFill>
                    </w:rPr>
                    <w:t>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107.956069</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35.542058</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王台村</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10户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107.944418</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35.526764</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小沟</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107.929719</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35.511986</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金钟村</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6户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107.922928</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35.50889</w:t>
                  </w:r>
                  <w:r>
                    <w:rPr>
                      <w:rFonts w:hint="eastAsia" w:cs="宋体"/>
                      <w:color w:val="000000" w:themeColor="text1"/>
                      <w:kern w:val="0"/>
                      <w:sz w:val="21"/>
                      <w:szCs w:val="21"/>
                      <w:lang w:val="en-US" w:eastAsia="zh-CN"/>
                      <w14:textFill>
                        <w14:solidFill>
                          <w14:schemeClr w14:val="tx1"/>
                        </w14:solidFill>
                      </w14:textFill>
                    </w:rPr>
                    <w:t>1</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槐树台</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W</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107.921844</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35.507168</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宁县人民医院</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医院</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E</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107.993845</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35.586133</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高家台</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13户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N</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108.028789</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35.594179</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庞西</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8户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N</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108.040881</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35.592918</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转咀子</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3户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S</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63"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87"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108.072016</w:t>
                  </w: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35.594007</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莲花池</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23户</w:t>
                  </w:r>
                </w:p>
              </w:tc>
              <w:tc>
                <w:tcPr>
                  <w:tcW w:w="672" w:type="pct"/>
                  <w:vMerge w:val="continue"/>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0" w:type="auto"/>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N</w:t>
                  </w:r>
                </w:p>
              </w:tc>
              <w:tc>
                <w:tcPr>
                  <w:tcW w:w="0" w:type="auto"/>
                  <w:vAlign w:val="center"/>
                </w:tcPr>
                <w:p>
                  <w:pPr>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s="宋体"/>
                      <w:color w:val="000000" w:themeColor="text1"/>
                      <w:kern w:val="0"/>
                      <w:sz w:val="21"/>
                      <w:szCs w:val="21"/>
                      <w:lang w:val="en-US" w:eastAsia="zh-CN"/>
                      <w14:textFill>
                        <w14:solidFill>
                          <w14:schemeClr w14:val="tx1"/>
                        </w14:solidFill>
                      </w14:textFill>
                    </w:rPr>
                    <w:t>20~50</w:t>
                  </w:r>
                </w:p>
              </w:tc>
            </w:tr>
          </w:tbl>
          <w:p>
            <w:pPr>
              <w:spacing w:line="360" w:lineRule="auto"/>
              <w:ind w:firstLine="471"/>
              <w:contextualSpacing/>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根据现场勘查，</w:t>
            </w:r>
            <w:r>
              <w:rPr>
                <w:rFonts w:hint="eastAsia"/>
                <w:color w:val="000000" w:themeColor="text1"/>
                <w:sz w:val="24"/>
                <w:szCs w:val="24"/>
                <w:lang w:eastAsia="zh-CN"/>
                <w14:textFill>
                  <w14:solidFill>
                    <w14:schemeClr w14:val="tx1"/>
                  </w14:solidFill>
                </w14:textFill>
              </w:rPr>
              <w:t>治导线</w:t>
            </w:r>
            <w:r>
              <w:rPr>
                <w:rFonts w:ascii="Times New Roman" w:hAnsi="Times New Roman" w:eastAsia="宋体"/>
                <w:color w:val="000000" w:themeColor="text1"/>
                <w:sz w:val="24"/>
                <w:szCs w:val="24"/>
                <w14:textFill>
                  <w14:solidFill>
                    <w14:schemeClr w14:val="tx1"/>
                  </w14:solidFill>
                </w14:textFill>
              </w:rPr>
              <w:t>沿</w:t>
            </w:r>
            <w:r>
              <w:rPr>
                <w:rFonts w:hint="eastAsia" w:ascii="Times New Roman" w:hAnsi="Times New Roman" w:eastAsia="宋体"/>
                <w:color w:val="000000" w:themeColor="text1"/>
                <w:sz w:val="24"/>
                <w:szCs w:val="24"/>
                <w:lang w:eastAsia="zh-CN"/>
                <w14:textFill>
                  <w14:solidFill>
                    <w14:schemeClr w14:val="tx1"/>
                  </w14:solidFill>
                </w14:textFill>
              </w:rPr>
              <w:t>河道</w:t>
            </w:r>
            <w:r>
              <w:rPr>
                <w:rFonts w:hint="eastAsia"/>
                <w:color w:val="000000" w:themeColor="text1"/>
                <w:sz w:val="24"/>
                <w:szCs w:val="24"/>
                <w:lang w:eastAsia="zh-CN"/>
                <w14:textFill>
                  <w14:solidFill>
                    <w14:schemeClr w14:val="tx1"/>
                  </w14:solidFill>
                </w14:textFill>
              </w:rPr>
              <w:t>布设</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项目建设和运行过程中需要特别关注的</w:t>
            </w:r>
            <w:r>
              <w:rPr>
                <w:rFonts w:hint="eastAsia"/>
                <w:color w:val="000000" w:themeColor="text1"/>
                <w:sz w:val="24"/>
                <w:szCs w:val="24"/>
                <w:lang w:eastAsia="zh-CN"/>
                <w14:textFill>
                  <w14:solidFill>
                    <w14:schemeClr w14:val="tx1"/>
                  </w14:solidFill>
                </w14:textFill>
              </w:rPr>
              <w:t>生态及其他</w:t>
            </w:r>
            <w:r>
              <w:rPr>
                <w:rFonts w:hint="eastAsia" w:ascii="Times New Roman" w:hAnsi="Times New Roman" w:eastAsia="宋体"/>
                <w:color w:val="000000" w:themeColor="text1"/>
                <w:sz w:val="24"/>
                <w:szCs w:val="24"/>
                <w14:textFill>
                  <w14:solidFill>
                    <w14:schemeClr w14:val="tx1"/>
                  </w14:solidFill>
                </w14:textFill>
              </w:rPr>
              <w:t>环境敏感点见</w:t>
            </w:r>
            <w:r>
              <w:rPr>
                <w:rFonts w:ascii="Times New Roman" w:hAnsi="Times New Roman" w:eastAsia="宋体"/>
                <w:color w:val="000000" w:themeColor="text1"/>
                <w:sz w:val="24"/>
                <w:szCs w:val="24"/>
                <w14:textFill>
                  <w14:solidFill>
                    <w14:schemeClr w14:val="tx1"/>
                  </w14:solidFill>
                </w14:textFill>
              </w:rPr>
              <w:t>表3</w:t>
            </w:r>
            <w:r>
              <w:rPr>
                <w:rFonts w:hint="eastAsia"/>
                <w:color w:val="000000" w:themeColor="text1"/>
                <w:sz w:val="24"/>
                <w:szCs w:val="24"/>
                <w:lang w:val="en-US" w:eastAsia="zh-CN"/>
                <w14:textFill>
                  <w14:solidFill>
                    <w14:schemeClr w14:val="tx1"/>
                  </w14:solidFill>
                </w14:textFill>
              </w:rPr>
              <w:t>-10。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表3-</w:t>
            </w:r>
            <w:r>
              <w:rPr>
                <w:rFonts w:hint="eastAsia" w:cs="Times New Roman"/>
                <w:b/>
                <w:bCs/>
                <w:color w:val="000000" w:themeColor="text1"/>
                <w:szCs w:val="21"/>
                <w:lang w:val="en-US" w:eastAsia="zh-CN"/>
                <w14:textFill>
                  <w14:solidFill>
                    <w14:schemeClr w14:val="tx1"/>
                  </w14:solidFill>
                </w14:textFill>
              </w:rPr>
              <w:t>10</w:t>
            </w:r>
            <w:r>
              <w:rPr>
                <w:rFonts w:hint="eastAsia" w:ascii="Times New Roman" w:hAnsi="Times New Roman" w:eastAsia="宋体" w:cs="Times New Roman"/>
                <w:b/>
                <w:bCs/>
                <w:color w:val="000000" w:themeColor="text1"/>
                <w:szCs w:val="21"/>
                <w14:textFill>
                  <w14:solidFill>
                    <w14:schemeClr w14:val="tx1"/>
                  </w14:solidFill>
                </w14:textFill>
              </w:rPr>
              <w:t xml:space="preserve">   本项目主要环境敏感保护目标及级别一览表</w:t>
            </w:r>
          </w:p>
          <w:tbl>
            <w:tblPr>
              <w:tblStyle w:val="21"/>
              <w:tblW w:w="51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8"/>
              <w:gridCol w:w="1252"/>
              <w:gridCol w:w="1252"/>
              <w:gridCol w:w="2205"/>
              <w:gridCol w:w="567"/>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864"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名称</w:t>
                  </w:r>
                </w:p>
              </w:tc>
              <w:tc>
                <w:tcPr>
                  <w:tcW w:w="815"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保护对象</w:t>
                  </w:r>
                </w:p>
              </w:tc>
              <w:tc>
                <w:tcPr>
                  <w:tcW w:w="815"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保护内容</w:t>
                  </w:r>
                </w:p>
              </w:tc>
              <w:tc>
                <w:tcPr>
                  <w:tcW w:w="1435"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环境功能区</w:t>
                  </w:r>
                </w:p>
              </w:tc>
              <w:tc>
                <w:tcPr>
                  <w:tcW w:w="369"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相对方位</w:t>
                  </w:r>
                </w:p>
              </w:tc>
              <w:tc>
                <w:tcPr>
                  <w:tcW w:w="699"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相对距离/m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864"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15"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815"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1435"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369"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c>
                <w:tcPr>
                  <w:tcW w:w="699" w:type="pct"/>
                  <w:vMerge w:val="continue"/>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864" w:type="pct"/>
                  <w:vMerge w:val="restar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地表水</w:t>
                  </w:r>
                </w:p>
              </w:tc>
              <w:tc>
                <w:tcPr>
                  <w:tcW w:w="815" w:type="pct"/>
                  <w:vAlign w:val="center"/>
                </w:tcPr>
                <w:p>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cs="宋体"/>
                      <w:color w:val="000000" w:themeColor="text1"/>
                      <w:kern w:val="0"/>
                      <w:sz w:val="21"/>
                      <w:szCs w:val="21"/>
                      <w:lang w:eastAsia="zh-CN"/>
                      <w14:textFill>
                        <w14:solidFill>
                          <w14:schemeClr w14:val="tx1"/>
                        </w14:solidFill>
                      </w14:textFill>
                    </w:rPr>
                    <w:t>湘乐川</w:t>
                  </w:r>
                </w:p>
              </w:tc>
              <w:tc>
                <w:tcPr>
                  <w:tcW w:w="815"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地表水水质</w:t>
                  </w:r>
                </w:p>
              </w:tc>
              <w:tc>
                <w:tcPr>
                  <w:tcW w:w="1435"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《地表水环境质量标准》（GB3838-2002）</w:t>
                  </w:r>
                  <w:r>
                    <w:rPr>
                      <w:rFonts w:hint="eastAsia" w:ascii="宋体" w:hAnsi="宋体" w:eastAsia="宋体" w:cs="宋体"/>
                      <w:color w:val="000000" w:themeColor="text1"/>
                      <w:sz w:val="21"/>
                      <w:szCs w:val="21"/>
                      <w14:textFill>
                        <w14:solidFill>
                          <w14:schemeClr w14:val="tx1"/>
                        </w14:solidFill>
                      </w14:textFill>
                    </w:rPr>
                    <w:t>Ⅲ</w:t>
                  </w:r>
                  <w:r>
                    <w:rPr>
                      <w:rFonts w:hint="eastAsia" w:ascii="Times New Roman" w:hAnsi="Times New Roman" w:eastAsia="宋体" w:cs="宋体"/>
                      <w:color w:val="000000" w:themeColor="text1"/>
                      <w:kern w:val="0"/>
                      <w:sz w:val="21"/>
                      <w:szCs w:val="21"/>
                      <w14:textFill>
                        <w14:solidFill>
                          <w14:schemeClr w14:val="tx1"/>
                        </w14:solidFill>
                      </w14:textFill>
                    </w:rPr>
                    <w:t>类标准</w:t>
                  </w:r>
                </w:p>
              </w:tc>
              <w:tc>
                <w:tcPr>
                  <w:tcW w:w="369" w:type="pct"/>
                  <w:vAlign w:val="center"/>
                </w:tcPr>
                <w:p>
                  <w:pPr>
                    <w:jc w:val="center"/>
                    <w:rPr>
                      <w:rFonts w:hint="eastAsia" w:ascii="Times New Roman" w:hAnsi="Times New Roman" w:eastAsia="宋体" w:cs="宋体"/>
                      <w:color w:val="000000" w:themeColor="text1"/>
                      <w:kern w:val="0"/>
                      <w:sz w:val="21"/>
                      <w:szCs w:val="21"/>
                      <w:lang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w:t>
                  </w:r>
                </w:p>
              </w:tc>
              <w:tc>
                <w:tcPr>
                  <w:tcW w:w="699" w:type="pct"/>
                  <w:vAlign w:val="center"/>
                </w:tcPr>
                <w:p>
                  <w:pPr>
                    <w:jc w:val="center"/>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864" w:type="pct"/>
                  <w:vMerge w:val="continue"/>
                  <w:vAlign w:val="center"/>
                </w:tcPr>
                <w:p>
                  <w:pPr>
                    <w:jc w:val="center"/>
                    <w:rPr>
                      <w:rFonts w:hint="eastAsia" w:ascii="Times New Roman" w:hAnsi="Times New Roman" w:eastAsia="宋体" w:cs="宋体"/>
                      <w:color w:val="000000" w:themeColor="text1"/>
                      <w:kern w:val="0"/>
                      <w:sz w:val="21"/>
                      <w:szCs w:val="21"/>
                      <w14:textFill>
                        <w14:solidFill>
                          <w14:schemeClr w14:val="tx1"/>
                        </w14:solidFill>
                      </w14:textFill>
                    </w:rPr>
                  </w:pPr>
                </w:p>
              </w:tc>
              <w:tc>
                <w:tcPr>
                  <w:tcW w:w="815" w:type="pct"/>
                  <w:vAlign w:val="center"/>
                </w:tcPr>
                <w:p>
                  <w:pPr>
                    <w:jc w:val="center"/>
                    <w:rPr>
                      <w:rFonts w:hint="eastAsia" w:cs="宋体"/>
                      <w:color w:val="000000" w:themeColor="text1"/>
                      <w:kern w:val="0"/>
                      <w:sz w:val="21"/>
                      <w:szCs w:val="21"/>
                      <w:lang w:eastAsia="zh-CN"/>
                      <w14:textFill>
                        <w14:solidFill>
                          <w14:schemeClr w14:val="tx1"/>
                        </w14:solidFill>
                      </w14:textFill>
                    </w:rPr>
                  </w:pPr>
                  <w:r>
                    <w:rPr>
                      <w:rFonts w:hint="eastAsia" w:cs="宋体"/>
                      <w:color w:val="000000" w:themeColor="text1"/>
                      <w:kern w:val="0"/>
                      <w:sz w:val="21"/>
                      <w:szCs w:val="21"/>
                      <w:lang w:eastAsia="zh-CN"/>
                      <w14:textFill>
                        <w14:solidFill>
                          <w14:schemeClr w14:val="tx1"/>
                        </w14:solidFill>
                      </w14:textFill>
                    </w:rPr>
                    <w:t>城北河</w:t>
                  </w:r>
                </w:p>
              </w:tc>
              <w:tc>
                <w:tcPr>
                  <w:tcW w:w="815"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地表水水质</w:t>
                  </w:r>
                </w:p>
              </w:tc>
              <w:tc>
                <w:tcPr>
                  <w:tcW w:w="1435"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《地表水环境质量标准》（GB3838-2002）</w:t>
                  </w:r>
                  <w:r>
                    <w:rPr>
                      <w:rFonts w:hint="eastAsia" w:ascii="宋体" w:hAnsi="宋体" w:eastAsia="宋体" w:cs="宋体"/>
                      <w:color w:val="000000" w:themeColor="text1"/>
                      <w:sz w:val="21"/>
                      <w:szCs w:val="21"/>
                      <w14:textFill>
                        <w14:solidFill>
                          <w14:schemeClr w14:val="tx1"/>
                        </w14:solidFill>
                      </w14:textFill>
                    </w:rPr>
                    <w:t>Ⅲ</w:t>
                  </w:r>
                  <w:r>
                    <w:rPr>
                      <w:rFonts w:hint="eastAsia" w:ascii="Times New Roman" w:hAnsi="Times New Roman" w:eastAsia="宋体" w:cs="宋体"/>
                      <w:color w:val="000000" w:themeColor="text1"/>
                      <w:kern w:val="0"/>
                      <w:sz w:val="21"/>
                      <w:szCs w:val="21"/>
                      <w14:textFill>
                        <w14:solidFill>
                          <w14:schemeClr w14:val="tx1"/>
                        </w14:solidFill>
                      </w14:textFill>
                    </w:rPr>
                    <w:t>类标准</w:t>
                  </w:r>
                </w:p>
              </w:tc>
              <w:tc>
                <w:tcPr>
                  <w:tcW w:w="369"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w:t>
                  </w:r>
                </w:p>
              </w:tc>
              <w:tc>
                <w:tcPr>
                  <w:tcW w:w="699" w:type="pct"/>
                  <w:vAlign w:val="center"/>
                </w:tcPr>
                <w:p>
                  <w:pPr>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864" w:type="pct"/>
                  <w:vMerge w:val="restart"/>
                  <w:vAlign w:val="center"/>
                </w:tcPr>
                <w:p>
                  <w:pPr>
                    <w:contextualSpacing/>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生态系统</w:t>
                  </w:r>
                </w:p>
              </w:tc>
              <w:tc>
                <w:tcPr>
                  <w:tcW w:w="1630" w:type="pct"/>
                  <w:gridSpan w:val="2"/>
                  <w:vAlign w:val="center"/>
                </w:tcPr>
                <w:p>
                  <w:pPr>
                    <w:pStyle w:val="10"/>
                    <w:jc w:val="center"/>
                    <w:rPr>
                      <w:rFonts w:hint="eastAsia"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河道沿岸</w:t>
                  </w:r>
                  <w:r>
                    <w:rPr>
                      <w:rFonts w:hint="eastAsia" w:ascii="Times New Roman" w:hAnsi="Times New Roman" w:eastAsia="宋体"/>
                      <w:color w:val="000000" w:themeColor="text1"/>
                      <w:sz w:val="21"/>
                      <w:szCs w:val="21"/>
                      <w14:textFill>
                        <w14:solidFill>
                          <w14:schemeClr w14:val="tx1"/>
                        </w14:solidFill>
                      </w14:textFill>
                    </w:rPr>
                    <w:t>植被、景观</w:t>
                  </w:r>
                </w:p>
              </w:tc>
              <w:tc>
                <w:tcPr>
                  <w:tcW w:w="2504" w:type="pct"/>
                  <w:gridSpan w:val="3"/>
                  <w:vAlign w:val="center"/>
                </w:tcPr>
                <w:p>
                  <w:pPr>
                    <w:tabs>
                      <w:tab w:val="left" w:pos="222"/>
                    </w:tabs>
                    <w:jc w:val="center"/>
                    <w:rPr>
                      <w:rFonts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项目地</w:t>
                  </w:r>
                  <w:r>
                    <w:rPr>
                      <w:rFonts w:hint="eastAsia" w:ascii="Times New Roman" w:hAnsi="Times New Roman" w:eastAsia="宋体"/>
                      <w:color w:val="000000" w:themeColor="text1"/>
                      <w:sz w:val="21"/>
                      <w:szCs w:val="21"/>
                      <w14:textFill>
                        <w14:solidFill>
                          <w14:schemeClr w14:val="tx1"/>
                        </w14:solidFill>
                      </w14:textFill>
                    </w:rPr>
                    <w:t>两侧200m范围内区域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864" w:type="pct"/>
                  <w:vMerge w:val="continue"/>
                  <w:vAlign w:val="center"/>
                </w:tcPr>
                <w:p>
                  <w:pPr>
                    <w:contextualSpacing/>
                    <w:jc w:val="center"/>
                    <w:rPr>
                      <w:rFonts w:hint="eastAsia" w:ascii="Times New Roman" w:hAnsi="Times New Roman" w:eastAsia="宋体"/>
                      <w:color w:val="000000" w:themeColor="text1"/>
                      <w:sz w:val="21"/>
                      <w:szCs w:val="21"/>
                      <w14:textFill>
                        <w14:solidFill>
                          <w14:schemeClr w14:val="tx1"/>
                        </w14:solidFill>
                      </w14:textFill>
                    </w:rPr>
                  </w:pPr>
                </w:p>
              </w:tc>
              <w:tc>
                <w:tcPr>
                  <w:tcW w:w="1630" w:type="pct"/>
                  <w:gridSpan w:val="2"/>
                  <w:vAlign w:val="center"/>
                </w:tcPr>
                <w:p>
                  <w:pPr>
                    <w:pStyle w:val="1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湘乐川、城北河水生生物</w:t>
                  </w:r>
                </w:p>
              </w:tc>
              <w:tc>
                <w:tcPr>
                  <w:tcW w:w="2504" w:type="pct"/>
                  <w:gridSpan w:val="3"/>
                  <w:vAlign w:val="center"/>
                </w:tcPr>
                <w:p>
                  <w:pPr>
                    <w:tabs>
                      <w:tab w:val="left" w:pos="222"/>
                    </w:tabs>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城北河、湘乐川</w:t>
                  </w:r>
                </w:p>
              </w:tc>
            </w:tr>
          </w:tbl>
          <w:p>
            <w:pPr>
              <w:adjustRightInd w:val="0"/>
              <w:snapToGrid w:val="0"/>
              <w:ind w:firstLine="480" w:firstLineChars="200"/>
              <w:rPr>
                <w:rFonts w:ascii="宋体" w:hAnsi="宋体" w:cs="宋体"/>
                <w:color w:val="000000" w:themeColor="text1"/>
                <w:kern w:val="0"/>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noWrap w:val="0"/>
            <w:vAlign w:val="center"/>
          </w:tcPr>
          <w:p>
            <w:pPr>
              <w:adjustRightInd w:val="0"/>
              <w:snapToGrid w:val="0"/>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评价</w:t>
            </w:r>
          </w:p>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标准</w:t>
            </w:r>
          </w:p>
        </w:tc>
        <w:tc>
          <w:tcPr>
            <w:tcW w:w="8253" w:type="dxa"/>
            <w:noWrap w:val="0"/>
            <w:vAlign w:val="center"/>
          </w:tcPr>
          <w:p>
            <w:pPr>
              <w:spacing w:line="360" w:lineRule="auto"/>
              <w:rPr>
                <w:rFonts w:hint="eastAsia" w:ascii="Times New Roman" w:hAnsi="Times New Roman" w:eastAsia="宋体"/>
                <w:b/>
                <w:bCs/>
                <w:color w:val="000000" w:themeColor="text1"/>
                <w:kern w:val="0"/>
                <w:sz w:val="24"/>
                <w:szCs w:val="24"/>
                <w:lang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1、</w:t>
            </w:r>
            <w:r>
              <w:rPr>
                <w:rFonts w:hint="eastAsia" w:ascii="Times New Roman" w:hAnsi="Times New Roman" w:eastAsia="宋体"/>
                <w:b/>
                <w:bCs/>
                <w:color w:val="000000" w:themeColor="text1"/>
                <w:kern w:val="0"/>
                <w:sz w:val="24"/>
                <w:szCs w:val="24"/>
                <w:lang w:eastAsia="zh-CN"/>
                <w14:textFill>
                  <w14:solidFill>
                    <w14:schemeClr w14:val="tx1"/>
                  </w14:solidFill>
                </w14:textFill>
              </w:rPr>
              <w:t>质量标准</w:t>
            </w:r>
          </w:p>
          <w:p>
            <w:pPr>
              <w:spacing w:line="360" w:lineRule="auto"/>
              <w:ind w:firstLine="482" w:firstLineChars="200"/>
              <w:rPr>
                <w:rFonts w:ascii="Times New Roman" w:hAnsi="Times New Roman" w:eastAsia="宋体"/>
                <w:b/>
                <w:bCs/>
                <w:color w:val="000000" w:themeColor="text1"/>
                <w:kern w:val="0"/>
                <w:sz w:val="24"/>
                <w:szCs w:val="24"/>
                <w14:textFill>
                  <w14:solidFill>
                    <w14:schemeClr w14:val="tx1"/>
                  </w14:solidFill>
                </w14:textFill>
              </w:rPr>
            </w:pPr>
            <w:r>
              <w:rPr>
                <w:rFonts w:hint="eastAsia"/>
                <w:b/>
                <w:bCs/>
                <w:color w:val="000000" w:themeColor="text1"/>
                <w:kern w:val="0"/>
                <w:sz w:val="24"/>
                <w:szCs w:val="24"/>
                <w:lang w:eastAsia="zh-CN"/>
                <w14:textFill>
                  <w14:solidFill>
                    <w14:schemeClr w14:val="tx1"/>
                  </w14:solidFill>
                </w14:textFill>
              </w:rPr>
              <w:t>（</w:t>
            </w:r>
            <w:r>
              <w:rPr>
                <w:rFonts w:hint="eastAsia"/>
                <w:b/>
                <w:bCs/>
                <w:color w:val="000000" w:themeColor="text1"/>
                <w:kern w:val="0"/>
                <w:sz w:val="24"/>
                <w:szCs w:val="24"/>
                <w:lang w:val="en-US" w:eastAsia="zh-CN"/>
                <w14:textFill>
                  <w14:solidFill>
                    <w14:schemeClr w14:val="tx1"/>
                  </w14:solidFill>
                </w14:textFill>
              </w:rPr>
              <w:t>1</w:t>
            </w:r>
            <w:r>
              <w:rPr>
                <w:rFonts w:hint="eastAsia"/>
                <w:b/>
                <w:bCs/>
                <w:color w:val="000000" w:themeColor="text1"/>
                <w:kern w:val="0"/>
                <w:sz w:val="24"/>
                <w:szCs w:val="24"/>
                <w:lang w:eastAsia="zh-CN"/>
                <w14:textFill>
                  <w14:solidFill>
                    <w14:schemeClr w14:val="tx1"/>
                  </w14:solidFill>
                </w14:textFill>
              </w:rPr>
              <w:t>）</w:t>
            </w:r>
            <w:r>
              <w:rPr>
                <w:rFonts w:ascii="Times New Roman" w:hAnsi="Times New Roman" w:eastAsia="宋体"/>
                <w:b/>
                <w:bCs/>
                <w:color w:val="000000" w:themeColor="text1"/>
                <w:kern w:val="0"/>
                <w:sz w:val="24"/>
                <w:szCs w:val="24"/>
                <w14:textFill>
                  <w14:solidFill>
                    <w14:schemeClr w14:val="tx1"/>
                  </w14:solidFill>
                </w14:textFill>
              </w:rPr>
              <w:t>环境空气质量标准</w:t>
            </w:r>
          </w:p>
          <w:p>
            <w:pPr>
              <w:spacing w:line="360" w:lineRule="auto"/>
              <w:ind w:firstLine="480" w:firstLineChars="200"/>
              <w:rPr>
                <w:rFonts w:ascii="Times New Roman" w:hAnsi="Times New Roman" w:eastAsia="宋体"/>
                <w:color w:val="000000" w:themeColor="text1"/>
                <w:kern w:val="0"/>
                <w:sz w:val="24"/>
                <w:szCs w:val="24"/>
                <w14:textFill>
                  <w14:solidFill>
                    <w14:schemeClr w14:val="tx1"/>
                  </w14:solidFill>
                </w14:textFill>
              </w:rPr>
            </w:pPr>
            <w:r>
              <w:rPr>
                <w:rFonts w:ascii="Times New Roman" w:hAnsi="Times New Roman" w:eastAsia="宋体"/>
                <w:color w:val="000000" w:themeColor="text1"/>
                <w:kern w:val="0"/>
                <w:sz w:val="24"/>
                <w:szCs w:val="24"/>
                <w14:textFill>
                  <w14:solidFill>
                    <w14:schemeClr w14:val="tx1"/>
                  </w14:solidFill>
                </w14:textFill>
              </w:rPr>
              <w:t>环境空气质量现状执行《环境空气质量标准》</w:t>
            </w:r>
            <w:r>
              <w:rPr>
                <w:rFonts w:hint="eastAsia" w:ascii="Times New Roman" w:hAnsi="Times New Roman" w:eastAsia="宋体"/>
                <w:color w:val="000000" w:themeColor="text1"/>
                <w:kern w:val="0"/>
                <w:sz w:val="24"/>
                <w:szCs w:val="24"/>
                <w14:textFill>
                  <w14:solidFill>
                    <w14:schemeClr w14:val="tx1"/>
                  </w14:solidFill>
                </w14:textFill>
              </w:rPr>
              <w:t>（</w:t>
            </w:r>
            <w:r>
              <w:rPr>
                <w:rFonts w:ascii="Times New Roman" w:hAnsi="Times New Roman" w:eastAsia="宋体"/>
                <w:color w:val="000000" w:themeColor="text1"/>
                <w:kern w:val="0"/>
                <w:sz w:val="24"/>
                <w:szCs w:val="24"/>
                <w14:textFill>
                  <w14:solidFill>
                    <w14:schemeClr w14:val="tx1"/>
                  </w14:solidFill>
                </w14:textFill>
              </w:rPr>
              <w:t>GB3095-</w:t>
            </w:r>
            <w:r>
              <w:rPr>
                <w:rFonts w:hint="eastAsia" w:ascii="Times New Roman" w:hAnsi="Times New Roman" w:eastAsia="宋体"/>
                <w:color w:val="000000" w:themeColor="text1"/>
                <w:kern w:val="0"/>
                <w:sz w:val="24"/>
                <w:szCs w:val="24"/>
                <w14:textFill>
                  <w14:solidFill>
                    <w14:schemeClr w14:val="tx1"/>
                  </w14:solidFill>
                </w14:textFill>
              </w:rPr>
              <w:t>2012）</w:t>
            </w:r>
            <w:r>
              <w:rPr>
                <w:rFonts w:ascii="Times New Roman" w:hAnsi="Times New Roman" w:eastAsia="宋体"/>
                <w:color w:val="000000" w:themeColor="text1"/>
                <w:kern w:val="0"/>
                <w:sz w:val="24"/>
                <w:szCs w:val="24"/>
                <w14:textFill>
                  <w14:solidFill>
                    <w14:schemeClr w14:val="tx1"/>
                  </w14:solidFill>
                </w14:textFill>
              </w:rPr>
              <w:t>中的二级标准；各项污染物浓度限值见表</w:t>
            </w:r>
            <w:r>
              <w:rPr>
                <w:rFonts w:hint="eastAsia"/>
                <w:color w:val="000000" w:themeColor="text1"/>
                <w:kern w:val="0"/>
                <w:sz w:val="24"/>
                <w:szCs w:val="24"/>
                <w:lang w:val="en-US" w:eastAsia="zh-CN"/>
                <w14:textFill>
                  <w14:solidFill>
                    <w14:schemeClr w14:val="tx1"/>
                  </w14:solidFill>
                </w14:textFill>
              </w:rPr>
              <w:t>3-11</w:t>
            </w:r>
            <w:r>
              <w:rPr>
                <w:rFonts w:ascii="Times New Roman" w:hAnsi="Times New Roman" w:eastAsia="宋体"/>
                <w:color w:val="000000" w:themeColor="text1"/>
                <w:kern w:val="0"/>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w:t>
            </w:r>
            <w:r>
              <w:rPr>
                <w:rFonts w:hint="eastAsia" w:cs="Times New Roman"/>
                <w:b/>
                <w:bCs/>
                <w:color w:val="000000" w:themeColor="text1"/>
                <w:szCs w:val="21"/>
                <w:lang w:val="en-US" w:eastAsia="zh-CN"/>
                <w14:textFill>
                  <w14:solidFill>
                    <w14:schemeClr w14:val="tx1"/>
                  </w14:solidFill>
                </w14:textFill>
              </w:rPr>
              <w:t>11</w:t>
            </w:r>
            <w:r>
              <w:rPr>
                <w:rFonts w:hint="eastAsia" w:ascii="Times New Roman" w:hAnsi="Times New Roman" w:eastAsia="宋体" w:cs="Times New Roman"/>
                <w:b/>
                <w:bCs/>
                <w:color w:val="000000" w:themeColor="text1"/>
                <w:szCs w:val="21"/>
                <w14:textFill>
                  <w14:solidFill>
                    <w14:schemeClr w14:val="tx1"/>
                  </w14:solidFill>
                </w14:textFill>
              </w:rPr>
              <w:t xml:space="preserve">  环境空气二级标准污染物浓度限值</w:t>
            </w:r>
          </w:p>
          <w:tbl>
            <w:tblPr>
              <w:tblStyle w:val="21"/>
              <w:tblW w:w="76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2285"/>
              <w:gridCol w:w="1992"/>
              <w:gridCol w:w="13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04"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污染物</w:t>
                  </w: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取值时间</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浓度限值</w:t>
                  </w:r>
                </w:p>
              </w:tc>
              <w:tc>
                <w:tcPr>
                  <w:tcW w:w="1397"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restart"/>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SO</w:t>
                  </w:r>
                  <w:r>
                    <w:rPr>
                      <w:rFonts w:ascii="Times New Roman" w:hAnsi="Times New Roman" w:eastAsia="宋体"/>
                      <w:color w:val="000000" w:themeColor="text1"/>
                      <w:sz w:val="21"/>
                      <w:szCs w:val="21"/>
                      <w:vertAlign w:val="subscript"/>
                      <w14:textFill>
                        <w14:solidFill>
                          <w14:schemeClr w14:val="tx1"/>
                        </w14:solidFill>
                      </w14:textFill>
                    </w:rPr>
                    <w:t>2</w:t>
                  </w: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年</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60</w:t>
                  </w:r>
                </w:p>
              </w:tc>
              <w:tc>
                <w:tcPr>
                  <w:tcW w:w="1397" w:type="dxa"/>
                  <w:vMerge w:val="restart"/>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u</w:t>
                  </w:r>
                  <w:r>
                    <w:rPr>
                      <w:rFonts w:ascii="Times New Roman" w:hAnsi="Times New Roman" w:eastAsia="宋体"/>
                      <w:color w:val="000000" w:themeColor="text1"/>
                      <w:sz w:val="21"/>
                      <w:szCs w:val="21"/>
                      <w14:textFill>
                        <w14:solidFill>
                          <w14:schemeClr w14:val="tx1"/>
                        </w14:solidFill>
                      </w14:textFill>
                    </w:rPr>
                    <w:t>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150</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1小时平均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500</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restart"/>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PM</w:t>
                  </w:r>
                  <w:r>
                    <w:rPr>
                      <w:rFonts w:ascii="Times New Roman" w:hAnsi="Times New Roman" w:eastAsia="宋体"/>
                      <w:color w:val="000000" w:themeColor="text1"/>
                      <w:sz w:val="21"/>
                      <w:szCs w:val="21"/>
                      <w:vertAlign w:val="subscript"/>
                      <w14:textFill>
                        <w14:solidFill>
                          <w14:schemeClr w14:val="tx1"/>
                        </w14:solidFill>
                      </w14:textFill>
                    </w:rPr>
                    <w:t>10</w:t>
                  </w: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年</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70</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 xml:space="preserve">  </w:t>
                  </w: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150</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restart"/>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PM</w:t>
                  </w:r>
                  <w:r>
                    <w:rPr>
                      <w:rFonts w:hint="eastAsia" w:ascii="Times New Roman" w:hAnsi="Times New Roman" w:eastAsia="宋体"/>
                      <w:color w:val="000000" w:themeColor="text1"/>
                      <w:sz w:val="21"/>
                      <w:szCs w:val="21"/>
                      <w:vertAlign w:val="subscript"/>
                      <w14:textFill>
                        <w14:solidFill>
                          <w14:schemeClr w14:val="tx1"/>
                        </w14:solidFill>
                      </w14:textFill>
                    </w:rPr>
                    <w:t>2.5</w:t>
                  </w: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年</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35</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75</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restart"/>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NO</w:t>
                  </w:r>
                  <w:r>
                    <w:rPr>
                      <w:rFonts w:ascii="Times New Roman" w:hAnsi="Times New Roman" w:eastAsia="宋体"/>
                      <w:color w:val="000000" w:themeColor="text1"/>
                      <w:sz w:val="21"/>
                      <w:szCs w:val="21"/>
                      <w:vertAlign w:val="subscript"/>
                      <w14:textFill>
                        <w14:solidFill>
                          <w14:schemeClr w14:val="tx1"/>
                        </w14:solidFill>
                      </w14:textFill>
                    </w:rPr>
                    <w:t>2</w:t>
                  </w: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年</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40</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80</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1小时平均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200</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restart"/>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O</w:t>
                  </w:r>
                  <w:r>
                    <w:rPr>
                      <w:rFonts w:hint="eastAsia" w:ascii="Times New Roman" w:hAnsi="Times New Roman" w:eastAsia="宋体"/>
                      <w:color w:val="000000" w:themeColor="text1"/>
                      <w:sz w:val="21"/>
                      <w:szCs w:val="21"/>
                      <w:vertAlign w:val="subscript"/>
                      <w14:textFill>
                        <w14:solidFill>
                          <w14:schemeClr w14:val="tx1"/>
                        </w14:solidFill>
                      </w14:textFill>
                    </w:rPr>
                    <w:t>3</w:t>
                  </w: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1小时平均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200</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160（8h）</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04" w:type="dxa"/>
                  <w:vMerge w:val="restart"/>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CO</w:t>
                  </w: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1小时平均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w:t>
                  </w:r>
                </w:p>
              </w:tc>
              <w:tc>
                <w:tcPr>
                  <w:tcW w:w="1397" w:type="dxa"/>
                  <w:vMerge w:val="restart"/>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m</w:t>
                  </w:r>
                  <w:r>
                    <w:rPr>
                      <w:rFonts w:ascii="Times New Roman" w:hAnsi="Times New Roman" w:eastAsia="宋体"/>
                      <w:color w:val="000000" w:themeColor="text1"/>
                      <w:sz w:val="21"/>
                      <w:szCs w:val="21"/>
                      <w14:textFill>
                        <w14:solidFill>
                          <w14:schemeClr w14:val="tx1"/>
                        </w14:solidFill>
                      </w14:textFill>
                    </w:rPr>
                    <w:t>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04"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c>
                <w:tcPr>
                  <w:tcW w:w="2285"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24小时</w:t>
                  </w:r>
                  <w:r>
                    <w:rPr>
                      <w:rFonts w:ascii="Times New Roman" w:hAnsi="Times New Roman" w:eastAsia="宋体"/>
                      <w:color w:val="000000" w:themeColor="text1"/>
                      <w:sz w:val="21"/>
                      <w:szCs w:val="21"/>
                      <w14:textFill>
                        <w14:solidFill>
                          <w14:schemeClr w14:val="tx1"/>
                        </w14:solidFill>
                      </w14:textFill>
                    </w:rPr>
                    <w:t>平均</w:t>
                  </w:r>
                </w:p>
              </w:tc>
              <w:tc>
                <w:tcPr>
                  <w:tcW w:w="1992" w:type="dxa"/>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w:t>
                  </w:r>
                </w:p>
              </w:tc>
              <w:tc>
                <w:tcPr>
                  <w:tcW w:w="1397" w:type="dxa"/>
                  <w:vMerge w:val="continue"/>
                  <w:tcBorders>
                    <w:tl2br w:val="nil"/>
                    <w:tr2bl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eastAsia="宋体"/>
                <w:b/>
                <w:bCs/>
                <w:color w:val="000000" w:themeColor="text1"/>
                <w:kern w:val="0"/>
                <w:sz w:val="24"/>
                <w:szCs w:val="24"/>
                <w14:textFill>
                  <w14:solidFill>
                    <w14:schemeClr w14:val="tx1"/>
                  </w14:solidFill>
                </w14:textFill>
              </w:rPr>
            </w:pPr>
            <w:r>
              <w:rPr>
                <w:rFonts w:hint="eastAsia"/>
                <w:b/>
                <w:bCs/>
                <w:color w:val="000000" w:themeColor="text1"/>
                <w:kern w:val="0"/>
                <w:sz w:val="24"/>
                <w:szCs w:val="24"/>
                <w:lang w:eastAsia="zh-CN"/>
                <w14:textFill>
                  <w14:solidFill>
                    <w14:schemeClr w14:val="tx1"/>
                  </w14:solidFill>
                </w14:textFill>
              </w:rPr>
              <w:t>（</w:t>
            </w:r>
            <w:r>
              <w:rPr>
                <w:rFonts w:hint="eastAsia"/>
                <w:b/>
                <w:bCs/>
                <w:color w:val="000000" w:themeColor="text1"/>
                <w:kern w:val="0"/>
                <w:sz w:val="24"/>
                <w:szCs w:val="24"/>
                <w:lang w:val="en-US" w:eastAsia="zh-CN"/>
                <w14:textFill>
                  <w14:solidFill>
                    <w14:schemeClr w14:val="tx1"/>
                  </w14:solidFill>
                </w14:textFill>
              </w:rPr>
              <w:t>2</w:t>
            </w:r>
            <w:r>
              <w:rPr>
                <w:rFonts w:hint="eastAsia"/>
                <w:b/>
                <w:bCs/>
                <w:color w:val="000000" w:themeColor="text1"/>
                <w:kern w:val="0"/>
                <w:sz w:val="24"/>
                <w:szCs w:val="24"/>
                <w:lang w:eastAsia="zh-CN"/>
                <w14:textFill>
                  <w14:solidFill>
                    <w14:schemeClr w14:val="tx1"/>
                  </w14:solidFill>
                </w14:textFill>
              </w:rPr>
              <w:t>）</w:t>
            </w:r>
            <w:r>
              <w:rPr>
                <w:rFonts w:ascii="Times New Roman" w:hAnsi="Times New Roman" w:eastAsia="宋体"/>
                <w:b/>
                <w:bCs/>
                <w:color w:val="000000" w:themeColor="text1"/>
                <w:kern w:val="0"/>
                <w:sz w:val="24"/>
                <w:szCs w:val="24"/>
                <w14:textFill>
                  <w14:solidFill>
                    <w14:schemeClr w14:val="tx1"/>
                  </w14:solidFill>
                </w14:textFill>
              </w:rPr>
              <w:t>水质评价标准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olor w:val="000000" w:themeColor="text1"/>
                <w:kern w:val="0"/>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拟建地项目地</w:t>
            </w:r>
            <w:r>
              <w:rPr>
                <w:rFonts w:ascii="Times New Roman" w:hAnsi="Times New Roman" w:eastAsia="宋体"/>
                <w:color w:val="000000" w:themeColor="text1"/>
                <w:kern w:val="0"/>
                <w:sz w:val="24"/>
                <w:szCs w:val="24"/>
                <w14:textFill>
                  <w14:solidFill>
                    <w14:schemeClr w14:val="tx1"/>
                  </w14:solidFill>
                </w14:textFill>
              </w:rPr>
              <w:t>表水环境质量评价执行《地表水环境质量标准》（GB3838-2002）</w:t>
            </w:r>
            <w:r>
              <w:rPr>
                <w:rFonts w:hint="eastAsia" w:ascii="宋体" w:hAnsi="宋体" w:eastAsia="宋体" w:cs="宋体"/>
                <w:color w:val="000000" w:themeColor="text1"/>
                <w:kern w:val="0"/>
                <w:sz w:val="24"/>
                <w:szCs w:val="24"/>
                <w14:textFill>
                  <w14:solidFill>
                    <w14:schemeClr w14:val="tx1"/>
                  </w14:solidFill>
                </w14:textFill>
              </w:rPr>
              <w:t>Ⅲ</w:t>
            </w:r>
            <w:r>
              <w:rPr>
                <w:rFonts w:ascii="Times New Roman" w:hAnsi="Times New Roman" w:eastAsia="宋体"/>
                <w:color w:val="000000" w:themeColor="text1"/>
                <w:kern w:val="0"/>
                <w:sz w:val="24"/>
                <w:szCs w:val="24"/>
                <w14:textFill>
                  <w14:solidFill>
                    <w14:schemeClr w14:val="tx1"/>
                  </w14:solidFill>
                </w14:textFill>
              </w:rPr>
              <w:t>类，具体标准限值见下表。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 xml:space="preserve">  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w:t>
            </w:r>
            <w:r>
              <w:rPr>
                <w:rFonts w:hint="eastAsia" w:cs="Times New Roman"/>
                <w:b/>
                <w:bCs/>
                <w:color w:val="000000" w:themeColor="text1"/>
                <w:szCs w:val="21"/>
                <w:lang w:val="en-US" w:eastAsia="zh-CN"/>
                <w14:textFill>
                  <w14:solidFill>
                    <w14:schemeClr w14:val="tx1"/>
                  </w14:solidFill>
                </w14:textFill>
              </w:rPr>
              <w:t>12</w:t>
            </w:r>
            <w:r>
              <w:rPr>
                <w:rFonts w:hint="eastAsia" w:ascii="Times New Roman" w:hAnsi="Times New Roman" w:eastAsia="宋体" w:cs="Times New Roman"/>
                <w:b/>
                <w:bCs/>
                <w:color w:val="000000" w:themeColor="text1"/>
                <w:szCs w:val="21"/>
                <w14:textFill>
                  <w14:solidFill>
                    <w14:schemeClr w14:val="tx1"/>
                  </w14:solidFill>
                </w14:textFill>
              </w:rPr>
              <w:t xml:space="preserve">      地表水环境质量标准    单位：mg/L（pH除外）</w:t>
            </w:r>
          </w:p>
          <w:tbl>
            <w:tblPr>
              <w:tblStyle w:val="21"/>
              <w:tblW w:w="7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2270"/>
              <w:gridCol w:w="1324"/>
              <w:gridCol w:w="650"/>
              <w:gridCol w:w="1279"/>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61" w:type="dxa"/>
                  <w:vMerge w:val="restart"/>
                  <w:tcBorders>
                    <w:top w:val="single" w:color="auto" w:sz="12" w:space="0"/>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序号</w:t>
                  </w:r>
                </w:p>
              </w:tc>
              <w:tc>
                <w:tcPr>
                  <w:tcW w:w="2270" w:type="dxa"/>
                  <w:vMerge w:val="restart"/>
                  <w:tcBorders>
                    <w:top w:val="single" w:color="auto" w:sz="12" w:space="0"/>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项目</w:t>
                  </w:r>
                </w:p>
              </w:tc>
              <w:tc>
                <w:tcPr>
                  <w:tcW w:w="1324" w:type="dxa"/>
                  <w:tcBorders>
                    <w:top w:val="single" w:color="auto" w:sz="12" w:space="0"/>
                  </w:tcBorders>
                  <w:vAlign w:val="center"/>
                </w:tcPr>
                <w:p>
                  <w:pPr>
                    <w:snapToGrid w:val="0"/>
                    <w:jc w:val="center"/>
                    <w:rPr>
                      <w:rFonts w:ascii="Times New Roman" w:hAnsi="Times New Roman" w:eastAsia="宋体" w:cs="宋体"/>
                      <w:color w:val="000000" w:themeColor="text1"/>
                      <w:sz w:val="21"/>
                      <w:szCs w:val="21"/>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标准</w:t>
                  </w:r>
                </w:p>
              </w:tc>
              <w:tc>
                <w:tcPr>
                  <w:tcW w:w="650" w:type="dxa"/>
                  <w:vMerge w:val="restart"/>
                  <w:tcBorders>
                    <w:top w:val="single" w:color="auto" w:sz="12" w:space="0"/>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序号</w:t>
                  </w:r>
                </w:p>
              </w:tc>
              <w:tc>
                <w:tcPr>
                  <w:tcW w:w="1279" w:type="dxa"/>
                  <w:vMerge w:val="restart"/>
                  <w:tcBorders>
                    <w:top w:val="single" w:color="auto" w:sz="12" w:space="0"/>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项目</w:t>
                  </w:r>
                </w:p>
              </w:tc>
              <w:tc>
                <w:tcPr>
                  <w:tcW w:w="1633" w:type="dxa"/>
                  <w:tcBorders>
                    <w:top w:val="single" w:color="auto" w:sz="12" w:space="0"/>
                    <w:righ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vMerge w:val="continue"/>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p>
              </w:tc>
              <w:tc>
                <w:tcPr>
                  <w:tcW w:w="2270" w:type="dxa"/>
                  <w:vMerge w:val="continue"/>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p>
              </w:tc>
              <w:tc>
                <w:tcPr>
                  <w:tcW w:w="1324" w:type="dxa"/>
                  <w:vAlign w:val="center"/>
                </w:tcPr>
                <w:p>
                  <w:pPr>
                    <w:snapToGrid w:val="0"/>
                    <w:jc w:val="center"/>
                    <w:rPr>
                      <w:rFonts w:ascii="Times New Roman" w:hAnsi="Times New Roman"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Ⅲ</w:t>
                  </w:r>
                  <w:r>
                    <w:rPr>
                      <w:rFonts w:ascii="Times New Roman" w:hAnsi="Times New Roman" w:eastAsia="宋体" w:cs="宋体"/>
                      <w:color w:val="000000" w:themeColor="text1"/>
                      <w:sz w:val="21"/>
                      <w:szCs w:val="21"/>
                      <w14:textFill>
                        <w14:solidFill>
                          <w14:schemeClr w14:val="tx1"/>
                        </w14:solidFill>
                      </w14:textFill>
                    </w:rPr>
                    <w:t>类</w:t>
                  </w:r>
                </w:p>
              </w:tc>
              <w:tc>
                <w:tcPr>
                  <w:tcW w:w="650" w:type="dxa"/>
                  <w:vMerge w:val="continue"/>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p>
              </w:tc>
              <w:tc>
                <w:tcPr>
                  <w:tcW w:w="1279" w:type="dxa"/>
                  <w:vMerge w:val="continue"/>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p>
              </w:tc>
              <w:tc>
                <w:tcPr>
                  <w:tcW w:w="1633" w:type="dxa"/>
                  <w:tcBorders>
                    <w:righ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Ⅲ</w:t>
                  </w:r>
                  <w:r>
                    <w:rPr>
                      <w:rFonts w:ascii="Times New Roman" w:hAnsi="Times New Roman" w:eastAsia="宋体"/>
                      <w:color w:val="000000" w:themeColor="text1"/>
                      <w:sz w:val="21"/>
                      <w:szCs w:val="21"/>
                      <w14:textFill>
                        <w14:solidFill>
                          <w14:schemeClr w14:val="tx1"/>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227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pH值（无量纲）</w:t>
                  </w:r>
                </w:p>
              </w:tc>
              <w:tc>
                <w:tcPr>
                  <w:tcW w:w="1324"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6-9</w:t>
                  </w:r>
                </w:p>
              </w:tc>
              <w:tc>
                <w:tcPr>
                  <w:tcW w:w="65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15</w:t>
                  </w:r>
                </w:p>
              </w:tc>
              <w:tc>
                <w:tcPr>
                  <w:tcW w:w="1279"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六价铬</w:t>
                  </w:r>
                </w:p>
              </w:tc>
              <w:tc>
                <w:tcPr>
                  <w:tcW w:w="1633" w:type="dxa"/>
                  <w:tcBorders>
                    <w:righ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227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溶解氧</w:t>
                  </w:r>
                </w:p>
              </w:tc>
              <w:tc>
                <w:tcPr>
                  <w:tcW w:w="1324" w:type="dxa"/>
                  <w:vAlign w:val="center"/>
                </w:tcPr>
                <w:p>
                  <w:pPr>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w:t>
                  </w:r>
                </w:p>
              </w:tc>
              <w:tc>
                <w:tcPr>
                  <w:tcW w:w="65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16</w:t>
                  </w:r>
                </w:p>
              </w:tc>
              <w:tc>
                <w:tcPr>
                  <w:tcW w:w="1279"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氰化物</w:t>
                  </w:r>
                </w:p>
              </w:tc>
              <w:tc>
                <w:tcPr>
                  <w:tcW w:w="1633" w:type="dxa"/>
                  <w:tcBorders>
                    <w:righ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w:t>
                  </w:r>
                </w:p>
              </w:tc>
              <w:tc>
                <w:tcPr>
                  <w:tcW w:w="227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化学需氧量(COD)</w:t>
                  </w:r>
                </w:p>
              </w:tc>
              <w:tc>
                <w:tcPr>
                  <w:tcW w:w="1324" w:type="dxa"/>
                  <w:vAlign w:val="center"/>
                </w:tcPr>
                <w:p>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20</w:t>
                  </w:r>
                </w:p>
              </w:tc>
              <w:tc>
                <w:tcPr>
                  <w:tcW w:w="65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17</w:t>
                  </w:r>
                </w:p>
              </w:tc>
              <w:tc>
                <w:tcPr>
                  <w:tcW w:w="1279"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挥发酚</w:t>
                  </w:r>
                </w:p>
              </w:tc>
              <w:tc>
                <w:tcPr>
                  <w:tcW w:w="1633" w:type="dxa"/>
                  <w:tcBorders>
                    <w:right w:val="nil"/>
                  </w:tcBorders>
                  <w:vAlign w:val="center"/>
                </w:tcPr>
                <w:p>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61" w:type="dxa"/>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w:t>
                  </w:r>
                </w:p>
              </w:tc>
              <w:tc>
                <w:tcPr>
                  <w:tcW w:w="227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五日生化需氧量(BOD</w:t>
                  </w:r>
                  <w:r>
                    <w:rPr>
                      <w:rFonts w:ascii="Times New Roman" w:hAnsi="Times New Roman" w:eastAsia="宋体"/>
                      <w:color w:val="000000" w:themeColor="text1"/>
                      <w:sz w:val="21"/>
                      <w:szCs w:val="21"/>
                      <w:vertAlign w:val="subscript"/>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w:t>
                  </w:r>
                </w:p>
              </w:tc>
              <w:tc>
                <w:tcPr>
                  <w:tcW w:w="1324" w:type="dxa"/>
                  <w:vAlign w:val="center"/>
                </w:tcPr>
                <w:p>
                  <w:pPr>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w:t>
                  </w:r>
                </w:p>
              </w:tc>
              <w:tc>
                <w:tcPr>
                  <w:tcW w:w="65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18</w:t>
                  </w:r>
                </w:p>
              </w:tc>
              <w:tc>
                <w:tcPr>
                  <w:tcW w:w="1279"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石油类</w:t>
                  </w:r>
                </w:p>
              </w:tc>
              <w:tc>
                <w:tcPr>
                  <w:tcW w:w="1633" w:type="dxa"/>
                  <w:tcBorders>
                    <w:right w:val="nil"/>
                  </w:tcBorders>
                  <w:vAlign w:val="center"/>
                </w:tcPr>
                <w:p>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61" w:type="dxa"/>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w:t>
                  </w:r>
                </w:p>
              </w:tc>
              <w:tc>
                <w:tcPr>
                  <w:tcW w:w="227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氨氮(NH</w:t>
                  </w:r>
                  <w:r>
                    <w:rPr>
                      <w:rFonts w:ascii="Times New Roman" w:hAnsi="Times New Roman" w:eastAsia="宋体"/>
                      <w:color w:val="000000" w:themeColor="text1"/>
                      <w:sz w:val="21"/>
                      <w:szCs w:val="21"/>
                      <w:vertAlign w:val="sub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-N)</w:t>
                  </w:r>
                </w:p>
              </w:tc>
              <w:tc>
                <w:tcPr>
                  <w:tcW w:w="1324" w:type="dxa"/>
                  <w:vAlign w:val="center"/>
                </w:tcPr>
                <w:p>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p>
              </w:tc>
              <w:tc>
                <w:tcPr>
                  <w:tcW w:w="65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19</w:t>
                  </w:r>
                </w:p>
              </w:tc>
              <w:tc>
                <w:tcPr>
                  <w:tcW w:w="1279"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硫化物</w:t>
                  </w:r>
                </w:p>
              </w:tc>
              <w:tc>
                <w:tcPr>
                  <w:tcW w:w="1633" w:type="dxa"/>
                  <w:tcBorders>
                    <w:right w:val="nil"/>
                  </w:tcBorders>
                  <w:vAlign w:val="center"/>
                </w:tcPr>
                <w:p>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6</w:t>
                  </w:r>
                </w:p>
              </w:tc>
              <w:tc>
                <w:tcPr>
                  <w:tcW w:w="2270"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氟化物</w:t>
                  </w:r>
                </w:p>
              </w:tc>
              <w:tc>
                <w:tcPr>
                  <w:tcW w:w="1324" w:type="dxa"/>
                  <w:vAlign w:val="center"/>
                </w:tcPr>
                <w:p>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p>
              </w:tc>
              <w:tc>
                <w:tcPr>
                  <w:tcW w:w="65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20</w:t>
                  </w:r>
                </w:p>
              </w:tc>
              <w:tc>
                <w:tcPr>
                  <w:tcW w:w="1279"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总磷</w:t>
                  </w:r>
                </w:p>
              </w:tc>
              <w:tc>
                <w:tcPr>
                  <w:tcW w:w="1633" w:type="dxa"/>
                  <w:tcBorders>
                    <w:right w:val="nil"/>
                  </w:tcBorders>
                  <w:vAlign w:val="center"/>
                </w:tcPr>
                <w:p>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7</w:t>
                  </w:r>
                </w:p>
              </w:tc>
              <w:tc>
                <w:tcPr>
                  <w:tcW w:w="2270"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氨 氮</w:t>
                  </w:r>
                </w:p>
              </w:tc>
              <w:tc>
                <w:tcPr>
                  <w:tcW w:w="1324" w:type="dxa"/>
                  <w:vAlign w:val="center"/>
                </w:tcPr>
                <w:p>
                  <w:pPr>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0</w:t>
                  </w:r>
                </w:p>
              </w:tc>
              <w:tc>
                <w:tcPr>
                  <w:tcW w:w="65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21</w:t>
                  </w:r>
                </w:p>
              </w:tc>
              <w:tc>
                <w:tcPr>
                  <w:tcW w:w="1279"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硒</w:t>
                  </w:r>
                </w:p>
              </w:tc>
              <w:tc>
                <w:tcPr>
                  <w:tcW w:w="1633" w:type="dxa"/>
                  <w:tcBorders>
                    <w:right w:val="nil"/>
                  </w:tcBorders>
                  <w:vAlign w:val="center"/>
                </w:tcPr>
                <w:p>
                  <w:pPr>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61" w:type="dxa"/>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8</w:t>
                  </w:r>
                </w:p>
              </w:tc>
              <w:tc>
                <w:tcPr>
                  <w:tcW w:w="2270"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粪大肠菌群</w:t>
                  </w:r>
                </w:p>
              </w:tc>
              <w:tc>
                <w:tcPr>
                  <w:tcW w:w="1324"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w:t>
                  </w:r>
                  <w:r>
                    <w:rPr>
                      <w:rFonts w:ascii="Times New Roman" w:hAnsi="Times New Roman" w:eastAsia="宋体"/>
                      <w:color w:val="000000" w:themeColor="text1"/>
                      <w:sz w:val="21"/>
                      <w:szCs w:val="21"/>
                      <w14:textFill>
                        <w14:solidFill>
                          <w14:schemeClr w14:val="tx1"/>
                        </w14:solidFill>
                      </w14:textFill>
                    </w:rPr>
                    <w:t>0000（个/L）</w:t>
                  </w:r>
                </w:p>
              </w:tc>
              <w:tc>
                <w:tcPr>
                  <w:tcW w:w="65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22</w:t>
                  </w:r>
                </w:p>
              </w:tc>
              <w:tc>
                <w:tcPr>
                  <w:tcW w:w="1279"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汞</w:t>
                  </w:r>
                </w:p>
              </w:tc>
              <w:tc>
                <w:tcPr>
                  <w:tcW w:w="1633" w:type="dxa"/>
                  <w:tcBorders>
                    <w:right w:val="nil"/>
                  </w:tcBorders>
                  <w:vAlign w:val="center"/>
                </w:tcPr>
                <w:p>
                  <w:pPr>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9</w:t>
                  </w:r>
                </w:p>
              </w:tc>
              <w:tc>
                <w:tcPr>
                  <w:tcW w:w="2270"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高锰酸盐指数</w:t>
                  </w:r>
                </w:p>
              </w:tc>
              <w:tc>
                <w:tcPr>
                  <w:tcW w:w="1324" w:type="dxa"/>
                  <w:vAlign w:val="center"/>
                </w:tcPr>
                <w:p>
                  <w:pPr>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6</w:t>
                  </w:r>
                </w:p>
              </w:tc>
              <w:tc>
                <w:tcPr>
                  <w:tcW w:w="65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23</w:t>
                  </w:r>
                </w:p>
              </w:tc>
              <w:tc>
                <w:tcPr>
                  <w:tcW w:w="1279"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铅</w:t>
                  </w:r>
                </w:p>
              </w:tc>
              <w:tc>
                <w:tcPr>
                  <w:tcW w:w="1633" w:type="dxa"/>
                  <w:tcBorders>
                    <w:right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w:t>
                  </w:r>
                </w:p>
              </w:tc>
              <w:tc>
                <w:tcPr>
                  <w:tcW w:w="2270"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阴离子</w:t>
                  </w:r>
                  <w:r>
                    <w:rPr>
                      <w:rFonts w:hint="eastAsia" w:ascii="Times New Roman" w:hAnsi="Times New Roman" w:eastAsia="宋体"/>
                      <w:color w:val="000000" w:themeColor="text1"/>
                      <w:sz w:val="21"/>
                      <w:szCs w:val="21"/>
                      <w14:textFill>
                        <w14:solidFill>
                          <w14:schemeClr w14:val="tx1"/>
                        </w14:solidFill>
                      </w14:textFill>
                    </w:rPr>
                    <w:t>表面活性剂</w:t>
                  </w:r>
                </w:p>
              </w:tc>
              <w:tc>
                <w:tcPr>
                  <w:tcW w:w="1324" w:type="dxa"/>
                  <w:vAlign w:val="center"/>
                </w:tcPr>
                <w:p>
                  <w:pPr>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2</w:t>
                  </w:r>
                </w:p>
              </w:tc>
              <w:tc>
                <w:tcPr>
                  <w:tcW w:w="65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w:t>
                  </w:r>
                </w:p>
              </w:tc>
              <w:tc>
                <w:tcPr>
                  <w:tcW w:w="1279" w:type="dxa"/>
                  <w:vAlign w:val="center"/>
                </w:tcPr>
                <w:p>
                  <w:pPr>
                    <w:jc w:val="center"/>
                    <w:rPr>
                      <w:rFonts w:ascii="Times New Roman" w:hAnsi="Times New Roman" w:eastAsia="宋体"/>
                      <w:color w:val="000000" w:themeColor="text1"/>
                      <w:sz w:val="21"/>
                      <w:szCs w:val="21"/>
                      <w:vertAlign w:val="superscript"/>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镉</w:t>
                  </w:r>
                </w:p>
              </w:tc>
              <w:tc>
                <w:tcPr>
                  <w:tcW w:w="1633" w:type="dxa"/>
                  <w:tcBorders>
                    <w:right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1" w:type="dxa"/>
                  <w:tcBorders>
                    <w:left w:val="nil"/>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11</w:t>
                  </w:r>
                </w:p>
              </w:tc>
              <w:tc>
                <w:tcPr>
                  <w:tcW w:w="2270"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铜</w:t>
                  </w:r>
                </w:p>
              </w:tc>
              <w:tc>
                <w:tcPr>
                  <w:tcW w:w="1324"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≤1.0</w:t>
                  </w:r>
                </w:p>
              </w:tc>
              <w:tc>
                <w:tcPr>
                  <w:tcW w:w="650" w:type="dxa"/>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25</w:t>
                  </w:r>
                </w:p>
              </w:tc>
              <w:tc>
                <w:tcPr>
                  <w:tcW w:w="1279"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总氮</w:t>
                  </w:r>
                </w:p>
              </w:tc>
              <w:tc>
                <w:tcPr>
                  <w:tcW w:w="1633" w:type="dxa"/>
                  <w:tcBorders>
                    <w:right w:val="nil"/>
                  </w:tcBorders>
                  <w:vAlign w:val="center"/>
                </w:tcPr>
                <w:p>
                  <w:pPr>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dxa"/>
                  <w:tcBorders>
                    <w:left w:val="nil"/>
                    <w:bottom w:val="single" w:color="auto" w:sz="12" w:space="0"/>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12</w:t>
                  </w:r>
                </w:p>
              </w:tc>
              <w:tc>
                <w:tcPr>
                  <w:tcW w:w="2270" w:type="dxa"/>
                  <w:tcBorders>
                    <w:bottom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锌</w:t>
                  </w:r>
                </w:p>
              </w:tc>
              <w:tc>
                <w:tcPr>
                  <w:tcW w:w="1324" w:type="dxa"/>
                  <w:tcBorders>
                    <w:bottom w:val="single" w:color="auto" w:sz="12" w:space="0"/>
                  </w:tcBorders>
                  <w:vAlign w:val="center"/>
                </w:tcPr>
                <w:p>
                  <w:pPr>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p>
              </w:tc>
              <w:tc>
                <w:tcPr>
                  <w:tcW w:w="650" w:type="dxa"/>
                  <w:tcBorders>
                    <w:bottom w:val="single" w:color="auto" w:sz="12" w:space="0"/>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26</w:t>
                  </w:r>
                </w:p>
              </w:tc>
              <w:tc>
                <w:tcPr>
                  <w:tcW w:w="1279" w:type="dxa"/>
                  <w:tcBorders>
                    <w:bottom w:val="single" w:color="auto" w:sz="12" w:space="0"/>
                  </w:tcBorders>
                  <w:vAlign w:val="center"/>
                </w:tcPr>
                <w:p>
                  <w:pPr>
                    <w:snapToGrid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砷</w:t>
                  </w:r>
                </w:p>
              </w:tc>
              <w:tc>
                <w:tcPr>
                  <w:tcW w:w="1633" w:type="dxa"/>
                  <w:tcBorders>
                    <w:bottom w:val="single" w:color="auto" w:sz="12" w:space="0"/>
                    <w:right w:val="nil"/>
                  </w:tcBorders>
                  <w:vAlign w:val="center"/>
                </w:tcPr>
                <w:p>
                  <w:pPr>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0.0</w:t>
                  </w:r>
                </w:p>
              </w:tc>
            </w:tr>
          </w:tbl>
          <w:p>
            <w:pPr>
              <w:spacing w:line="360" w:lineRule="auto"/>
              <w:ind w:firstLine="482" w:firstLineChars="200"/>
              <w:rPr>
                <w:rFonts w:hint="default"/>
                <w:b/>
                <w:bCs/>
                <w:color w:val="000000" w:themeColor="text1"/>
                <w:kern w:val="0"/>
                <w:sz w:val="24"/>
                <w:szCs w:val="24"/>
                <w:lang w:val="en-US"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（3）地下水质量</w:t>
            </w:r>
          </w:p>
          <w:p>
            <w:pPr>
              <w:spacing w:line="360" w:lineRule="auto"/>
              <w:ind w:firstLine="480" w:firstLineChars="200"/>
              <w:rPr>
                <w:rFonts w:ascii="Times New Roman" w:hAnsi="Times New Roman" w:eastAsia="宋体"/>
                <w:color w:val="000000" w:themeColor="text1"/>
                <w:kern w:val="0"/>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拟建地项目地下水环境质量</w:t>
            </w:r>
            <w:r>
              <w:rPr>
                <w:rFonts w:ascii="Times New Roman" w:hAnsi="Times New Roman" w:eastAsia="宋体"/>
                <w:color w:val="000000" w:themeColor="text1"/>
                <w:kern w:val="0"/>
                <w:sz w:val="24"/>
                <w:szCs w:val="24"/>
                <w14:textFill>
                  <w14:solidFill>
                    <w14:schemeClr w14:val="tx1"/>
                  </w14:solidFill>
                </w14:textFill>
              </w:rPr>
              <w:t>执行《地下水质量标准》（GB/T14848-</w:t>
            </w:r>
            <w:r>
              <w:rPr>
                <w:rFonts w:hint="eastAsia" w:ascii="Times New Roman" w:hAnsi="Times New Roman" w:eastAsia="宋体"/>
                <w:color w:val="000000" w:themeColor="text1"/>
                <w:kern w:val="0"/>
                <w:sz w:val="24"/>
                <w:szCs w:val="24"/>
                <w14:textFill>
                  <w14:solidFill>
                    <w14:schemeClr w14:val="tx1"/>
                  </w14:solidFill>
                </w14:textFill>
              </w:rPr>
              <w:t>2017</w:t>
            </w:r>
            <w:r>
              <w:rPr>
                <w:rFonts w:ascii="Times New Roman" w:hAnsi="Times New Roman" w:eastAsia="宋体"/>
                <w:color w:val="000000" w:themeColor="text1"/>
                <w:kern w:val="0"/>
                <w:sz w:val="24"/>
                <w:szCs w:val="24"/>
                <w14:textFill>
                  <w14:solidFill>
                    <w14:schemeClr w14:val="tx1"/>
                  </w14:solidFill>
                </w14:textFill>
              </w:rPr>
              <w:t>）Ⅲ类，具体标准限值见下表。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w:t>
            </w:r>
            <w:r>
              <w:rPr>
                <w:rFonts w:hint="eastAsia" w:cs="Times New Roman"/>
                <w:b/>
                <w:bCs/>
                <w:color w:val="000000" w:themeColor="text1"/>
                <w:szCs w:val="21"/>
                <w:lang w:val="en-US" w:eastAsia="zh-CN"/>
                <w14:textFill>
                  <w14:solidFill>
                    <w14:schemeClr w14:val="tx1"/>
                  </w14:solidFill>
                </w14:textFill>
              </w:rPr>
              <w:t>13</w:t>
            </w:r>
            <w:r>
              <w:rPr>
                <w:rFonts w:hint="eastAsia" w:ascii="Times New Roman" w:hAnsi="Times New Roman" w:eastAsia="宋体" w:cs="Times New Roman"/>
                <w:b/>
                <w:bCs/>
                <w:color w:val="000000" w:themeColor="text1"/>
                <w:szCs w:val="21"/>
                <w14:textFill>
                  <w14:solidFill>
                    <w14:schemeClr w14:val="tx1"/>
                  </w14:solidFill>
                </w14:textFill>
              </w:rPr>
              <w:t xml:space="preserve">  （GB/T14848—2017）Ⅲ类标准限值单位：mg/l</w:t>
            </w:r>
          </w:p>
          <w:tbl>
            <w:tblPr>
              <w:tblStyle w:val="21"/>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853"/>
              <w:gridCol w:w="853"/>
              <w:gridCol w:w="853"/>
              <w:gridCol w:w="853"/>
              <w:gridCol w:w="853"/>
              <w:gridCol w:w="853"/>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53" w:type="dxa"/>
                  <w:tcBorders>
                    <w:top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项目标准</w:t>
                  </w:r>
                </w:p>
              </w:tc>
              <w:tc>
                <w:tcPr>
                  <w:tcW w:w="853" w:type="dxa"/>
                  <w:tcBorders>
                    <w:top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pH</w:t>
                  </w:r>
                </w:p>
              </w:tc>
              <w:tc>
                <w:tcPr>
                  <w:tcW w:w="853" w:type="dxa"/>
                  <w:tcBorders>
                    <w:top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硝酸盐</w:t>
                  </w:r>
                </w:p>
              </w:tc>
              <w:tc>
                <w:tcPr>
                  <w:tcW w:w="853" w:type="dxa"/>
                  <w:tcBorders>
                    <w:top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氨氮</w:t>
                  </w:r>
                </w:p>
              </w:tc>
              <w:tc>
                <w:tcPr>
                  <w:tcW w:w="853" w:type="dxa"/>
                  <w:tcBorders>
                    <w:top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亚硝酸盐</w:t>
                  </w:r>
                </w:p>
              </w:tc>
              <w:tc>
                <w:tcPr>
                  <w:tcW w:w="853" w:type="dxa"/>
                  <w:tcBorders>
                    <w:top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氟化物</w:t>
                  </w:r>
                </w:p>
              </w:tc>
              <w:tc>
                <w:tcPr>
                  <w:tcW w:w="853" w:type="dxa"/>
                  <w:tcBorders>
                    <w:top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总硬度</w:t>
                  </w:r>
                </w:p>
              </w:tc>
              <w:tc>
                <w:tcPr>
                  <w:tcW w:w="853" w:type="dxa"/>
                  <w:tcBorders>
                    <w:top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六价铬</w:t>
                  </w:r>
                </w:p>
              </w:tc>
              <w:tc>
                <w:tcPr>
                  <w:tcW w:w="853" w:type="dxa"/>
                  <w:tcBorders>
                    <w:top w:val="single" w:color="auto" w:sz="12" w:space="0"/>
                    <w:right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挥发酚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853" w:type="dxa"/>
                  <w:vMerge w:val="restart"/>
                  <w:tcBorders>
                    <w:left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Ⅲ类</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6.5≤pH≤8.5</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≤20</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≤0.5</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≤1.0</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r>
                    <w:rPr>
                      <w:rFonts w:hint="eastAsia" w:ascii="Times New Roman" w:hAnsi="Times New Roman" w:eastAsia="宋体"/>
                      <w:color w:val="000000" w:themeColor="text1"/>
                      <w:sz w:val="21"/>
                      <w:szCs w:val="21"/>
                      <w14:textFill>
                        <w14:solidFill>
                          <w14:schemeClr w14:val="tx1"/>
                        </w14:solidFill>
                      </w14:textFill>
                    </w:rPr>
                    <w:t>.0</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≤450</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≤0.05</w:t>
                  </w:r>
                </w:p>
              </w:tc>
              <w:tc>
                <w:tcPr>
                  <w:tcW w:w="853" w:type="dxa"/>
                  <w:tcBorders>
                    <w:right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53" w:type="dxa"/>
                  <w:vMerge w:val="continue"/>
                  <w:tcBorders>
                    <w:left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石油类</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氰化物</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铁</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锰</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铅</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砷</w:t>
                  </w:r>
                </w:p>
              </w:tc>
              <w:tc>
                <w:tcPr>
                  <w:tcW w:w="853" w:type="dxa"/>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汞</w:t>
                  </w:r>
                </w:p>
              </w:tc>
              <w:tc>
                <w:tcPr>
                  <w:tcW w:w="853" w:type="dxa"/>
                  <w:tcBorders>
                    <w:right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53" w:type="dxa"/>
                  <w:vMerge w:val="continue"/>
                  <w:tcBorders>
                    <w:left w:val="nil"/>
                    <w:bottom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p>
              </w:tc>
              <w:tc>
                <w:tcPr>
                  <w:tcW w:w="853" w:type="dxa"/>
                  <w:tcBorders>
                    <w:bottom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≤0.05</w:t>
                  </w:r>
                </w:p>
              </w:tc>
              <w:tc>
                <w:tcPr>
                  <w:tcW w:w="853" w:type="dxa"/>
                  <w:tcBorders>
                    <w:bottom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≤0.05</w:t>
                  </w:r>
                </w:p>
              </w:tc>
              <w:tc>
                <w:tcPr>
                  <w:tcW w:w="853" w:type="dxa"/>
                  <w:tcBorders>
                    <w:bottom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≤0.3</w:t>
                  </w:r>
                </w:p>
              </w:tc>
              <w:tc>
                <w:tcPr>
                  <w:tcW w:w="853" w:type="dxa"/>
                  <w:tcBorders>
                    <w:bottom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≤0.1</w:t>
                  </w:r>
                </w:p>
              </w:tc>
              <w:tc>
                <w:tcPr>
                  <w:tcW w:w="853" w:type="dxa"/>
                  <w:tcBorders>
                    <w:bottom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≤0.01</w:t>
                  </w:r>
                </w:p>
              </w:tc>
              <w:tc>
                <w:tcPr>
                  <w:tcW w:w="853" w:type="dxa"/>
                  <w:tcBorders>
                    <w:bottom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≤0.01</w:t>
                  </w:r>
                </w:p>
              </w:tc>
              <w:tc>
                <w:tcPr>
                  <w:tcW w:w="853" w:type="dxa"/>
                  <w:tcBorders>
                    <w:bottom w:val="single" w:color="auto" w:sz="12" w:space="0"/>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w:t>
                  </w:r>
                  <w:r>
                    <w:rPr>
                      <w:rFonts w:hint="eastAsia" w:ascii="Times New Roman" w:hAnsi="Times New Roman" w:eastAsia="宋体"/>
                      <w:color w:val="000000" w:themeColor="text1"/>
                      <w:kern w:val="0"/>
                      <w:sz w:val="21"/>
                      <w:szCs w:val="21"/>
                      <w14:textFill>
                        <w14:solidFill>
                          <w14:schemeClr w14:val="tx1"/>
                        </w14:solidFill>
                      </w14:textFill>
                    </w:rPr>
                    <w:t>0</w:t>
                  </w:r>
                  <w:r>
                    <w:rPr>
                      <w:rFonts w:ascii="Times New Roman" w:hAnsi="Times New Roman" w:eastAsia="宋体"/>
                      <w:color w:val="000000" w:themeColor="text1"/>
                      <w:kern w:val="0"/>
                      <w:sz w:val="21"/>
                      <w:szCs w:val="21"/>
                      <w14:textFill>
                        <w14:solidFill>
                          <w14:schemeClr w14:val="tx1"/>
                        </w14:solidFill>
                      </w14:textFill>
                    </w:rPr>
                    <w:t>1</w:t>
                  </w:r>
                </w:p>
              </w:tc>
              <w:tc>
                <w:tcPr>
                  <w:tcW w:w="853" w:type="dxa"/>
                  <w:tcBorders>
                    <w:bottom w:val="single" w:color="auto" w:sz="12" w:space="0"/>
                    <w:right w:val="nil"/>
                  </w:tcBorders>
                  <w:vAlign w:val="center"/>
                </w:tcPr>
                <w:p>
                  <w:pPr>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w:t>
                  </w:r>
                  <w:r>
                    <w:rPr>
                      <w:rFonts w:hint="eastAsia" w:ascii="Times New Roman" w:hAnsi="Times New Roman" w:eastAsia="宋体"/>
                      <w:color w:val="000000" w:themeColor="text1"/>
                      <w:kern w:val="0"/>
                      <w:sz w:val="21"/>
                      <w:szCs w:val="21"/>
                      <w14:textFill>
                        <w14:solidFill>
                          <w14:schemeClr w14:val="tx1"/>
                        </w14:solidFill>
                      </w14:textFill>
                    </w:rPr>
                    <w:t>05</w:t>
                  </w:r>
                </w:p>
              </w:tc>
            </w:tr>
          </w:tbl>
          <w:p>
            <w:pPr>
              <w:spacing w:line="360" w:lineRule="auto"/>
              <w:ind w:firstLine="482" w:firstLineChars="200"/>
              <w:rPr>
                <w:rFonts w:ascii="Times New Roman" w:hAnsi="Times New Roman" w:eastAsia="宋体"/>
                <w:b/>
                <w:bCs/>
                <w:color w:val="000000" w:themeColor="text1"/>
                <w:kern w:val="0"/>
                <w:sz w:val="24"/>
                <w:szCs w:val="24"/>
                <w14:textFill>
                  <w14:solidFill>
                    <w14:schemeClr w14:val="tx1"/>
                  </w14:solidFill>
                </w14:textFill>
              </w:rPr>
            </w:pPr>
            <w:r>
              <w:rPr>
                <w:rFonts w:hint="eastAsia"/>
                <w:b/>
                <w:bCs/>
                <w:color w:val="000000" w:themeColor="text1"/>
                <w:kern w:val="0"/>
                <w:sz w:val="24"/>
                <w:szCs w:val="24"/>
                <w:lang w:eastAsia="zh-CN"/>
                <w14:textFill>
                  <w14:solidFill>
                    <w14:schemeClr w14:val="tx1"/>
                  </w14:solidFill>
                </w14:textFill>
              </w:rPr>
              <w:t>（</w:t>
            </w:r>
            <w:r>
              <w:rPr>
                <w:rFonts w:hint="eastAsia"/>
                <w:b/>
                <w:bCs/>
                <w:color w:val="000000" w:themeColor="text1"/>
                <w:kern w:val="0"/>
                <w:sz w:val="24"/>
                <w:szCs w:val="24"/>
                <w:lang w:val="en-US" w:eastAsia="zh-CN"/>
                <w14:textFill>
                  <w14:solidFill>
                    <w14:schemeClr w14:val="tx1"/>
                  </w14:solidFill>
                </w14:textFill>
              </w:rPr>
              <w:t>4</w:t>
            </w:r>
            <w:r>
              <w:rPr>
                <w:rFonts w:hint="eastAsia"/>
                <w:b/>
                <w:bCs/>
                <w:color w:val="000000" w:themeColor="text1"/>
                <w:kern w:val="0"/>
                <w:sz w:val="24"/>
                <w:szCs w:val="24"/>
                <w:lang w:eastAsia="zh-CN"/>
                <w14:textFill>
                  <w14:solidFill>
                    <w14:schemeClr w14:val="tx1"/>
                  </w14:solidFill>
                </w14:textFill>
              </w:rPr>
              <w:t>）</w:t>
            </w:r>
            <w:r>
              <w:rPr>
                <w:rFonts w:ascii="Times New Roman" w:hAnsi="Times New Roman" w:eastAsia="宋体"/>
                <w:b/>
                <w:bCs/>
                <w:color w:val="000000" w:themeColor="text1"/>
                <w:kern w:val="0"/>
                <w:sz w:val="24"/>
                <w:szCs w:val="24"/>
                <w14:textFill>
                  <w14:solidFill>
                    <w14:schemeClr w14:val="tx1"/>
                  </w14:solidFill>
                </w14:textFill>
              </w:rPr>
              <w:t>声环境质量标准</w:t>
            </w:r>
          </w:p>
          <w:p>
            <w:pPr>
              <w:spacing w:line="360" w:lineRule="auto"/>
              <w:ind w:firstLine="468" w:firstLineChars="195"/>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项目拟建地声环境质量执行《声环境质量标准》（GB3096-2008）中</w:t>
            </w:r>
            <w:r>
              <w:rPr>
                <w:rFonts w:hint="eastAsia"/>
                <w:color w:val="000000" w:themeColor="text1"/>
                <w:sz w:val="24"/>
                <w:szCs w:val="24"/>
                <w:lang w:val="en-US" w:eastAsia="zh-CN"/>
                <w14:textFill>
                  <w14:solidFill>
                    <w14:schemeClr w14:val="tx1"/>
                  </w14:solidFill>
                </w14:textFill>
              </w:rPr>
              <w:t>2</w:t>
            </w:r>
            <w:r>
              <w:rPr>
                <w:rFonts w:hint="eastAsia" w:ascii="Times New Roman" w:hAnsi="Times New Roman" w:eastAsia="宋体"/>
                <w:color w:val="000000" w:themeColor="text1"/>
                <w:sz w:val="24"/>
                <w:szCs w:val="24"/>
                <w14:textFill>
                  <w14:solidFill>
                    <w14:schemeClr w14:val="tx1"/>
                  </w14:solidFill>
                </w14:textFill>
              </w:rPr>
              <w:t>类</w:t>
            </w:r>
            <w:r>
              <w:rPr>
                <w:rFonts w:ascii="Times New Roman" w:hAnsi="Times New Roman" w:eastAsia="宋体"/>
                <w:color w:val="000000" w:themeColor="text1"/>
                <w:sz w:val="24"/>
                <w:szCs w:val="24"/>
                <w14:textFill>
                  <w14:solidFill>
                    <w14:schemeClr w14:val="tx1"/>
                  </w14:solidFill>
                </w14:textFill>
              </w:rPr>
              <w:t>准，具体限值见表</w:t>
            </w:r>
            <w:r>
              <w:rPr>
                <w:rFonts w:hint="eastAsia"/>
                <w:color w:val="000000" w:themeColor="text1"/>
                <w:sz w:val="24"/>
                <w:szCs w:val="24"/>
                <w:lang w:val="en-US" w:eastAsia="zh-CN"/>
                <w14:textFill>
                  <w14:solidFill>
                    <w14:schemeClr w14:val="tx1"/>
                  </w14:solidFill>
                </w14:textFill>
              </w:rPr>
              <w:t>3-14</w:t>
            </w:r>
            <w:r>
              <w:rPr>
                <w:rFonts w:ascii="Times New Roman" w:hAnsi="Times New Roman" w:eastAsia="宋体"/>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3-1</w:t>
            </w:r>
            <w:r>
              <w:rPr>
                <w:rFonts w:hint="eastAsia" w:cs="Times New Roman"/>
                <w:b/>
                <w:bCs/>
                <w:color w:val="000000" w:themeColor="text1"/>
                <w:szCs w:val="21"/>
                <w:lang w:val="en-US" w:eastAsia="zh-CN"/>
                <w14:textFill>
                  <w14:solidFill>
                    <w14:schemeClr w14:val="tx1"/>
                  </w14:solidFill>
                </w14:textFill>
              </w:rPr>
              <w:t>4</w:t>
            </w:r>
            <w:r>
              <w:rPr>
                <w:rFonts w:hint="eastAsia" w:ascii="Times New Roman" w:hAnsi="Times New Roman" w:eastAsia="宋体" w:cs="Times New Roman"/>
                <w:b/>
                <w:bCs/>
                <w:color w:val="000000" w:themeColor="text1"/>
                <w:szCs w:val="21"/>
                <w14:textFill>
                  <w14:solidFill>
                    <w14:schemeClr w14:val="tx1"/>
                  </w14:solidFill>
                </w14:textFill>
              </w:rPr>
              <w:t xml:space="preserve">   环境噪声标准限值   单位：dB（A）</w:t>
            </w:r>
          </w:p>
          <w:tbl>
            <w:tblPr>
              <w:tblStyle w:val="21"/>
              <w:tblW w:w="7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2"/>
              <w:gridCol w:w="2945"/>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787" w:type="pct"/>
                  <w:tcBorders>
                    <w:top w:val="single" w:color="auto" w:sz="12" w:space="0"/>
                  </w:tcBorders>
                  <w:vAlign w:val="center"/>
                </w:tcPr>
                <w:p>
                  <w:pPr>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类别</w:t>
                  </w:r>
                </w:p>
              </w:tc>
              <w:tc>
                <w:tcPr>
                  <w:tcW w:w="1912" w:type="pct"/>
                  <w:tcBorders>
                    <w:top w:val="single" w:color="auto" w:sz="12" w:space="0"/>
                  </w:tcBorders>
                  <w:vAlign w:val="center"/>
                </w:tcPr>
                <w:p>
                  <w:pPr>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昼间</w:t>
                  </w:r>
                </w:p>
              </w:tc>
              <w:tc>
                <w:tcPr>
                  <w:tcW w:w="1299" w:type="pct"/>
                  <w:tcBorders>
                    <w:top w:val="single" w:color="auto" w:sz="12" w:space="0"/>
                    <w:right w:val="nil"/>
                  </w:tcBorders>
                  <w:vAlign w:val="center"/>
                </w:tcPr>
                <w:p>
                  <w:pPr>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787" w:type="pct"/>
                  <w:tcBorders>
                    <w:left w:val="nil"/>
                  </w:tcBorders>
                  <w:vAlign w:val="center"/>
                </w:tcPr>
                <w:p>
                  <w:pPr>
                    <w:jc w:val="center"/>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p>
              </w:tc>
              <w:tc>
                <w:tcPr>
                  <w:tcW w:w="1912" w:type="pct"/>
                  <w:vAlign w:val="center"/>
                </w:tcPr>
                <w:p>
                  <w:pPr>
                    <w:jc w:val="center"/>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60</w:t>
                  </w:r>
                </w:p>
              </w:tc>
              <w:tc>
                <w:tcPr>
                  <w:tcW w:w="1299" w:type="pct"/>
                  <w:tcBorders>
                    <w:right w:val="nil"/>
                  </w:tcBorders>
                  <w:vAlign w:val="center"/>
                </w:tcPr>
                <w:p>
                  <w:pPr>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000" w:type="pct"/>
                  <w:gridSpan w:val="3"/>
                  <w:tcBorders>
                    <w:left w:val="nil"/>
                    <w:bottom w:val="single" w:color="auto" w:sz="12" w:space="0"/>
                    <w:right w:val="nil"/>
                  </w:tcBorders>
                  <w:vAlign w:val="center"/>
                </w:tcPr>
                <w:p>
                  <w:pPr>
                    <w:spacing w:line="360" w:lineRule="auto"/>
                    <w:ind w:right="-1"/>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备注：夜间突发的噪声，其最大声级超过环境噪声限值的幅度不得高于15dB（A）。</w:t>
                  </w:r>
                </w:p>
              </w:tc>
            </w:tr>
          </w:tbl>
          <w:p>
            <w:pPr>
              <w:spacing w:line="360" w:lineRule="auto"/>
              <w:ind w:firstLine="482" w:firstLineChars="200"/>
              <w:rPr>
                <w:rFonts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14:textFill>
                  <w14:solidFill>
                    <w14:schemeClr w14:val="tx1"/>
                  </w14:solidFill>
                </w14:textFill>
              </w:rPr>
              <w:t>土壤环境质量标准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本项目土壤环境质量执行《土壤环境质量建设用地土壤污染风险管控标 准（试行）》(GB36600—2018)中第二类用地相应标准和《土壤环境质量 农用地土壤污染风险管控标准（试行）》（GB15618-2018）标准</w:t>
            </w:r>
            <w:r>
              <w:rPr>
                <w:rFonts w:hint="eastAsia" w:ascii="Times New Roman" w:hAnsi="Times New Roman" w:eastAsia="宋体"/>
                <w:color w:val="000000" w:themeColor="text1"/>
                <w:kern w:val="0"/>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eastAsia="zh-CN"/>
                <w14:textFill>
                  <w14:solidFill>
                    <w14:schemeClr w14:val="tx1"/>
                  </w14:solidFill>
                </w14:textFill>
              </w:rPr>
              <w:t>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3-1</w:t>
            </w:r>
            <w:r>
              <w:rPr>
                <w:rFonts w:hint="eastAsia" w:cs="Times New Roman"/>
                <w:b/>
                <w:bCs/>
                <w:color w:val="000000" w:themeColor="text1"/>
                <w:szCs w:val="21"/>
                <w:lang w:val="en-US" w:eastAsia="zh-CN"/>
                <w14:textFill>
                  <w14:solidFill>
                    <w14:schemeClr w14:val="tx1"/>
                  </w14:solidFill>
                </w14:textFill>
              </w:rPr>
              <w:t>5</w:t>
            </w:r>
            <w:r>
              <w:rPr>
                <w:rFonts w:hint="eastAsia" w:ascii="Times New Roman" w:hAnsi="Times New Roman" w:eastAsia="宋体" w:cs="Times New Roman"/>
                <w:b/>
                <w:bCs/>
                <w:color w:val="000000" w:themeColor="text1"/>
                <w:szCs w:val="21"/>
                <w14:textFill>
                  <w14:solidFill>
                    <w14:schemeClr w14:val="tx1"/>
                  </w14:solidFill>
                </w14:textFill>
              </w:rPr>
              <w:t xml:space="preserve">      土壤环境质量标准单位：mg/kg（pH除外）</w:t>
            </w:r>
          </w:p>
          <w:tbl>
            <w:tblPr>
              <w:tblStyle w:val="21"/>
              <w:tblW w:w="767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12"/>
              <w:gridCol w:w="1289"/>
              <w:gridCol w:w="792"/>
              <w:gridCol w:w="1429"/>
              <w:gridCol w:w="1248"/>
              <w:gridCol w:w="110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jc w:val="center"/>
              </w:trPr>
              <w:tc>
                <w:tcPr>
                  <w:tcW w:w="1812"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snapToGrid w:val="0"/>
                      <w:color w:val="000000" w:themeColor="text1"/>
                      <w:kern w:val="21"/>
                      <w:sz w:val="21"/>
                      <w:szCs w:val="21"/>
                      <w14:textFill>
                        <w14:solidFill>
                          <w14:schemeClr w14:val="tx1"/>
                        </w14:solidFill>
                      </w14:textFill>
                    </w:rPr>
                    <w:t>标准名称及级(类)别</w:t>
                  </w:r>
                </w:p>
              </w:tc>
              <w:tc>
                <w:tcPr>
                  <w:tcW w:w="128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污染物项目</w:t>
                  </w:r>
                </w:p>
              </w:tc>
              <w:tc>
                <w:tcPr>
                  <w:tcW w:w="2221" w:type="dxa"/>
                  <w:gridSpan w:val="2"/>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w:t>
                  </w:r>
                </w:p>
              </w:tc>
              <w:tc>
                <w:tcPr>
                  <w:tcW w:w="1248"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筛选值</w:t>
                  </w:r>
                </w:p>
              </w:tc>
              <w:tc>
                <w:tcPr>
                  <w:tcW w:w="1107"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管制值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restar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《土壤环境质量-农用地土壤污染风险管控标准（试行）》（GB15618-2018）</w:t>
                  </w:r>
                </w:p>
              </w:tc>
              <w:tc>
                <w:tcPr>
                  <w:tcW w:w="128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镉</w:t>
                  </w:r>
                </w:p>
              </w:tc>
              <w:tc>
                <w:tcPr>
                  <w:tcW w:w="792" w:type="dxa"/>
                  <w:vMerge w:val="restar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pH＞7.5</w:t>
                  </w:r>
                </w:p>
              </w:tc>
              <w:tc>
                <w:tcPr>
                  <w:tcW w:w="142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w:t>
                  </w:r>
                </w:p>
              </w:tc>
              <w:tc>
                <w:tcPr>
                  <w:tcW w:w="1107"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79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w:t>
                  </w:r>
                </w:p>
              </w:tc>
              <w:tc>
                <w:tcPr>
                  <w:tcW w:w="1107"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砷</w:t>
                  </w:r>
                </w:p>
              </w:tc>
              <w:tc>
                <w:tcPr>
                  <w:tcW w:w="79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1107"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铅</w:t>
                  </w:r>
                </w:p>
              </w:tc>
              <w:tc>
                <w:tcPr>
                  <w:tcW w:w="79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170</w:t>
                  </w:r>
                </w:p>
              </w:tc>
              <w:tc>
                <w:tcPr>
                  <w:tcW w:w="1107"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铬</w:t>
                  </w:r>
                </w:p>
              </w:tc>
              <w:tc>
                <w:tcPr>
                  <w:tcW w:w="79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w:t>
                  </w:r>
                </w:p>
              </w:tc>
              <w:tc>
                <w:tcPr>
                  <w:tcW w:w="1107"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铜</w:t>
                  </w:r>
                </w:p>
              </w:tc>
              <w:tc>
                <w:tcPr>
                  <w:tcW w:w="79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其它</w:t>
                  </w:r>
                </w:p>
              </w:tc>
              <w:tc>
                <w:tcPr>
                  <w:tcW w:w="1248"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c>
                <w:tcPr>
                  <w:tcW w:w="1107"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镍</w:t>
                  </w:r>
                </w:p>
              </w:tc>
              <w:tc>
                <w:tcPr>
                  <w:tcW w:w="79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248"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190</w:t>
                  </w:r>
                </w:p>
              </w:tc>
              <w:tc>
                <w:tcPr>
                  <w:tcW w:w="1107"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1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28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锌</w:t>
                  </w:r>
                </w:p>
              </w:tc>
              <w:tc>
                <w:tcPr>
                  <w:tcW w:w="792" w:type="dxa"/>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429"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248"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1107" w:type="dxa"/>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pPr>
              <w:spacing w:line="360" w:lineRule="auto"/>
              <w:rPr>
                <w:rFonts w:hint="eastAsia" w:ascii="Times New Roman" w:hAnsi="Times New Roman" w:eastAsia="宋体"/>
                <w:b/>
                <w:color w:val="000000" w:themeColor="text1"/>
                <w:sz w:val="24"/>
                <w:szCs w:val="24"/>
                <w:lang w:eastAsia="zh-CN"/>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2、</w:t>
            </w:r>
            <w:r>
              <w:rPr>
                <w:rFonts w:hint="eastAsia" w:ascii="Times New Roman" w:hAnsi="Times New Roman" w:eastAsia="宋体"/>
                <w:b/>
                <w:color w:val="000000" w:themeColor="text1"/>
                <w:sz w:val="24"/>
                <w:szCs w:val="24"/>
                <w:lang w:eastAsia="zh-CN"/>
                <w14:textFill>
                  <w14:solidFill>
                    <w14:schemeClr w14:val="tx1"/>
                  </w14:solidFill>
                </w14:textFill>
              </w:rPr>
              <w:t>排放标准</w:t>
            </w:r>
          </w:p>
          <w:p>
            <w:pPr>
              <w:spacing w:line="360" w:lineRule="auto"/>
              <w:ind w:firstLine="482" w:firstLineChars="200"/>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（1）</w:t>
            </w:r>
            <w:r>
              <w:rPr>
                <w:rFonts w:hint="eastAsia" w:ascii="Times New Roman" w:hAnsi="Times New Roman" w:cs="Times New Roman"/>
                <w:b/>
                <w:bCs w:val="0"/>
                <w:color w:val="000000" w:themeColor="text1"/>
                <w:sz w:val="24"/>
                <w:szCs w:val="24"/>
                <w:lang w:val="en-US" w:eastAsia="zh-CN"/>
                <w14:textFill>
                  <w14:solidFill>
                    <w14:schemeClr w14:val="tx1"/>
                  </w14:solidFill>
                </w14:textFill>
              </w:rPr>
              <w:t>废气</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项目施工期扬尘和施工车辆尾气排放执行《大气污染物综合排放标准》（GB16297-1996）中的无组织排放监控浓度限值。</w:t>
            </w:r>
            <w:r>
              <w:rPr>
                <w:rFonts w:hint="eastAsia"/>
                <w:color w:val="000000" w:themeColor="text1"/>
                <w:sz w:val="24"/>
                <w:szCs w:val="24"/>
                <w:highlight w:val="none"/>
                <w:lang w:eastAsia="zh-CN"/>
                <w14:textFill>
                  <w14:solidFill>
                    <w14:schemeClr w14:val="tx1"/>
                  </w14:solidFill>
                </w14:textFill>
              </w:rPr>
              <w:t>施工期淤泥晾晒场臭气执行《恶臭污染物排放标准》（GB14554-93）表1的二级标准，</w:t>
            </w:r>
            <w:r>
              <w:rPr>
                <w:rFonts w:hint="eastAsia" w:ascii="Times New Roman" w:hAnsi="Times New Roman"/>
                <w:color w:val="000000" w:themeColor="text1"/>
                <w:sz w:val="24"/>
                <w:szCs w:val="24"/>
                <w:highlight w:val="none"/>
                <w:lang w:eastAsia="zh-CN"/>
                <w14:textFill>
                  <w14:solidFill>
                    <w14:schemeClr w14:val="tx1"/>
                  </w14:solidFill>
                </w14:textFill>
              </w:rPr>
              <w:t>具体限值可见下表。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3-1</w:t>
            </w:r>
            <w:r>
              <w:rPr>
                <w:rFonts w:hint="eastAsia" w:cs="Times New Roman"/>
                <w:b/>
                <w:bCs/>
                <w:color w:val="000000" w:themeColor="text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lang w:val="en-US" w:eastAsia="zh-CN"/>
                <w14:textFill>
                  <w14:solidFill>
                    <w14:schemeClr w14:val="tx1"/>
                  </w14:solidFill>
                </w14:textFill>
              </w:rPr>
              <w:t xml:space="preserve"> 废气排放标准</w:t>
            </w:r>
          </w:p>
          <w:tbl>
            <w:tblPr>
              <w:tblStyle w:val="21"/>
              <w:tblW w:w="7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2432"/>
              <w:gridCol w:w="2071"/>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273" w:type="dxa"/>
                  <w:vMerge w:val="restar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污染物名称</w:t>
                  </w:r>
                </w:p>
              </w:tc>
              <w:tc>
                <w:tcPr>
                  <w:tcW w:w="4503" w:type="dxa"/>
                  <w:gridSpan w:val="2"/>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无组织排放监控浓度限值</w:t>
                  </w:r>
                </w:p>
              </w:tc>
              <w:tc>
                <w:tcPr>
                  <w:tcW w:w="1963" w:type="dxa"/>
                  <w:vMerge w:val="restart"/>
                  <w:tcBorders>
                    <w:top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273" w:type="dxa"/>
                  <w:vMerge w:val="continue"/>
                  <w:tcBorders>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43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监控点</w:t>
                  </w:r>
                </w:p>
              </w:tc>
              <w:tc>
                <w:tcPr>
                  <w:tcW w:w="207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浓度（mg/m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1963" w:type="dxa"/>
                  <w:vMerge w:val="continue"/>
                  <w:tcBorders>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73" w:type="dxa"/>
                  <w:tcBorders>
                    <w:left w:val="nil"/>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颗粒物</w:t>
                  </w:r>
                </w:p>
              </w:tc>
              <w:tc>
                <w:tcPr>
                  <w:tcW w:w="2432"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周界外浓度标准值</w:t>
                  </w:r>
                </w:p>
              </w:tc>
              <w:tc>
                <w:tcPr>
                  <w:tcW w:w="2071"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1963" w:type="dxa"/>
                  <w:tcBorders>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（GB16297-1996）</w:t>
                  </w:r>
                </w:p>
              </w:tc>
            </w:tr>
          </w:tbl>
          <w:p>
            <w:pPr>
              <w:contextualSpacing/>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lang w:val="en-US" w:eastAsia="zh-CN"/>
                <w14:textFill>
                  <w14:solidFill>
                    <w14:schemeClr w14:val="tx1"/>
                  </w14:solidFill>
                </w14:textFill>
              </w:rPr>
              <w:t>3-17</w:t>
            </w:r>
            <w:r>
              <w:rPr>
                <w:b/>
                <w:color w:val="000000" w:themeColor="text1"/>
                <w:szCs w:val="21"/>
                <w14:textFill>
                  <w14:solidFill>
                    <w14:schemeClr w14:val="tx1"/>
                  </w14:solidFill>
                </w14:textFill>
              </w:rPr>
              <w:t xml:space="preserve">        污染物厂界标准值</w:t>
            </w:r>
          </w:p>
          <w:tbl>
            <w:tblPr>
              <w:tblStyle w:val="21"/>
              <w:tblW w:w="76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1"/>
              <w:gridCol w:w="2036"/>
              <w:gridCol w:w="1094"/>
              <w:gridCol w:w="1755"/>
              <w:gridCol w:w="20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701"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036"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控制项目</w:t>
                  </w:r>
                </w:p>
              </w:tc>
              <w:tc>
                <w:tcPr>
                  <w:tcW w:w="1094"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755"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浓度限值</w:t>
                  </w:r>
                </w:p>
              </w:tc>
              <w:tc>
                <w:tcPr>
                  <w:tcW w:w="2091"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701"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036"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p>
              </w:tc>
              <w:tc>
                <w:tcPr>
                  <w:tcW w:w="1094"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1755"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2091" w:type="dxa"/>
                  <w:vMerge w:val="restart"/>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GB14554-93二级标准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22" w:hRule="atLeast"/>
                <w:jc w:val="center"/>
              </w:trPr>
              <w:tc>
                <w:tcPr>
                  <w:tcW w:w="701"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036"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w:t>
                  </w:r>
                </w:p>
              </w:tc>
              <w:tc>
                <w:tcPr>
                  <w:tcW w:w="1094"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1755"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c>
                <w:tcPr>
                  <w:tcW w:w="2091" w:type="dxa"/>
                  <w:vMerge w:val="continue"/>
                  <w:noWrap w:val="0"/>
                  <w:vAlign w:val="center"/>
                </w:tcPr>
                <w:p>
                  <w:pPr>
                    <w:spacing w:line="0" w:lineRule="atLeast"/>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4" w:hRule="atLeast"/>
                <w:jc w:val="center"/>
              </w:trPr>
              <w:tc>
                <w:tcPr>
                  <w:tcW w:w="701"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036"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臭气浓度</w:t>
                  </w:r>
                </w:p>
              </w:tc>
              <w:tc>
                <w:tcPr>
                  <w:tcW w:w="1094"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无量纲</w:t>
                  </w:r>
                </w:p>
              </w:tc>
              <w:tc>
                <w:tcPr>
                  <w:tcW w:w="1755" w:type="dxa"/>
                  <w:noWrap w:val="0"/>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2091" w:type="dxa"/>
                  <w:vMerge w:val="continue"/>
                  <w:noWrap w:val="0"/>
                  <w:vAlign w:val="center"/>
                </w:tcPr>
                <w:p>
                  <w:pPr>
                    <w:spacing w:line="0" w:lineRule="atLeast"/>
                    <w:jc w:val="center"/>
                    <w:rPr>
                      <w:color w:val="000000" w:themeColor="text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2</w:t>
            </w:r>
            <w:r>
              <w:rPr>
                <w:rFonts w:hint="eastAsia" w:cs="Times New Roman"/>
                <w:b/>
                <w:bCs/>
                <w:color w:val="000000" w:themeColor="text1"/>
                <w:sz w:val="24"/>
                <w:szCs w:val="24"/>
                <w:lang w:eastAsia="zh-CN"/>
                <w14:textFill>
                  <w14:solidFill>
                    <w14:schemeClr w14:val="tx1"/>
                  </w14:solidFill>
                </w14:textFill>
              </w:rPr>
              <w:t>）</w:t>
            </w:r>
            <w:r>
              <w:rPr>
                <w:rFonts w:hint="eastAsia" w:ascii="Times New Roman" w:hAnsi="Times New Roman" w:cs="Times New Roman"/>
                <w:b/>
                <w:bCs/>
                <w:color w:val="000000" w:themeColor="text1"/>
                <w:sz w:val="24"/>
                <w:szCs w:val="24"/>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项目</w:t>
            </w:r>
            <w:r>
              <w:rPr>
                <w:rFonts w:hint="eastAsia"/>
                <w:color w:val="000000" w:themeColor="text1"/>
                <w:sz w:val="24"/>
                <w:szCs w:val="24"/>
                <w:highlight w:val="none"/>
                <w:lang w:eastAsia="zh-CN"/>
                <w14:textFill>
                  <w14:solidFill>
                    <w14:schemeClr w14:val="tx1"/>
                  </w14:solidFill>
                </w14:textFill>
              </w:rPr>
              <w:t>施工</w:t>
            </w:r>
            <w:r>
              <w:rPr>
                <w:rFonts w:hint="eastAsia" w:ascii="Times New Roman" w:hAnsi="Times New Roman"/>
                <w:color w:val="000000" w:themeColor="text1"/>
                <w:sz w:val="24"/>
                <w:szCs w:val="24"/>
                <w:highlight w:val="none"/>
                <w:lang w:eastAsia="zh-CN"/>
                <w14:textFill>
                  <w14:solidFill>
                    <w14:schemeClr w14:val="tx1"/>
                  </w14:solidFill>
                </w14:textFill>
              </w:rPr>
              <w:t>人员入厕依托附近农户旱厕，洗漱废水收集后用于场内抑尘，废水不外排</w:t>
            </w:r>
            <w:r>
              <w:rPr>
                <w:rFonts w:hint="eastAsia"/>
                <w:color w:val="000000" w:themeColor="text1"/>
                <w:sz w:val="24"/>
                <w:szCs w:val="24"/>
                <w:highlight w:val="none"/>
                <w:lang w:eastAsia="zh-CN"/>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（3）</w:t>
            </w:r>
            <w:r>
              <w:rPr>
                <w:rFonts w:hint="eastAsia" w:ascii="Times New Roman" w:hAnsi="Times New Roman"/>
                <w:b/>
                <w:bCs/>
                <w:color w:val="000000" w:themeColor="text1"/>
                <w:sz w:val="24"/>
                <w:szCs w:val="24"/>
                <w:highlight w:val="none"/>
                <w:lang w:val="en-US" w:eastAsia="zh-CN"/>
                <w14:textFill>
                  <w14:solidFill>
                    <w14:schemeClr w14:val="tx1"/>
                  </w14:solidFill>
                </w14:textFill>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项目噪声</w:t>
            </w:r>
            <w:r>
              <w:rPr>
                <w:rFonts w:ascii="Times New Roman" w:hAnsi="Times New Roman" w:eastAsia="宋体"/>
                <w:color w:val="000000" w:themeColor="text1"/>
                <w:sz w:val="24"/>
                <w:szCs w:val="24"/>
                <w:highlight w:val="none"/>
                <w14:textFill>
                  <w14:solidFill>
                    <w14:schemeClr w14:val="tx1"/>
                  </w14:solidFill>
                </w14:textFill>
              </w:rPr>
              <w:t>执行《建筑施工场界噪声排放标准》（GB12523－2</w:t>
            </w:r>
            <w:r>
              <w:rPr>
                <w:rFonts w:ascii="Times New Roman" w:hAnsi="Times New Roman" w:eastAsia="宋体"/>
                <w:color w:val="000000" w:themeColor="text1"/>
                <w:sz w:val="24"/>
                <w:szCs w:val="24"/>
                <w14:textFill>
                  <w14:solidFill>
                    <w14:schemeClr w14:val="tx1"/>
                  </w14:solidFill>
                </w14:textFill>
              </w:rPr>
              <w:t>011）标准，见表</w:t>
            </w:r>
            <w:r>
              <w:rPr>
                <w:rFonts w:hint="eastAsia"/>
                <w:color w:val="000000" w:themeColor="text1"/>
                <w:sz w:val="24"/>
                <w:szCs w:val="24"/>
                <w:lang w:val="en-US" w:eastAsia="zh-CN"/>
                <w14:textFill>
                  <w14:solidFill>
                    <w14:schemeClr w14:val="tx1"/>
                  </w14:solidFill>
                </w14:textFill>
              </w:rPr>
              <w:t>3-18</w:t>
            </w:r>
            <w:r>
              <w:rPr>
                <w:rFonts w:ascii="Times New Roman" w:hAnsi="Times New Roman" w:eastAsia="宋体"/>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表</w:t>
            </w:r>
            <w:r>
              <w:rPr>
                <w:rFonts w:hint="eastAsia" w:cs="Times New Roman"/>
                <w:b/>
                <w:bCs/>
                <w:color w:val="000000" w:themeColor="text1"/>
                <w:szCs w:val="21"/>
                <w:lang w:val="en-US" w:eastAsia="zh-CN"/>
                <w14:textFill>
                  <w14:solidFill>
                    <w14:schemeClr w14:val="tx1"/>
                  </w14:solidFill>
                </w14:textFill>
              </w:rPr>
              <w:t xml:space="preserve">3-18  </w:t>
            </w:r>
            <w:r>
              <w:rPr>
                <w:rFonts w:hint="default" w:ascii="Times New Roman" w:hAnsi="Times New Roman" w:eastAsia="宋体" w:cs="Times New Roman"/>
                <w:b/>
                <w:bCs/>
                <w:color w:val="000000" w:themeColor="text1"/>
                <w:szCs w:val="21"/>
                <w:lang w:val="en-US" w:eastAsia="zh-CN"/>
                <w14:textFill>
                  <w14:solidFill>
                    <w14:schemeClr w14:val="tx1"/>
                  </w14:solidFill>
                </w14:textFill>
              </w:rPr>
              <w:t xml:space="preserve"> 建筑施工场界噪声排放标准（GB12523-2011） 单位：dB(A)</w:t>
            </w:r>
          </w:p>
          <w:tbl>
            <w:tblPr>
              <w:tblStyle w:val="21"/>
              <w:tblW w:w="763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700"/>
              <w:gridCol w:w="39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19" w:hRule="atLeast"/>
                <w:jc w:val="center"/>
              </w:trPr>
              <w:tc>
                <w:tcPr>
                  <w:tcW w:w="2421" w:type="pct"/>
                  <w:tcBorders>
                    <w:tl2br w:val="nil"/>
                    <w:tr2bl w:val="nil"/>
                  </w:tcBorders>
                  <w:vAlign w:val="center"/>
                </w:tcPr>
                <w:p>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42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昼间</w:t>
                  </w:r>
                </w:p>
              </w:tc>
              <w:tc>
                <w:tcPr>
                  <w:tcW w:w="2578" w:type="pct"/>
                  <w:tcBorders>
                    <w:tl2br w:val="nil"/>
                    <w:tr2bl w:val="nil"/>
                  </w:tcBorders>
                  <w:vAlign w:val="center"/>
                </w:tcPr>
                <w:p>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42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2421" w:type="pct"/>
                  <w:tcBorders>
                    <w:tl2br w:val="nil"/>
                    <w:tr2bl w:val="nil"/>
                  </w:tcBorders>
                  <w:vAlign w:val="center"/>
                </w:tcPr>
                <w:p>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42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70</w:t>
                  </w:r>
                </w:p>
              </w:tc>
              <w:tc>
                <w:tcPr>
                  <w:tcW w:w="2578" w:type="pct"/>
                  <w:tcBorders>
                    <w:tl2br w:val="nil"/>
                    <w:tr2bl w:val="nil"/>
                  </w:tcBorders>
                  <w:vAlign w:val="center"/>
                </w:tcPr>
                <w:p>
                  <w:pPr>
                    <w:keepNext w:val="0"/>
                    <w:keepLines w:val="0"/>
                    <w:pageBreakBefore w:val="0"/>
                    <w:widowControl w:val="0"/>
                    <w:tabs>
                      <w:tab w:val="left" w:pos="360"/>
                    </w:tabs>
                    <w:kinsoku/>
                    <w:wordWrap/>
                    <w:overflowPunct/>
                    <w:topLinePunct w:val="0"/>
                    <w:autoSpaceDE/>
                    <w:autoSpaceDN/>
                    <w:bidi w:val="0"/>
                    <w:adjustRightInd/>
                    <w:snapToGrid/>
                    <w:spacing w:line="240" w:lineRule="auto"/>
                    <w:ind w:firstLine="42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jc w:val="left"/>
              <w:textAlignment w:val="auto"/>
              <w:rPr>
                <w:rFonts w:hint="default" w:ascii="Times New Roman" w:hAnsi="Times New Roman"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w:t>
            </w:r>
            <w:r>
              <w:rPr>
                <w:rFonts w:hint="eastAsia" w:ascii="Times New Roman" w:hAnsi="Times New Roman"/>
                <w:b/>
                <w:bCs/>
                <w:color w:val="000000" w:themeColor="text1"/>
                <w:sz w:val="24"/>
                <w:szCs w:val="24"/>
                <w:lang w:val="en-US" w:eastAsia="zh-CN"/>
                <w14:textFill>
                  <w14:solidFill>
                    <w14:schemeClr w14:val="tx1"/>
                  </w14:solidFill>
                </w14:textFill>
              </w:rPr>
              <w:t>固废</w:t>
            </w:r>
          </w:p>
          <w:p>
            <w:pPr>
              <w:pStyle w:val="20"/>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left"/>
              <w:textAlignment w:val="auto"/>
              <w:rPr>
                <w:rFonts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一般固废执行《一般工业固体废物贮存和填埋污染控制标准》(GB 18599-2020)</w:t>
            </w:r>
            <w:r>
              <w:rPr>
                <w:rFonts w:ascii="Times New Roman" w:hAnsi="Times New Roman" w:eastAsia="宋体"/>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noWrap w:val="0"/>
            <w:vAlign w:val="center"/>
          </w:tcPr>
          <w:p>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其他</w:t>
            </w:r>
          </w:p>
        </w:tc>
        <w:tc>
          <w:tcPr>
            <w:tcW w:w="8253" w:type="dxa"/>
            <w:noWrap w:val="0"/>
            <w:vAlign w:val="center"/>
          </w:tcPr>
          <w:p>
            <w:pPr>
              <w:spacing w:line="360" w:lineRule="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总量控制指标</w:t>
            </w:r>
          </w:p>
          <w:p>
            <w:pPr>
              <w:spacing w:line="360" w:lineRule="auto"/>
              <w:ind w:firstLine="480" w:firstLineChars="200"/>
              <w:rPr>
                <w:rFonts w:ascii="Times New Roman" w:hAnsi="Times New Roman" w:eastAsia="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本项目不涉及总量控制指标</w:t>
            </w:r>
          </w:p>
        </w:tc>
      </w:tr>
    </w:tbl>
    <w:p>
      <w:pPr>
        <w:pStyle w:val="17"/>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kern w:val="2"/>
          <w:sz w:val="36"/>
          <w:szCs w:val="36"/>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四、生态环境影响分析</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9"/>
        <w:gridCol w:w="7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79" w:type="dxa"/>
            <w:noWrap w:val="0"/>
            <w:tcMar>
              <w:left w:w="28" w:type="dxa"/>
              <w:right w:w="28" w:type="dxa"/>
            </w:tcMar>
            <w:vAlign w:val="center"/>
          </w:tcPr>
          <w:p>
            <w:pPr>
              <w:pStyle w:val="17"/>
              <w:adjustRightInd w:val="0"/>
              <w:snapToGrid w:val="0"/>
              <w:spacing w:before="0" w:beforeAutospacing="0" w:after="0" w:afterAutospacing="0"/>
              <w:jc w:val="center"/>
              <w:rPr>
                <w:rFonts w:cs="宋体"/>
                <w:bCs/>
                <w:color w:val="000000" w:themeColor="text1"/>
                <w:kern w:val="2"/>
                <w:sz w:val="24"/>
                <w:szCs w:val="24"/>
                <w14:textFill>
                  <w14:solidFill>
                    <w14:schemeClr w14:val="tx1"/>
                  </w14:solidFill>
                </w14:textFill>
              </w:rPr>
            </w:pPr>
            <w:bookmarkStart w:id="3" w:name="_Hlk49796138"/>
            <w:r>
              <w:rPr>
                <w:rFonts w:hint="eastAsia" w:cs="宋体"/>
                <w:bCs/>
                <w:color w:val="000000" w:themeColor="text1"/>
                <w:spacing w:val="10"/>
                <w:kern w:val="2"/>
                <w:sz w:val="24"/>
                <w:szCs w:val="24"/>
                <w14:textFill>
                  <w14:solidFill>
                    <w14:schemeClr w14:val="tx1"/>
                  </w14:solidFill>
                </w14:textFill>
              </w:rPr>
              <w:t>施工期生态环境影响分析</w:t>
            </w:r>
            <w:bookmarkEnd w:id="3"/>
          </w:p>
        </w:tc>
        <w:tc>
          <w:tcPr>
            <w:tcW w:w="8363" w:type="dxa"/>
            <w:noWrap w:val="0"/>
            <w:vAlign w:val="top"/>
          </w:tcPr>
          <w:p>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ascii="Times New Roman" w:hAnsi="Times New Roman" w:eastAsia="宋体"/>
                <w:b/>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b/>
                <w:color w:val="000000" w:themeColor="text1"/>
                <w:sz w:val="24"/>
                <w:szCs w:val="24"/>
                <w:highlight w:val="none"/>
                <w:lang w:eastAsia="zh-CN"/>
                <w14:textFill>
                  <w14:solidFill>
                    <w14:schemeClr w14:val="tx1"/>
                  </w14:solidFill>
                </w14:textFill>
              </w:rPr>
              <w:t>生态</w:t>
            </w:r>
            <w:r>
              <w:rPr>
                <w:rFonts w:ascii="Times New Roman" w:hAnsi="Times New Roman" w:eastAsia="宋体"/>
                <w:b/>
                <w:color w:val="000000" w:themeColor="text1"/>
                <w:sz w:val="24"/>
                <w:szCs w:val="24"/>
                <w:highlight w:val="none"/>
                <w:lang w:val="en-US" w:eastAsia="zh-CN"/>
                <w14:textFill>
                  <w14:solidFill>
                    <w14:schemeClr w14:val="tx1"/>
                  </w14:solidFill>
                </w14:textFill>
              </w:rPr>
              <w:t>破坏和环境</w:t>
            </w:r>
            <w:r>
              <w:rPr>
                <w:rFonts w:ascii="Times New Roman" w:hAnsi="Times New Roman" w:eastAsia="宋体"/>
                <w:b/>
                <w:color w:val="000000" w:themeColor="text1"/>
                <w:sz w:val="24"/>
                <w:szCs w:val="24"/>
                <w:highlight w:val="none"/>
                <w14:textFill>
                  <w14:solidFill>
                    <w14:schemeClr w14:val="tx1"/>
                  </w14:solidFill>
                </w14:textFill>
              </w:rPr>
              <w:t>污染工序</w:t>
            </w:r>
          </w:p>
          <w:p>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本项目施工方式主要</w:t>
            </w:r>
            <w:r>
              <w:rPr>
                <w:rFonts w:hint="eastAsia"/>
                <w:color w:val="000000" w:themeColor="text1"/>
                <w:sz w:val="24"/>
                <w:szCs w:val="24"/>
                <w:highlight w:val="none"/>
                <w:lang w:eastAsia="zh-CN"/>
                <w14:textFill>
                  <w14:solidFill>
                    <w14:schemeClr w14:val="tx1"/>
                  </w14:solidFill>
                </w14:textFill>
              </w:rPr>
              <w:t>采取</w:t>
            </w:r>
            <w:r>
              <w:rPr>
                <w:rFonts w:hint="eastAsia" w:ascii="Times New Roman" w:hAnsi="Times New Roman" w:eastAsia="宋体"/>
                <w:color w:val="000000" w:themeColor="text1"/>
                <w:sz w:val="24"/>
                <w:szCs w:val="24"/>
                <w:highlight w:val="none"/>
                <w14:textFill>
                  <w14:solidFill>
                    <w14:schemeClr w14:val="tx1"/>
                  </w14:solidFill>
                </w14:textFill>
              </w:rPr>
              <w:t>机械施工方式，部分施工段采用人工施工方式。</w:t>
            </w:r>
          </w:p>
          <w:p>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场地清理</w:t>
            </w:r>
            <w:r>
              <w:rPr>
                <w:rFonts w:hint="eastAsia"/>
                <w:color w:val="000000" w:themeColor="text1"/>
                <w:sz w:val="24"/>
                <w:szCs w:val="24"/>
                <w:highlight w:val="none"/>
                <w:lang w:eastAsia="zh-CN"/>
                <w14:textFill>
                  <w14:solidFill>
                    <w14:schemeClr w14:val="tx1"/>
                  </w14:solidFill>
                </w14:textFill>
              </w:rPr>
              <w:t>造成的植被减少、景观破坏等：</w:t>
            </w:r>
          </w:p>
          <w:p>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r>
              <w:rPr>
                <w:rFonts w:ascii="Times New Roman" w:hAnsi="Times New Roman" w:eastAsia="宋体"/>
                <w:color w:val="000000" w:themeColor="text1"/>
                <w:sz w:val="24"/>
                <w:szCs w:val="24"/>
                <w14:textFill>
                  <w14:solidFill>
                    <w14:schemeClr w14:val="tx1"/>
                  </w14:solidFill>
                </w14:textFill>
              </w:rPr>
              <w:t>施工期</w:t>
            </w:r>
            <w:r>
              <w:rPr>
                <w:rFonts w:hint="eastAsia"/>
                <w:color w:val="000000" w:themeColor="text1"/>
                <w:sz w:val="24"/>
                <w:szCs w:val="24"/>
                <w:lang w:eastAsia="zh-CN"/>
                <w14:textFill>
                  <w14:solidFill>
                    <w14:schemeClr w14:val="tx1"/>
                  </w14:solidFill>
                </w14:textFill>
              </w:rPr>
              <w:t>基础开挖、基础回填及</w:t>
            </w:r>
            <w:r>
              <w:rPr>
                <w:rFonts w:ascii="Times New Roman" w:hAnsi="Times New Roman" w:eastAsia="宋体"/>
                <w:color w:val="000000" w:themeColor="text1"/>
                <w:sz w:val="24"/>
                <w:szCs w:val="24"/>
                <w14:textFill>
                  <w14:solidFill>
                    <w14:schemeClr w14:val="tx1"/>
                  </w14:solidFill>
                </w14:textFill>
              </w:rPr>
              <w:t>车辆行驶产生的无组织排放扬尘，施工机械、运输车辆排放的尾气；</w:t>
            </w:r>
          </w:p>
          <w:p>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w:t>
            </w:r>
            <w:r>
              <w:rPr>
                <w:rFonts w:ascii="Times New Roman" w:hAnsi="Times New Roman" w:eastAsia="宋体"/>
                <w:bCs/>
                <w:color w:val="000000" w:themeColor="text1"/>
                <w:sz w:val="24"/>
                <w:szCs w:val="24"/>
                <w14:textFill>
                  <w14:solidFill>
                    <w14:schemeClr w14:val="tx1"/>
                  </w14:solidFill>
                </w14:textFill>
              </w:rPr>
              <w:t>施工过程中</w:t>
            </w:r>
            <w:r>
              <w:rPr>
                <w:rFonts w:hint="eastAsia" w:ascii="Times New Roman" w:hAnsi="Times New Roman" w:eastAsia="宋体"/>
                <w:bCs/>
                <w:color w:val="000000" w:themeColor="text1"/>
                <w:sz w:val="24"/>
                <w:szCs w:val="24"/>
                <w:lang w:eastAsia="zh-CN"/>
                <w14:textFill>
                  <w14:solidFill>
                    <w14:schemeClr w14:val="tx1"/>
                  </w14:solidFill>
                </w14:textFill>
              </w:rPr>
              <w:t>主要为</w:t>
            </w:r>
            <w:r>
              <w:rPr>
                <w:rFonts w:ascii="Times New Roman" w:hAnsi="Times New Roman" w:eastAsia="宋体"/>
                <w:color w:val="000000" w:themeColor="text1"/>
                <w:sz w:val="24"/>
                <w:szCs w:val="24"/>
                <w14:textFill>
                  <w14:solidFill>
                    <w14:schemeClr w14:val="tx1"/>
                  </w14:solidFill>
                </w14:textFill>
              </w:rPr>
              <w:t>施工人员</w:t>
            </w:r>
            <w:r>
              <w:rPr>
                <w:rFonts w:hint="eastAsia" w:ascii="Times New Roman" w:hAnsi="Times New Roman" w:eastAsia="宋体"/>
                <w:color w:val="000000" w:themeColor="text1"/>
                <w:sz w:val="24"/>
                <w:szCs w:val="24"/>
                <w14:textFill>
                  <w14:solidFill>
                    <w14:schemeClr w14:val="tx1"/>
                  </w14:solidFill>
                </w14:textFill>
              </w:rPr>
              <w:t>产生的少量</w:t>
            </w:r>
            <w:r>
              <w:rPr>
                <w:rFonts w:hint="eastAsia"/>
                <w:color w:val="000000" w:themeColor="text1"/>
                <w:sz w:val="24"/>
                <w:szCs w:val="24"/>
                <w:lang w:eastAsia="zh-CN"/>
                <w14:textFill>
                  <w14:solidFill>
                    <w14:schemeClr w14:val="tx1"/>
                  </w14:solidFill>
                </w14:textFill>
              </w:rPr>
              <w:t>洗漱废水</w:t>
            </w:r>
            <w:r>
              <w:rPr>
                <w:rFonts w:hint="eastAsia" w:ascii="Times New Roman" w:hAnsi="Times New Roman" w:eastAsia="宋体"/>
                <w:color w:val="000000" w:themeColor="text1"/>
                <w:sz w:val="24"/>
                <w:szCs w:val="24"/>
                <w14:textFill>
                  <w14:solidFill>
                    <w14:schemeClr w14:val="tx1"/>
                  </w14:solidFill>
                </w14:textFill>
              </w:rPr>
              <w:t>；</w:t>
            </w:r>
          </w:p>
          <w:p>
            <w:pPr>
              <w:keepNext w:val="0"/>
              <w:keepLines w:val="0"/>
              <w:pageBreakBefore w:val="0"/>
              <w:kinsoku/>
              <w:wordWrap/>
              <w:overflowPunct/>
              <w:topLinePunct w:val="0"/>
              <w:bidi w:val="0"/>
              <w:adjustRightInd/>
              <w:snapToGrid/>
              <w:spacing w:line="360" w:lineRule="auto"/>
              <w:ind w:firstLine="480" w:firstLineChars="200"/>
              <w:contextualSpacing/>
              <w:jc w:val="left"/>
              <w:textAlignment w:val="auto"/>
              <w:rPr>
                <w:rFonts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w:t>
            </w:r>
            <w:r>
              <w:rPr>
                <w:rFonts w:ascii="Times New Roman" w:hAnsi="Times New Roman" w:eastAsia="宋体"/>
                <w:color w:val="000000" w:themeColor="text1"/>
                <w:sz w:val="24"/>
                <w:szCs w:val="24"/>
                <w14:textFill>
                  <w14:solidFill>
                    <w14:schemeClr w14:val="tx1"/>
                  </w14:solidFill>
                </w14:textFill>
              </w:rPr>
              <w:t>施工期间挖掘机、推土机、装载机等施工机械产生的机械性噪声；</w:t>
            </w:r>
          </w:p>
          <w:p>
            <w:pPr>
              <w:keepNext w:val="0"/>
              <w:keepLines w:val="0"/>
              <w:pageBreakBefore w:val="0"/>
              <w:kinsoku/>
              <w:wordWrap/>
              <w:overflowPunct/>
              <w:topLinePunct w:val="0"/>
              <w:bidi w:val="0"/>
              <w:adjustRightInd/>
              <w:snapToGrid/>
              <w:spacing w:line="360" w:lineRule="auto"/>
              <w:ind w:firstLine="480" w:firstLineChars="200"/>
              <w:contextualSpacing/>
              <w:jc w:val="left"/>
              <w:textAlignment w:val="auto"/>
              <w:rPr>
                <w:rFonts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w:t>
            </w:r>
            <w:r>
              <w:rPr>
                <w:rFonts w:ascii="Times New Roman" w:hAnsi="Times New Roman" w:eastAsia="宋体"/>
                <w:color w:val="000000" w:themeColor="text1"/>
                <w:sz w:val="24"/>
                <w:szCs w:val="24"/>
                <w14:textFill>
                  <w14:solidFill>
                    <w14:schemeClr w14:val="tx1"/>
                  </w14:solidFill>
                </w14:textFill>
              </w:rPr>
              <w:t>施工人员</w:t>
            </w:r>
            <w:r>
              <w:rPr>
                <w:rFonts w:hint="eastAsia" w:ascii="Times New Roman" w:hAnsi="Times New Roman" w:eastAsia="宋体"/>
                <w:color w:val="000000" w:themeColor="text1"/>
                <w:sz w:val="24"/>
                <w:szCs w:val="24"/>
                <w14:textFill>
                  <w14:solidFill>
                    <w14:schemeClr w14:val="tx1"/>
                  </w14:solidFill>
                </w14:textFill>
              </w:rPr>
              <w:t>产生的少量</w:t>
            </w:r>
            <w:r>
              <w:rPr>
                <w:rFonts w:ascii="Times New Roman" w:hAnsi="Times New Roman" w:eastAsia="宋体"/>
                <w:color w:val="000000" w:themeColor="text1"/>
                <w:sz w:val="24"/>
                <w:szCs w:val="24"/>
                <w14:textFill>
                  <w14:solidFill>
                    <w14:schemeClr w14:val="tx1"/>
                  </w14:solidFill>
                </w14:textFill>
              </w:rPr>
              <w:t>生活</w:t>
            </w:r>
            <w:r>
              <w:rPr>
                <w:rFonts w:hint="eastAsia" w:ascii="Times New Roman" w:hAnsi="Times New Roman" w:eastAsia="宋体"/>
                <w:color w:val="000000" w:themeColor="text1"/>
                <w:sz w:val="24"/>
                <w:szCs w:val="24"/>
                <w14:textFill>
                  <w14:solidFill>
                    <w14:schemeClr w14:val="tx1"/>
                  </w14:solidFill>
                </w14:textFill>
              </w:rPr>
              <w:t>垃圾；</w:t>
            </w:r>
          </w:p>
          <w:p>
            <w:pPr>
              <w:keepNext w:val="0"/>
              <w:keepLines w:val="0"/>
              <w:pageBreakBefore w:val="0"/>
              <w:kinsoku/>
              <w:wordWrap/>
              <w:overflowPunct/>
              <w:topLinePunct w:val="0"/>
              <w:bidi w:val="0"/>
              <w:adjustRightInd/>
              <w:snapToGrid/>
              <w:spacing w:line="360" w:lineRule="auto"/>
              <w:ind w:firstLine="480" w:firstLineChars="200"/>
              <w:contextualSpacing/>
              <w:jc w:val="left"/>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w:t>
            </w:r>
            <w:r>
              <w:rPr>
                <w:rFonts w:hint="eastAsia" w:ascii="Times New Roman" w:hAnsi="Times New Roman" w:eastAsia="宋体"/>
                <w:color w:val="000000" w:themeColor="text1"/>
                <w:sz w:val="24"/>
                <w:szCs w:val="24"/>
                <w14:textFill>
                  <w14:solidFill>
                    <w14:schemeClr w14:val="tx1"/>
                  </w14:solidFill>
                </w14:textFill>
              </w:rPr>
              <w:t>场地清理、场地恢复、绿化等过程产生的水土流失。</w:t>
            </w:r>
          </w:p>
          <w:p>
            <w:pPr>
              <w:pStyle w:val="55"/>
              <w:keepNext w:val="0"/>
              <w:keepLines w:val="0"/>
              <w:pageBreakBefore w:val="0"/>
              <w:kinsoku/>
              <w:wordWrap/>
              <w:overflowPunct/>
              <w:topLinePunct w:val="0"/>
              <w:bidi w:val="0"/>
              <w:adjustRightInd/>
              <w:snapToGrid/>
              <w:spacing w:line="360" w:lineRule="auto"/>
              <w:jc w:val="left"/>
              <w:textAlignment w:val="auto"/>
              <w:rPr>
                <w:rFonts w:hint="eastAsia"/>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施工期具体产污工序</w:t>
            </w:r>
            <w:r>
              <w:rPr>
                <w:rFonts w:hint="eastAsia"/>
                <w:color w:val="000000" w:themeColor="text1"/>
                <w:sz w:val="24"/>
                <w:szCs w:val="24"/>
                <w:highlight w:val="none"/>
                <w:lang w:val="en-US" w:eastAsia="zh-CN"/>
                <w14:textFill>
                  <w14:solidFill>
                    <w14:schemeClr w14:val="tx1"/>
                  </w14:solidFill>
                </w14:textFill>
              </w:rPr>
              <w:t>及污染物见表4-1。</w:t>
            </w:r>
          </w:p>
          <w:p>
            <w:pPr>
              <w:pStyle w:val="51"/>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表4-1  项目施工期主要污染工序一览表</w:t>
            </w:r>
          </w:p>
          <w:tbl>
            <w:tblPr>
              <w:tblStyle w:val="22"/>
              <w:tblW w:w="76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067"/>
              <w:gridCol w:w="1458"/>
              <w:gridCol w:w="1734"/>
              <w:gridCol w:w="17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1"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w:t>
                  </w:r>
                </w:p>
              </w:tc>
              <w:tc>
                <w:tcPr>
                  <w:tcW w:w="2067"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产污环节</w:t>
                  </w:r>
                </w:p>
              </w:tc>
              <w:tc>
                <w:tcPr>
                  <w:tcW w:w="145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污染物</w:t>
                  </w:r>
                </w:p>
              </w:tc>
              <w:tc>
                <w:tcPr>
                  <w:tcW w:w="1734"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污染因子</w:t>
                  </w:r>
                </w:p>
              </w:tc>
              <w:tc>
                <w:tcPr>
                  <w:tcW w:w="173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81" w:type="dxa"/>
                  <w:vMerge w:val="restart"/>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废气</w:t>
                  </w:r>
                </w:p>
              </w:tc>
              <w:tc>
                <w:tcPr>
                  <w:tcW w:w="2067"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土方开挖、回填</w:t>
                  </w:r>
                </w:p>
              </w:tc>
              <w:tc>
                <w:tcPr>
                  <w:tcW w:w="145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扬尘</w:t>
                  </w:r>
                </w:p>
              </w:tc>
              <w:tc>
                <w:tcPr>
                  <w:tcW w:w="1734"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TSP</w:t>
                  </w:r>
                </w:p>
              </w:tc>
              <w:tc>
                <w:tcPr>
                  <w:tcW w:w="1738" w:type="dxa"/>
                  <w:vMerge w:val="restart"/>
                  <w:tcBorders>
                    <w:tl2br w:val="nil"/>
                    <w:tr2bl w:val="nil"/>
                  </w:tcBorders>
                  <w:noWrap w:val="0"/>
                  <w:vAlign w:val="center"/>
                </w:tcPr>
                <w:p>
                  <w:pPr>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无组织挥发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1" w:type="dxa"/>
                  <w:vMerge w:val="continue"/>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p>
              </w:tc>
              <w:tc>
                <w:tcPr>
                  <w:tcW w:w="2067"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汽车排放尾气</w:t>
                  </w:r>
                </w:p>
              </w:tc>
              <w:tc>
                <w:tcPr>
                  <w:tcW w:w="145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汽车尾气</w:t>
                  </w:r>
                </w:p>
              </w:tc>
              <w:tc>
                <w:tcPr>
                  <w:tcW w:w="1734" w:type="dxa"/>
                  <w:tcBorders>
                    <w:tl2br w:val="nil"/>
                    <w:tr2bl w:val="nil"/>
                  </w:tcBorders>
                  <w:noWrap w:val="0"/>
                  <w:vAlign w:val="center"/>
                </w:tcPr>
                <w:p>
                  <w:pPr>
                    <w:keepNext w:val="0"/>
                    <w:keepLines w:val="0"/>
                    <w:widowControl/>
                    <w:suppressLineNumbers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CO、NOx、</w:t>
                  </w: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THC</w:t>
                  </w:r>
                </w:p>
              </w:tc>
              <w:tc>
                <w:tcPr>
                  <w:tcW w:w="1738" w:type="dxa"/>
                  <w:vMerge w:val="continue"/>
                  <w:tcBorders>
                    <w:tl2br w:val="nil"/>
                    <w:tr2bl w:val="nil"/>
                  </w:tcBorders>
                  <w:noWrap w:val="0"/>
                  <w:vAlign w:val="center"/>
                </w:tcPr>
                <w:p>
                  <w:pPr>
                    <w:bidi w:val="0"/>
                    <w:jc w:val="center"/>
                    <w:rPr>
                      <w:rFonts w:hint="eastAsia"/>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81"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废水</w:t>
                  </w:r>
                </w:p>
              </w:tc>
              <w:tc>
                <w:tcPr>
                  <w:tcW w:w="2067" w:type="dxa"/>
                  <w:tcBorders>
                    <w:tl2br w:val="nil"/>
                    <w:tr2bl w:val="nil"/>
                  </w:tcBorders>
                  <w:noWrap w:val="0"/>
                  <w:vAlign w:val="center"/>
                </w:tcPr>
                <w:p>
                  <w:pPr>
                    <w:pStyle w:val="50"/>
                    <w:bidi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施工人员</w:t>
                  </w:r>
                </w:p>
              </w:tc>
              <w:tc>
                <w:tcPr>
                  <w:tcW w:w="145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洗漱废水</w:t>
                  </w:r>
                </w:p>
              </w:tc>
              <w:tc>
                <w:tcPr>
                  <w:tcW w:w="1734" w:type="dxa"/>
                  <w:tcBorders>
                    <w:tl2br w:val="nil"/>
                    <w:tr2bl w:val="nil"/>
                  </w:tcBorders>
                  <w:noWrap w:val="0"/>
                  <w:vAlign w:val="center"/>
                </w:tcPr>
                <w:p>
                  <w:pPr>
                    <w:pStyle w:val="50"/>
                    <w:bidi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SS、COD、BOD氨氮</w:t>
                  </w:r>
                </w:p>
              </w:tc>
              <w:tc>
                <w:tcPr>
                  <w:tcW w:w="1738" w:type="dxa"/>
                  <w:tcBorders>
                    <w:tl2br w:val="nil"/>
                    <w:tr2bl w:val="nil"/>
                  </w:tcBorders>
                  <w:noWrap w:val="0"/>
                  <w:vAlign w:val="center"/>
                </w:tcPr>
                <w:p>
                  <w:pPr>
                    <w:pStyle w:val="50"/>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项目人员入厕依托附近农户旱厕，洗漱废水收集后用于场内抑尘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1"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噪声</w:t>
                  </w:r>
                </w:p>
              </w:tc>
              <w:tc>
                <w:tcPr>
                  <w:tcW w:w="2067"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护脚/护堤砌筑</w:t>
                  </w:r>
                </w:p>
              </w:tc>
              <w:tc>
                <w:tcPr>
                  <w:tcW w:w="145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设备噪声</w:t>
                  </w:r>
                </w:p>
              </w:tc>
              <w:tc>
                <w:tcPr>
                  <w:tcW w:w="1734" w:type="dxa"/>
                  <w:tcBorders>
                    <w:tl2br w:val="nil"/>
                    <w:tr2bl w:val="nil"/>
                  </w:tcBorders>
                  <w:noWrap w:val="0"/>
                  <w:vAlign w:val="center"/>
                </w:tcPr>
                <w:p>
                  <w:pPr>
                    <w:pStyle w:val="50"/>
                    <w:bidi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噪声、固废</w:t>
                  </w:r>
                </w:p>
              </w:tc>
              <w:tc>
                <w:tcPr>
                  <w:tcW w:w="1738" w:type="dxa"/>
                  <w:tcBorders>
                    <w:tl2br w:val="nil"/>
                    <w:tr2bl w:val="nil"/>
                  </w:tcBorders>
                  <w:noWrap w:val="0"/>
                  <w:vAlign w:val="center"/>
                </w:tcPr>
                <w:p>
                  <w:pPr>
                    <w:pStyle w:val="50"/>
                    <w:bidi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81" w:type="dxa"/>
                  <w:vMerge w:val="restart"/>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固废</w:t>
                  </w:r>
                </w:p>
              </w:tc>
              <w:tc>
                <w:tcPr>
                  <w:tcW w:w="2067" w:type="dxa"/>
                  <w:tcBorders>
                    <w:tl2br w:val="nil"/>
                    <w:tr2bl w:val="nil"/>
                  </w:tcBorders>
                  <w:noWrap w:val="0"/>
                  <w:vAlign w:val="center"/>
                </w:tcPr>
                <w:p>
                  <w:pPr>
                    <w:pStyle w:val="50"/>
                    <w:bidi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土方开挖、回填</w:t>
                  </w:r>
                </w:p>
              </w:tc>
              <w:tc>
                <w:tcPr>
                  <w:tcW w:w="145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剩余土方</w:t>
                  </w:r>
                </w:p>
              </w:tc>
              <w:tc>
                <w:tcPr>
                  <w:tcW w:w="1734"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一般固废</w:t>
                  </w:r>
                </w:p>
              </w:tc>
              <w:tc>
                <w:tcPr>
                  <w:tcW w:w="1738" w:type="dxa"/>
                  <w:tcBorders>
                    <w:tl2br w:val="nil"/>
                    <w:tr2bl w:val="nil"/>
                  </w:tcBorders>
                  <w:noWrap w:val="0"/>
                  <w:vAlign w:val="center"/>
                </w:tcPr>
                <w:p>
                  <w:pPr>
                    <w:keepNext w:val="0"/>
                    <w:keepLines w:val="0"/>
                    <w:widowControl/>
                    <w:suppressLineNumbers w:val="0"/>
                    <w:jc w:val="left"/>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剩余土方用于河堤、场地平整及临时用地的恢复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81" w:type="dxa"/>
                  <w:vMerge w:val="continue"/>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p>
              </w:tc>
              <w:tc>
                <w:tcPr>
                  <w:tcW w:w="2067"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河道清淤</w:t>
                  </w:r>
                </w:p>
              </w:tc>
              <w:tc>
                <w:tcPr>
                  <w:tcW w:w="145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砂石</w:t>
                  </w:r>
                </w:p>
              </w:tc>
              <w:tc>
                <w:tcPr>
                  <w:tcW w:w="1734"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一般固废</w:t>
                  </w:r>
                </w:p>
              </w:tc>
              <w:tc>
                <w:tcPr>
                  <w:tcW w:w="1738" w:type="dxa"/>
                  <w:tcBorders>
                    <w:tl2br w:val="nil"/>
                    <w:tr2bl w:val="nil"/>
                  </w:tcBorders>
                  <w:noWrap w:val="0"/>
                  <w:vAlign w:val="center"/>
                </w:tcPr>
                <w:p>
                  <w:pPr>
                    <w:keepNext w:val="0"/>
                    <w:keepLines w:val="0"/>
                    <w:widowControl/>
                    <w:suppressLineNumbers w:val="0"/>
                    <w:jc w:val="left"/>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外售作为路基填料综合利用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81" w:type="dxa"/>
                  <w:vMerge w:val="continue"/>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p>
              </w:tc>
              <w:tc>
                <w:tcPr>
                  <w:tcW w:w="2067" w:type="dxa"/>
                  <w:tcBorders>
                    <w:tl2br w:val="nil"/>
                    <w:tr2bl w:val="nil"/>
                  </w:tcBorders>
                  <w:noWrap w:val="0"/>
                  <w:vAlign w:val="center"/>
                </w:tcPr>
                <w:p>
                  <w:pPr>
                    <w:pStyle w:val="50"/>
                    <w:bidi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护脚/护堤砌筑</w:t>
                  </w:r>
                </w:p>
              </w:tc>
              <w:tc>
                <w:tcPr>
                  <w:tcW w:w="145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建筑垃圾</w:t>
                  </w:r>
                </w:p>
              </w:tc>
              <w:tc>
                <w:tcPr>
                  <w:tcW w:w="1734"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一般固废</w:t>
                  </w:r>
                </w:p>
              </w:tc>
              <w:tc>
                <w:tcPr>
                  <w:tcW w:w="173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对于有利用价值的进行分拣回用，无法利用的建筑垃圾拉运至当地政府指定地点处置。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81" w:type="dxa"/>
                  <w:vMerge w:val="continue"/>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p>
              </w:tc>
              <w:tc>
                <w:tcPr>
                  <w:tcW w:w="2067"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施工人员</w:t>
                  </w:r>
                </w:p>
              </w:tc>
              <w:tc>
                <w:tcPr>
                  <w:tcW w:w="145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生活垃圾</w:t>
                  </w:r>
                </w:p>
              </w:tc>
              <w:tc>
                <w:tcPr>
                  <w:tcW w:w="1734"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生活垃圾</w:t>
                  </w:r>
                </w:p>
              </w:tc>
              <w:tc>
                <w:tcPr>
                  <w:tcW w:w="1738"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经收集后定去交由环卫部门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81" w:type="dxa"/>
                  <w:tcBorders>
                    <w:tl2br w:val="nil"/>
                    <w:tr2bl w:val="nil"/>
                  </w:tcBorders>
                  <w:noWrap w:val="0"/>
                  <w:vAlign w:val="center"/>
                </w:tcPr>
                <w:p>
                  <w:pPr>
                    <w:pStyle w:val="50"/>
                    <w:bidi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生态环境</w:t>
                  </w:r>
                </w:p>
              </w:tc>
              <w:tc>
                <w:tcPr>
                  <w:tcW w:w="2067" w:type="dxa"/>
                  <w:tcBorders>
                    <w:tl2br w:val="nil"/>
                    <w:tr2bl w:val="nil"/>
                  </w:tcBorders>
                  <w:noWrap w:val="0"/>
                  <w:vAlign w:val="center"/>
                </w:tcPr>
                <w:p>
                  <w:pPr>
                    <w:pStyle w:val="50"/>
                    <w:bidi w:val="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河道治理</w:t>
                  </w:r>
                </w:p>
              </w:tc>
              <w:tc>
                <w:tcPr>
                  <w:tcW w:w="4930" w:type="dxa"/>
                  <w:gridSpan w:val="3"/>
                  <w:tcBorders>
                    <w:tl2br w:val="nil"/>
                    <w:tr2bl w:val="nil"/>
                  </w:tcBorders>
                  <w:noWrap w:val="0"/>
                  <w:vAlign w:val="center"/>
                </w:tcPr>
                <w:p>
                  <w:pPr>
                    <w:pStyle w:val="50"/>
                    <w:bidi w:val="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破坏已有植被的破坏、土方挖填、堆存引起的扬尘、雨水冲刷等影响。</w:t>
                  </w:r>
                </w:p>
              </w:tc>
            </w:tr>
          </w:tbl>
          <w:p>
            <w:pPr>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2、生态影响分析</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bookmarkStart w:id="4" w:name="OLE_LINK3"/>
            <w:r>
              <w:rPr>
                <w:rFonts w:hint="eastAsia" w:ascii="Times New Roman" w:hAnsi="Times New Roman" w:eastAsia="宋体"/>
                <w:color w:val="000000" w:themeColor="text1"/>
                <w:sz w:val="24"/>
                <w14:textFill>
                  <w14:solidFill>
                    <w14:schemeClr w14:val="tx1"/>
                  </w14:solidFill>
                </w14:textFill>
              </w:rPr>
              <w:t>项目施工期主要生态环境影响主要包括已有植被的破坏、土方挖填、堆存引起的扬尘、雨水冲刷等影响。</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1</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 xml:space="preserve">对陆域生态系统的影响 </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①</w:t>
            </w:r>
            <w:r>
              <w:rPr>
                <w:rFonts w:hint="eastAsia" w:ascii="Times New Roman" w:hAnsi="Times New Roman" w:eastAsia="宋体"/>
                <w:color w:val="000000" w:themeColor="text1"/>
                <w:sz w:val="24"/>
                <w14:textFill>
                  <w14:solidFill>
                    <w14:schemeClr w14:val="tx1"/>
                  </w14:solidFill>
                </w14:textFill>
              </w:rPr>
              <w:t>临时占地情况</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根据业主提供资料，</w:t>
            </w:r>
            <w:r>
              <w:rPr>
                <w:rFonts w:hint="eastAsia" w:ascii="Times New Roman" w:hAnsi="Times New Roman" w:eastAsia="宋体"/>
                <w:color w:val="000000" w:themeColor="text1"/>
                <w:sz w:val="24"/>
                <w:lang w:eastAsia="zh-CN"/>
                <w14:textFill>
                  <w14:solidFill>
                    <w14:schemeClr w14:val="tx1"/>
                  </w14:solidFill>
                </w14:textFill>
              </w:rPr>
              <w:t>本项目施工场地基本上河流周边</w:t>
            </w:r>
            <w:r>
              <w:rPr>
                <w:rFonts w:hint="eastAsia" w:ascii="Times New Roman" w:hAnsi="Times New Roman" w:eastAsia="宋体"/>
                <w:color w:val="000000" w:themeColor="text1"/>
                <w:sz w:val="24"/>
                <w14:textFill>
                  <w14:solidFill>
                    <w14:schemeClr w14:val="tx1"/>
                  </w14:solidFill>
                </w14:textFill>
              </w:rPr>
              <w:t>，裸露的沙地空地，</w:t>
            </w:r>
            <w:r>
              <w:rPr>
                <w:rFonts w:hint="eastAsia" w:ascii="Times New Roman" w:hAnsi="Times New Roman" w:eastAsia="宋体"/>
                <w:color w:val="000000" w:themeColor="text1"/>
                <w:sz w:val="24"/>
                <w:lang w:eastAsia="zh-CN"/>
                <w14:textFill>
                  <w14:solidFill>
                    <w14:schemeClr w14:val="tx1"/>
                  </w14:solidFill>
                </w14:textFill>
              </w:rPr>
              <w:t>只有少量的</w:t>
            </w:r>
            <w:r>
              <w:rPr>
                <w:rFonts w:hint="eastAsia" w:ascii="Times New Roman" w:hAnsi="Times New Roman" w:eastAsia="宋体"/>
                <w:color w:val="000000" w:themeColor="text1"/>
                <w:sz w:val="24"/>
                <w14:textFill>
                  <w14:solidFill>
                    <w14:schemeClr w14:val="tx1"/>
                  </w14:solidFill>
                </w14:textFill>
              </w:rPr>
              <w:t xml:space="preserve">植被覆盖。主要植被类型为杂草，临时占地对该部分植被影响较小，待占地结束后杂草会重新生长覆盖本区域。 </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w:t>
            </w:r>
            <w:r>
              <w:rPr>
                <w:rFonts w:hint="eastAsia" w:ascii="Times New Roman" w:hAnsi="Times New Roman" w:eastAsia="宋体"/>
                <w:color w:val="000000" w:themeColor="text1"/>
                <w:sz w:val="24"/>
                <w14:textFill>
                  <w14:solidFill>
                    <w14:schemeClr w14:val="tx1"/>
                  </w14:solidFill>
                </w14:textFill>
              </w:rPr>
              <w:t xml:space="preserve">施工导致的生物量损失 </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本项目天然护坡基本为</w:t>
            </w:r>
            <w:r>
              <w:rPr>
                <w:rFonts w:hint="eastAsia" w:ascii="Times New Roman" w:hAnsi="Times New Roman" w:eastAsia="宋体"/>
                <w:color w:val="000000" w:themeColor="text1"/>
                <w:sz w:val="24"/>
                <w14:textFill>
                  <w14:solidFill>
                    <w14:schemeClr w14:val="tx1"/>
                  </w14:solidFill>
                </w14:textFill>
              </w:rPr>
              <w:t>沙地漫滩，其植被现状多为低矮灌草丛，其生物多样性少，生态结构简单，生物量较少。</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2</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对</w:t>
            </w:r>
            <w:r>
              <w:rPr>
                <w:rFonts w:hint="eastAsia"/>
                <w:color w:val="000000" w:themeColor="text1"/>
                <w:sz w:val="24"/>
                <w:lang w:eastAsia="zh-CN"/>
                <w14:textFill>
                  <w14:solidFill>
                    <w14:schemeClr w14:val="tx1"/>
                  </w14:solidFill>
                </w14:textFill>
              </w:rPr>
              <w:t>陆生植物和动植物</w:t>
            </w:r>
            <w:r>
              <w:rPr>
                <w:rFonts w:hint="eastAsia" w:ascii="Times New Roman" w:hAnsi="Times New Roman" w:eastAsia="宋体"/>
                <w:color w:val="000000" w:themeColor="text1"/>
                <w:sz w:val="24"/>
                <w14:textFill>
                  <w14:solidFill>
                    <w14:schemeClr w14:val="tx1"/>
                  </w14:solidFill>
                </w14:textFill>
              </w:rPr>
              <w:t>影响分析</w:t>
            </w:r>
          </w:p>
          <w:p>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①</w:t>
            </w:r>
            <w:r>
              <w:rPr>
                <w:rFonts w:hint="eastAsia"/>
                <w:color w:val="000000" w:themeColor="text1"/>
                <w:sz w:val="24"/>
                <w:szCs w:val="24"/>
                <w:lang w:eastAsia="zh-CN"/>
                <w14:textFill>
                  <w14:solidFill>
                    <w14:schemeClr w14:val="tx1"/>
                  </w14:solidFill>
                </w14:textFill>
              </w:rPr>
              <w:t>对植物的影响分析</w:t>
            </w:r>
          </w:p>
          <w:p>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施工期对植被的影响主要有占地范围内原有植物的剥离、清理及占压。在施工过程中，土壤开挖区范围内植物的地上部分与根系均被清除，施工带两侧的植被由于挖掘土石的堆放、人员的践踏、施工车辆和机具的碾压而受到不同程度的破坏，会造成地上部分破坏甚至死亡。</w:t>
            </w:r>
          </w:p>
          <w:p>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工程填挖方均占压和清除一定数量的地表植物，使填挖区被生土覆盖或出露生土，植物恢复须经过较长时间。此外，石材、水泥的堆放也会占压一定的植物，尤其是水泥的抛撒，可造成附近土壤板结，影响植物生长。</w:t>
            </w:r>
          </w:p>
          <w:p>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工程对植被的影响呈线状分布。从工程类别的影响来看，永久占地原有植被全部遭到破坏，代之出现的是人工栽植的绿化植被；临时占地原有植被破坏面积估计可占到80%以上，其中大部分在2～3年内可得到恢复，要达到较好的恢复程度，需要3～5年时间。</w:t>
            </w:r>
          </w:p>
          <w:p>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②</w:t>
            </w:r>
            <w:r>
              <w:rPr>
                <w:rFonts w:hint="eastAsia" w:ascii="宋体" w:hAnsi="宋体" w:eastAsia="宋体" w:cs="宋体"/>
                <w:color w:val="000000" w:themeColor="text1"/>
                <w:sz w:val="24"/>
                <w:szCs w:val="24"/>
                <w:lang w:eastAsia="zh-CN"/>
                <w14:textFill>
                  <w14:solidFill>
                    <w14:schemeClr w14:val="tx1"/>
                  </w14:solidFill>
                </w14:textFill>
              </w:rPr>
              <w:t>对动物的影响分析</w:t>
            </w:r>
          </w:p>
          <w:p>
            <w:pPr>
              <w:pStyle w:val="4"/>
              <w:keepNext/>
              <w:keepLines/>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hint="eastAsia"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评价区无重点保护的野生动物，常见动物为区域内广泛分布的种类，如野兔、田鼠、蛇等。项目施工期对动物的影响，主要是运输、施工噪声和人为活动，迫使动物离开场站和管道沿线区域。因此，在施工过程中应加强对施工人员活动区域的控制，减少对野生动物的干扰，夜间尽量减少活动；合理安排施工时间，在动物活动频繁季节停止施工。在此基础上，项目建设对野生动物的影响小。</w:t>
            </w:r>
          </w:p>
          <w:p>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fldChar w:fldCharType="begin"/>
            </w:r>
            <w:r>
              <w:rPr>
                <w:rFonts w:hint="eastAsia" w:ascii="宋体" w:hAnsi="宋体" w:eastAsia="宋体" w:cs="宋体"/>
                <w:color w:val="000000" w:themeColor="text1"/>
                <w:sz w:val="24"/>
                <w:szCs w:val="24"/>
                <w:lang w:val="en-US" w:eastAsia="zh-CN"/>
                <w14:textFill>
                  <w14:solidFill>
                    <w14:schemeClr w14:val="tx1"/>
                  </w14:solidFill>
                </w14:textFill>
              </w:rPr>
              <w:instrText xml:space="preserve"> = 3 \* GB3 \* MERGEFORMAT </w:instrText>
            </w:r>
            <w:r>
              <w:rPr>
                <w:rFonts w:hint="eastAsia" w:ascii="宋体" w:hAnsi="宋体" w:eastAsia="宋体" w:cs="宋体"/>
                <w:color w:val="000000" w:themeColor="text1"/>
                <w:sz w:val="24"/>
                <w:szCs w:val="24"/>
                <w:lang w:val="en-US" w:eastAsia="zh-CN"/>
                <w14:textFill>
                  <w14:solidFill>
                    <w14:schemeClr w14:val="tx1"/>
                  </w14:solidFill>
                </w14:textFill>
              </w:rPr>
              <w:fldChar w:fldCharType="separate"/>
            </w:r>
            <w:r>
              <w:rPr>
                <w:color w:val="000000" w:themeColor="text1"/>
                <w:sz w:val="24"/>
                <w:szCs w:val="24"/>
                <w14:textFill>
                  <w14:solidFill>
                    <w14:schemeClr w14:val="tx1"/>
                  </w14:solidFill>
                </w14:textFill>
              </w:rPr>
              <w:t>③</w:t>
            </w:r>
            <w:r>
              <w:rPr>
                <w:rFonts w:hint="eastAsia" w:ascii="宋体" w:hAnsi="宋体" w:eastAsia="宋体" w:cs="宋体"/>
                <w:color w:val="000000" w:themeColor="text1"/>
                <w:sz w:val="24"/>
                <w:szCs w:val="24"/>
                <w:lang w:val="en-US" w:eastAsia="zh-CN"/>
                <w14:textFill>
                  <w14:solidFill>
                    <w14:schemeClr w14:val="tx1"/>
                  </w14:solidFill>
                </w14:textFill>
              </w:rPr>
              <w:fldChar w:fldCharType="end"/>
            </w:r>
            <w:r>
              <w:rPr>
                <w:rFonts w:hint="eastAsia" w:ascii="宋体" w:hAnsi="宋体" w:eastAsia="宋体" w:cs="宋体"/>
                <w:color w:val="000000" w:themeColor="text1"/>
                <w:sz w:val="24"/>
                <w:szCs w:val="24"/>
                <w:lang w:val="en-US" w:eastAsia="zh-CN"/>
                <w14:textFill>
                  <w14:solidFill>
                    <w14:schemeClr w14:val="tx1"/>
                  </w14:solidFill>
                </w14:textFill>
              </w:rPr>
              <w:t>农业生态系统影响分析</w:t>
            </w:r>
          </w:p>
          <w:p>
            <w:pPr>
              <w:pStyle w:val="52"/>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1）对生物代谢的影响</w:t>
            </w:r>
          </w:p>
          <w:p>
            <w:pPr>
              <w:pStyle w:val="52"/>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扬尘污染物主要通过气孔进入细胞，布满植物叶片的整个叶面，堵塞气孔，妨碍光合作用、呼吸作用和蒸腾作用，从而危害植物，微尘中的一些有毒物质可通过溶解渗透，进入植物体内，产生毒害作用。</w:t>
            </w:r>
          </w:p>
          <w:p>
            <w:pPr>
              <w:pStyle w:val="52"/>
              <w:ind w:firstLine="48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A、</w:t>
            </w:r>
            <w:r>
              <w:rPr>
                <w:rFonts w:hint="eastAsia"/>
                <w:color w:val="000000" w:themeColor="text1"/>
                <w:sz w:val="24"/>
                <w:szCs w:val="24"/>
                <w14:textFill>
                  <w14:solidFill>
                    <w14:schemeClr w14:val="tx1"/>
                  </w14:solidFill>
                </w14:textFill>
              </w:rPr>
              <w:t>对光合作用的影响：叶片表面上覆盖的灰尘越多、时间越长，其受到灰尘的影响也越严重，光合作物受影响的程度也越明显。根据相关实验结果，植物叶片覆尘后光合速率均受到不同程度的影响，表现为下降的趋势。</w:t>
            </w:r>
          </w:p>
          <w:p>
            <w:pPr>
              <w:pStyle w:val="52"/>
              <w:ind w:firstLine="48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B、</w:t>
            </w:r>
            <w:r>
              <w:rPr>
                <w:rFonts w:hint="eastAsia"/>
                <w:color w:val="000000" w:themeColor="text1"/>
                <w:sz w:val="24"/>
                <w:szCs w:val="24"/>
                <w14:textFill>
                  <w14:solidFill>
                    <w14:schemeClr w14:val="tx1"/>
                  </w14:solidFill>
                </w14:textFill>
              </w:rPr>
              <w:t>对气孔开放的影响：有研究说明，蒙尘后叶片的气孔导度比未蒙尘叶片的明显下降，有的甚至下降了50%。</w:t>
            </w:r>
          </w:p>
          <w:p>
            <w:pPr>
              <w:pStyle w:val="52"/>
              <w:ind w:firstLine="48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C、</w:t>
            </w:r>
            <w:r>
              <w:rPr>
                <w:rFonts w:hint="eastAsia"/>
                <w:color w:val="000000" w:themeColor="text1"/>
                <w:sz w:val="24"/>
                <w:szCs w:val="24"/>
                <w14:textFill>
                  <w14:solidFill>
                    <w14:schemeClr w14:val="tx1"/>
                  </w14:solidFill>
                </w14:textFill>
              </w:rPr>
              <w:t>对色素含量代谢的影响：植物中的色素含量对周围环境特别是大气污染的变化具有很强的敏感性，因此常常被用来指示大气污染物对植物生理状态的影响和改变。众多研究表明，扬尘污染能够降低叶片的叶绿素含量。</w:t>
            </w:r>
          </w:p>
          <w:p>
            <w:pPr>
              <w:pStyle w:val="52"/>
              <w:ind w:firstLine="48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D、</w:t>
            </w:r>
            <w:r>
              <w:rPr>
                <w:rFonts w:hint="eastAsia"/>
                <w:color w:val="000000" w:themeColor="text1"/>
                <w:sz w:val="24"/>
                <w:szCs w:val="24"/>
                <w14:textFill>
                  <w14:solidFill>
                    <w14:schemeClr w14:val="tx1"/>
                  </w14:solidFill>
                </w14:textFill>
              </w:rPr>
              <w:t>对呼吸作用的影响：细小的灰尘颗粒覆盖在叶片上，堵塞了气孔，使叶片表面的温度升高，细胞内CO</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浓度升高O</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浓度降低，同时叶片的机械组织也受到不同程度的损伤，导致叶片呼吸作用减弱，呼吸速率下降。</w:t>
            </w:r>
          </w:p>
          <w:p>
            <w:pPr>
              <w:pStyle w:val="52"/>
              <w:ind w:firstLine="480"/>
              <w:rPr>
                <w:rFonts w:hint="eastAsia"/>
                <w:color w:val="000000" w:themeColor="text1"/>
                <w:sz w:val="24"/>
                <w:szCs w:val="24"/>
                <w14:textFill>
                  <w14:solidFill>
                    <w14:schemeClr w14:val="tx1"/>
                  </w14:solidFill>
                </w14:textFill>
              </w:rPr>
            </w:pPr>
            <w:bookmarkStart w:id="5" w:name="_Toc11055464"/>
            <w:r>
              <w:rPr>
                <w:rFonts w:hint="eastAsia"/>
                <w:color w:val="000000" w:themeColor="text1"/>
                <w:sz w:val="24"/>
                <w:szCs w:val="24"/>
                <w:lang w:val="en-US" w:eastAsia="zh-CN"/>
                <w14:textFill>
                  <w14:solidFill>
                    <w14:schemeClr w14:val="tx1"/>
                  </w14:solidFill>
                </w14:textFill>
              </w:rPr>
              <w:t>E、</w:t>
            </w:r>
            <w:r>
              <w:rPr>
                <w:rFonts w:hint="eastAsia"/>
                <w:color w:val="000000" w:themeColor="text1"/>
                <w:sz w:val="24"/>
                <w:szCs w:val="24"/>
                <w14:textFill>
                  <w14:solidFill>
                    <w14:schemeClr w14:val="tx1"/>
                  </w14:solidFill>
                </w14:textFill>
              </w:rPr>
              <w:t>对蒸腾作用的影响：当叶片被灰尘覆盖后，影响了叶片对光的吸收，植物的蒸腾作用下降。</w:t>
            </w:r>
          </w:p>
          <w:bookmarkEnd w:id="5"/>
          <w:p>
            <w:pPr>
              <w:pStyle w:val="52"/>
              <w:ind w:firstLine="48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F、</w:t>
            </w:r>
            <w:r>
              <w:rPr>
                <w:rFonts w:hint="eastAsia"/>
                <w:color w:val="000000" w:themeColor="text1"/>
                <w:sz w:val="24"/>
                <w:szCs w:val="24"/>
                <w14:textFill>
                  <w14:solidFill>
                    <w14:schemeClr w14:val="tx1"/>
                  </w14:solidFill>
                </w14:textFill>
              </w:rPr>
              <w:t>对叶片温度的影响：灰尘能够提高叶表温度主要是因为：一是灰尘吸收太阳的近红外光，导致叶片被灰尘覆盖后表面的温度上升。二是气孔堵塞使叶片不能与外界进行气体交换，从而引进温度升高。三是由于灰尘的覆盖，叶片对水分的利用效率降低，细胞内水分的含量比较多，热量不能释放出去，以致叶表温度升高。</w:t>
            </w:r>
          </w:p>
          <w:p>
            <w:pPr>
              <w:pStyle w:val="52"/>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2）对农作物生长类比分析</w:t>
            </w:r>
          </w:p>
          <w:p>
            <w:pPr>
              <w:pStyle w:val="52"/>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类比《沙尘暴粉尘对农作物呼吸作用的影响》（赵华军，甘肃农业大学，硕士论文）中相关研究结果。主要研究结果如下：</w:t>
            </w:r>
          </w:p>
          <w:p>
            <w:pPr>
              <w:pStyle w:val="52"/>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A、</w:t>
            </w:r>
            <w:r>
              <w:rPr>
                <w:rFonts w:hint="eastAsia" w:ascii="宋体" w:hAnsi="宋体" w:cs="宋体"/>
                <w:color w:val="000000" w:themeColor="text1"/>
                <w:sz w:val="24"/>
                <w:szCs w:val="24"/>
                <w14:textFill>
                  <w14:solidFill>
                    <w14:schemeClr w14:val="tx1"/>
                  </w14:solidFill>
                </w14:textFill>
              </w:rPr>
              <w:t>受沙尘暴粉尘的影响，小麦、玉米蒙尘叶的光合速率（P</w:t>
            </w:r>
            <w:r>
              <w:rPr>
                <w:rFonts w:hint="eastAsia" w:ascii="宋体" w:hAnsi="宋体" w:cs="宋体"/>
                <w:color w:val="000000" w:themeColor="text1"/>
                <w:sz w:val="24"/>
                <w:szCs w:val="24"/>
                <w:vertAlign w:val="subscript"/>
                <w14:textFill>
                  <w14:solidFill>
                    <w14:schemeClr w14:val="tx1"/>
                  </w14:solidFill>
                </w14:textFill>
              </w:rPr>
              <w:t>n</w:t>
            </w:r>
            <w:r>
              <w:rPr>
                <w:rFonts w:hint="eastAsia" w:ascii="宋体" w:hAnsi="宋体" w:cs="宋体"/>
                <w:color w:val="000000" w:themeColor="text1"/>
                <w:sz w:val="24"/>
                <w:szCs w:val="24"/>
                <w14:textFill>
                  <w14:solidFill>
                    <w14:schemeClr w14:val="tx1"/>
                  </w14:solidFill>
                </w14:textFill>
              </w:rPr>
              <w:t>）、蒸腾速率（T</w:t>
            </w:r>
            <w:r>
              <w:rPr>
                <w:rFonts w:hint="eastAsia" w:ascii="宋体" w:hAnsi="宋体" w:cs="宋体"/>
                <w:color w:val="000000" w:themeColor="text1"/>
                <w:sz w:val="24"/>
                <w:szCs w:val="24"/>
                <w:vertAlign w:val="subscript"/>
                <w14:textFill>
                  <w14:solidFill>
                    <w14:schemeClr w14:val="tx1"/>
                  </w14:solidFill>
                </w14:textFill>
              </w:rPr>
              <w:t>r</w:t>
            </w:r>
            <w:r>
              <w:rPr>
                <w:rFonts w:hint="eastAsia" w:ascii="宋体" w:hAnsi="宋体" w:cs="宋体"/>
                <w:color w:val="000000" w:themeColor="text1"/>
                <w:sz w:val="24"/>
                <w:szCs w:val="24"/>
                <w14:textFill>
                  <w14:solidFill>
                    <w14:schemeClr w14:val="tx1"/>
                  </w14:solidFill>
                </w14:textFill>
              </w:rPr>
              <w:t>）、气孔导度(G</w:t>
            </w:r>
            <w:r>
              <w:rPr>
                <w:rFonts w:hint="eastAsia" w:ascii="宋体" w:hAnsi="宋体" w:cs="宋体"/>
                <w:color w:val="000000" w:themeColor="text1"/>
                <w:sz w:val="24"/>
                <w:szCs w:val="24"/>
                <w:vertAlign w:val="subscript"/>
                <w14:textFill>
                  <w14:solidFill>
                    <w14:schemeClr w14:val="tx1"/>
                  </w14:solidFill>
                </w14:textFill>
              </w:rPr>
              <w:t>s</w:t>
            </w:r>
            <w:r>
              <w:rPr>
                <w:rFonts w:hint="eastAsia" w:ascii="宋体" w:hAnsi="宋体" w:cs="宋体"/>
                <w:color w:val="000000" w:themeColor="text1"/>
                <w:sz w:val="24"/>
                <w:szCs w:val="24"/>
                <w14:textFill>
                  <w14:solidFill>
                    <w14:schemeClr w14:val="tx1"/>
                  </w14:solidFill>
                </w14:textFill>
              </w:rPr>
              <w:t>)和呼吸速率（R）要低于未蒙尘叶；</w:t>
            </w:r>
          </w:p>
          <w:p>
            <w:pPr>
              <w:pStyle w:val="52"/>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B、</w:t>
            </w:r>
            <w:r>
              <w:rPr>
                <w:rFonts w:hint="eastAsia" w:ascii="宋体" w:hAnsi="宋体" w:cs="宋体"/>
                <w:color w:val="000000" w:themeColor="text1"/>
                <w:sz w:val="24"/>
                <w:szCs w:val="24"/>
                <w14:textFill>
                  <w14:solidFill>
                    <w14:schemeClr w14:val="tx1"/>
                  </w14:solidFill>
                </w14:textFill>
              </w:rPr>
              <w:t>从整体上看，小麦、玉米叶片在沙尘暴粉尘覆盖下整个生育期内叶片叶绿素含量明显的下降；</w:t>
            </w:r>
          </w:p>
          <w:p>
            <w:pPr>
              <w:pStyle w:val="52"/>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C、</w:t>
            </w:r>
            <w:r>
              <w:rPr>
                <w:rFonts w:hint="eastAsia" w:ascii="宋体" w:hAnsi="宋体" w:cs="宋体"/>
                <w:color w:val="000000" w:themeColor="text1"/>
                <w:sz w:val="24"/>
                <w:szCs w:val="24"/>
                <w14:textFill>
                  <w14:solidFill>
                    <w14:schemeClr w14:val="tx1"/>
                  </w14:solidFill>
                </w14:textFill>
              </w:rPr>
              <w:t>测得小麦、玉米叶中可溶性蛋白质的含量总体上表现出下降趋势，小麦蒙尘处理与未蒙尘处理之间差异显著（p&lt;0.01），而玉米蒙尘处理与未蒙尘处理无差异。</w:t>
            </w:r>
          </w:p>
          <w:p>
            <w:pPr>
              <w:pStyle w:val="52"/>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D、</w:t>
            </w:r>
            <w:r>
              <w:rPr>
                <w:rFonts w:hint="default" w:ascii="Times New Roman" w:hAnsi="Times New Roman" w:cs="Times New Roman"/>
                <w:color w:val="000000" w:themeColor="text1"/>
                <w:sz w:val="24"/>
                <w:szCs w:val="24"/>
                <w14:textFill>
                  <w14:solidFill>
                    <w14:schemeClr w14:val="tx1"/>
                  </w14:solidFill>
                </w14:textFill>
              </w:rPr>
              <w:t>开敞式环境条件下，同种类农作物叶片纵向不同高度滞尘量比较发现，“上”位的滞尘量明显高于“中”和“下”位，这是由于开敞式环境条件下车辆行人繁多，造成路面较大程度的二次扬尘</w:t>
            </w:r>
          </w:p>
          <w:p>
            <w:pPr>
              <w:pStyle w:val="52"/>
              <w:ind w:firstLine="480"/>
              <w:rPr>
                <w:rFonts w:hint="eastAsia" w:ascii="宋体" w:hAnsi="宋体" w:cs="宋体"/>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通过以上研究及分析可以看出，沙尘暴粉尘对农作物的播种、生长、成熟各个生长阶段具有不同程度的、不可忽视的、长期的危害作用。</w:t>
            </w:r>
          </w:p>
          <w:p>
            <w:pPr>
              <w:pStyle w:val="52"/>
              <w:ind w:firstLine="48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3）对农作物影响分析</w:t>
            </w:r>
          </w:p>
          <w:p>
            <w:pPr>
              <w:pStyle w:val="52"/>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根据前述影响分析，运输道路扬尘的影响集中在道路两侧50m的范围内，当道路两侧种植有农作物时，扬尘会对这些农作物生长造成影响，降低农作物的产量和品质。由于植被的滞尘能力使得道路扬尘的影响范围有所减小，特别像玉米、高粱一类的高大农业植被滞尘能力较强，根据现场调查，进井场道路对农植物的影响主要集中在道路两侧20m范围内，据此，本评价提出，对于有扬尘影响的进井场道路两侧20m范围内的农业植物将按照减产50%或实际的作物产量的经济价值进行补偿，妥善解决好与当地群众的关系。</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ascii="Times New Roman" w:hAnsi="Times New Roman" w:eastAsia="宋体"/>
                <w:color w:val="000000" w:themeColor="text1"/>
                <w:sz w:val="24"/>
                <w14:textFill>
                  <w14:solidFill>
                    <w14:schemeClr w14:val="tx1"/>
                  </w14:solidFill>
                </w14:textFill>
              </w:rPr>
              <w:t>）对</w:t>
            </w:r>
            <w:r>
              <w:rPr>
                <w:rFonts w:hint="eastAsia"/>
                <w:color w:val="000000" w:themeColor="text1"/>
                <w:sz w:val="24"/>
                <w:lang w:eastAsia="zh-CN"/>
                <w14:textFill>
                  <w14:solidFill>
                    <w14:schemeClr w14:val="tx1"/>
                  </w14:solidFill>
                </w14:textFill>
              </w:rPr>
              <w:t>湘乐川和城北河</w:t>
            </w:r>
            <w:r>
              <w:rPr>
                <w:rFonts w:hint="eastAsia" w:ascii="Times New Roman" w:hAnsi="Times New Roman" w:eastAsia="宋体"/>
                <w:color w:val="000000" w:themeColor="text1"/>
                <w:sz w:val="24"/>
                <w14:textFill>
                  <w14:solidFill>
                    <w14:schemeClr w14:val="tx1"/>
                  </w14:solidFill>
                </w14:textFill>
              </w:rPr>
              <w:t>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项目施工区域</w:t>
            </w:r>
            <w:r>
              <w:rPr>
                <w:rFonts w:hint="eastAsia"/>
                <w:color w:val="000000" w:themeColor="text1"/>
                <w:sz w:val="24"/>
                <w:lang w:eastAsia="zh-CN"/>
                <w14:textFill>
                  <w14:solidFill>
                    <w14:schemeClr w14:val="tx1"/>
                  </w14:solidFill>
                </w14:textFill>
              </w:rPr>
              <w:t>在</w:t>
            </w:r>
            <w:r>
              <w:rPr>
                <w:rFonts w:hint="eastAsia" w:ascii="Times New Roman" w:hAnsi="Times New Roman" w:eastAsia="宋体"/>
                <w:color w:val="000000" w:themeColor="text1"/>
                <w:sz w:val="24"/>
                <w14:textFill>
                  <w14:solidFill>
                    <w14:schemeClr w14:val="tx1"/>
                  </w14:solidFill>
                </w14:textFill>
              </w:rPr>
              <w:t>河道</w:t>
            </w:r>
            <w:r>
              <w:rPr>
                <w:rFonts w:hint="eastAsia"/>
                <w:color w:val="000000" w:themeColor="text1"/>
                <w:sz w:val="24"/>
                <w:lang w:eastAsia="zh-CN"/>
                <w14:textFill>
                  <w14:solidFill>
                    <w14:schemeClr w14:val="tx1"/>
                  </w14:solidFill>
                </w14:textFill>
              </w:rPr>
              <w:t>两侧</w:t>
            </w:r>
            <w:r>
              <w:rPr>
                <w:rFonts w:hint="eastAsia" w:ascii="Times New Roman" w:hAnsi="Times New Roman" w:eastAsia="宋体"/>
                <w:color w:val="000000" w:themeColor="text1"/>
                <w:sz w:val="24"/>
                <w14:textFill>
                  <w14:solidFill>
                    <w14:schemeClr w14:val="tx1"/>
                  </w14:solidFill>
                </w14:textFill>
              </w:rPr>
              <w:t>，如果不注意控制施工期废水防治措施，将有可能导致废水直接排入河流，产生水体污染。</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①</w:t>
            </w:r>
            <w:r>
              <w:rPr>
                <w:rFonts w:hint="eastAsia" w:ascii="Times New Roman" w:hAnsi="Times New Roman" w:eastAsia="宋体"/>
                <w:color w:val="000000" w:themeColor="text1"/>
                <w:sz w:val="24"/>
                <w14:textFill>
                  <w14:solidFill>
                    <w14:schemeClr w14:val="tx1"/>
                  </w14:solidFill>
                </w14:textFill>
              </w:rPr>
              <w:t>项目</w:t>
            </w:r>
            <w:r>
              <w:rPr>
                <w:rFonts w:hint="eastAsia" w:ascii="Times New Roman" w:hAnsi="Times New Roman"/>
                <w:color w:val="000000" w:themeColor="text1"/>
                <w:sz w:val="24"/>
                <w:lang w:eastAsia="zh-CN"/>
                <w14:textFill>
                  <w14:solidFill>
                    <w14:schemeClr w14:val="tx1"/>
                  </w14:solidFill>
                </w14:textFill>
              </w:rPr>
              <w:t>在丰水期施工时，需设置导流，施工导流</w:t>
            </w:r>
            <w:r>
              <w:rPr>
                <w:rFonts w:hint="eastAsia" w:ascii="Times New Roman" w:hAnsi="Times New Roman" w:eastAsia="宋体"/>
                <w:color w:val="000000" w:themeColor="text1"/>
                <w:sz w:val="24"/>
                <w14:textFill>
                  <w14:solidFill>
                    <w14:schemeClr w14:val="tx1"/>
                  </w14:solidFill>
                </w14:textFill>
              </w:rPr>
              <w:t>采取土袋围堰法，土袋沉入水中的初期，可能会产生部分土壤颗粒被水流冲进水域内，使局部水环境浑浊度提高。但随着层层土袋的相互错缝与压实，土袋内的颗粒被水冲进水域的可能性减少。因此</w:t>
            </w:r>
            <w:r>
              <w:rPr>
                <w:rFonts w:hint="eastAsia"/>
                <w:color w:val="000000" w:themeColor="text1"/>
                <w:sz w:val="24"/>
                <w:lang w:eastAsia="zh-CN"/>
                <w14:textFill>
                  <w14:solidFill>
                    <w14:schemeClr w14:val="tx1"/>
                  </w14:solidFill>
                </w14:textFill>
              </w:rPr>
              <w:t>项目</w:t>
            </w:r>
            <w:r>
              <w:rPr>
                <w:rFonts w:hint="eastAsia" w:ascii="Times New Roman" w:hAnsi="Times New Roman"/>
                <w:color w:val="000000" w:themeColor="text1"/>
                <w:sz w:val="24"/>
                <w:lang w:eastAsia="zh-CN"/>
                <w14:textFill>
                  <w14:solidFill>
                    <w14:schemeClr w14:val="tx1"/>
                  </w14:solidFill>
                </w14:textFill>
              </w:rPr>
              <w:t>施工导流</w:t>
            </w:r>
            <w:r>
              <w:rPr>
                <w:rFonts w:hint="eastAsia" w:ascii="Times New Roman" w:hAnsi="Times New Roman" w:eastAsia="宋体"/>
                <w:color w:val="000000" w:themeColor="text1"/>
                <w:sz w:val="24"/>
                <w14:textFill>
                  <w14:solidFill>
                    <w14:schemeClr w14:val="tx1"/>
                  </w14:solidFill>
                </w14:textFill>
              </w:rPr>
              <w:t>对河流的影响随着施工期的结束而结束。</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②</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项堤岸整治过程基本无废水产生。在护岸固脚上方坡面覆盖营养土时，若操作不规范或覆土过满，导致覆土散落河道内，以致河流水质中悬浮物浓度增高，造成区域内水体污染。由于护岸固脚上方的需覆土坡面有一定距离，且施工过程中小心操作，几乎无覆土落入河道内，且有堤岸石阶防护，基本无大量覆土遗落河内，因此堤岸整治施工对</w:t>
            </w:r>
            <w:r>
              <w:rPr>
                <w:rFonts w:hint="eastAsia"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河流</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的影响较小。</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ascii="Times New Roman" w:hAnsi="Times New Roman" w:eastAsia="宋体"/>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③</w:t>
            </w:r>
            <w:r>
              <w:rPr>
                <w:rFonts w:hint="eastAsia" w:ascii="Times New Roman" w:hAnsi="Times New Roman" w:eastAsia="宋体"/>
                <w:color w:val="000000" w:themeColor="text1"/>
                <w:sz w:val="24"/>
                <w14:textFill>
                  <w14:solidFill>
                    <w14:schemeClr w14:val="tx1"/>
                  </w14:solidFill>
                </w14:textFill>
              </w:rPr>
              <w:t>项目施工期较短，施工过程中将产生少量人员</w:t>
            </w:r>
            <w:r>
              <w:rPr>
                <w:rFonts w:hint="eastAsia" w:ascii="Times New Roman" w:hAnsi="Times New Roman"/>
                <w:color w:val="000000" w:themeColor="text1"/>
                <w:sz w:val="24"/>
                <w:lang w:eastAsia="zh-CN"/>
                <w14:textFill>
                  <w14:solidFill>
                    <w14:schemeClr w14:val="tx1"/>
                  </w14:solidFill>
                </w14:textFill>
              </w:rPr>
              <w:t>盥洗</w:t>
            </w:r>
            <w:r>
              <w:rPr>
                <w:rFonts w:hint="eastAsia" w:ascii="Times New Roman" w:hAnsi="Times New Roman" w:eastAsia="宋体"/>
                <w:color w:val="000000" w:themeColor="text1"/>
                <w:sz w:val="24"/>
                <w14:textFill>
                  <w14:solidFill>
                    <w14:schemeClr w14:val="tx1"/>
                  </w14:solidFill>
                </w14:textFill>
              </w:rPr>
              <w:t>废水用于施工场地洒水降尘使用，施工过程中不产生污水排放。同时要求建设单位施工时避开丰水期和雨季，避免雨水冲刷产生径流流入河流。</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rFonts w:hint="eastAsia" w:ascii="Times New Roman" w:hAnsi="Times New Roman" w:eastAsia="宋体"/>
                <w:color w:val="000000" w:themeColor="text1"/>
                <w:sz w:val="24"/>
                <w14:textFill>
                  <w14:solidFill>
                    <w14:schemeClr w14:val="tx1"/>
                  </w14:solidFill>
                </w14:textFill>
              </w:rPr>
              <w:t>）施工期水土流失影响</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施工期开挖工程会扰动土壤，如果施工期间恰逢降雨季会造成水土流失影响，评价要求企业施工期避开雨季，避免雨水冲刷施工期产生水土流失，同时压缩施工期，尽量减少对土壤扰动时间，必要时可采取分段</w:t>
            </w:r>
            <w:r>
              <w:rPr>
                <w:rFonts w:hint="eastAsia" w:ascii="Times New Roman" w:hAnsi="Times New Roman"/>
                <w:color w:val="000000" w:themeColor="text1"/>
                <w:sz w:val="24"/>
                <w:lang w:eastAsia="zh-CN"/>
                <w14:textFill>
                  <w14:solidFill>
                    <w14:schemeClr w14:val="tx1"/>
                  </w14:solidFill>
                </w14:textFill>
              </w:rPr>
              <w:t>施工</w:t>
            </w:r>
            <w:r>
              <w:rPr>
                <w:rFonts w:hint="eastAsia" w:ascii="Times New Roman" w:hAnsi="Times New Roman" w:eastAsia="宋体"/>
                <w:color w:val="000000" w:themeColor="text1"/>
                <w:sz w:val="24"/>
                <w14:textFill>
                  <w14:solidFill>
                    <w14:schemeClr w14:val="tx1"/>
                  </w14:solidFill>
                </w14:textFill>
              </w:rPr>
              <w:t>，以减少同一时间内土壤扰动区域。</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）对土壤的影响分析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施工期对土壤的影响主要是占压造成土壤压实和对土壤表层的剥离，影响范围主要集中在</w:t>
            </w:r>
            <w:r>
              <w:rPr>
                <w:rFonts w:hint="eastAsia" w:ascii="Times New Roman" w:hAnsi="Times New Roman"/>
                <w:color w:val="000000" w:themeColor="text1"/>
                <w:sz w:val="24"/>
                <w:lang w:eastAsia="zh-CN"/>
                <w14:textFill>
                  <w14:solidFill>
                    <w14:schemeClr w14:val="tx1"/>
                  </w14:solidFill>
                </w14:textFill>
              </w:rPr>
              <w:t>护堤及护岸</w:t>
            </w:r>
            <w:r>
              <w:rPr>
                <w:rFonts w:hint="eastAsia" w:ascii="Times New Roman" w:hAnsi="Times New Roman" w:eastAsia="宋体"/>
                <w:color w:val="000000" w:themeColor="text1"/>
                <w:sz w:val="24"/>
                <w14:textFill>
                  <w14:solidFill>
                    <w14:schemeClr w14:val="tx1"/>
                  </w14:solidFill>
                </w14:textFill>
              </w:rPr>
              <w:t>施工作业带两侧范围内，而对此区域以外的土壤影响较小。根据项目内容，</w:t>
            </w:r>
            <w:r>
              <w:rPr>
                <w:rFonts w:hint="eastAsia" w:ascii="Times New Roman" w:hAnsi="Times New Roman"/>
                <w:color w:val="000000" w:themeColor="text1"/>
                <w:sz w:val="24"/>
                <w:lang w:eastAsia="zh-CN"/>
                <w14:textFill>
                  <w14:solidFill>
                    <w14:schemeClr w14:val="tx1"/>
                  </w14:solidFill>
                </w14:textFill>
              </w:rPr>
              <w:t>基础</w:t>
            </w:r>
            <w:r>
              <w:rPr>
                <w:rFonts w:hint="eastAsia" w:ascii="Times New Roman" w:hAnsi="Times New Roman" w:eastAsia="宋体"/>
                <w:color w:val="000000" w:themeColor="text1"/>
                <w:sz w:val="24"/>
                <w14:textFill>
                  <w14:solidFill>
                    <w14:schemeClr w14:val="tx1"/>
                  </w14:solidFill>
                </w14:textFill>
              </w:rPr>
              <w:t>开挖、回填对土壤的扰动和破坏最大。本项目对土壤的影响主要表现为对土壤性质、土壤肥力的影响和土壤污染三个方面。评价要求建设单位施工时将表层植被及土壤整体移开保存，并及时进行回填，对固体废物实施了严格的管理措施，进行了统一回填和专门处理，减少对土壤的影响。</w:t>
            </w:r>
          </w:p>
          <w:bookmarkEnd w:id="4"/>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000000" w:themeColor="text1"/>
                <w:sz w:val="24"/>
                <w:lang w:eastAsia="zh-CN"/>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6</w:t>
            </w:r>
            <w:r>
              <w:rPr>
                <w:rFonts w:hint="eastAsia" w:ascii="Times New Roman" w:hAnsi="Times New Roman" w:eastAsia="宋体"/>
                <w:color w:val="000000" w:themeColor="text1"/>
                <w:sz w:val="24"/>
                <w:lang w:eastAsia="zh-CN"/>
                <w14:textFill>
                  <w14:solidFill>
                    <w14:schemeClr w14:val="tx1"/>
                  </w14:solidFill>
                </w14:textFill>
              </w:rPr>
              <w:t>）水生生态的影响分析</w:t>
            </w:r>
          </w:p>
          <w:p>
            <w:pPr>
              <w:widowControl/>
              <w:spacing w:line="360" w:lineRule="auto"/>
              <w:ind w:firstLine="480" w:firstLineChars="200"/>
              <w:jc w:val="left"/>
              <w:rPr>
                <w:rFonts w:hint="eastAsia"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该工程施工期对水生生物的主要影响是</w:t>
            </w:r>
            <w:r>
              <w:rPr>
                <w:rFonts w:hint="eastAsia" w:cs="Times New Roman"/>
                <w:color w:val="000000" w:themeColor="text1"/>
                <w:kern w:val="0"/>
                <w:sz w:val="24"/>
                <w:szCs w:val="24"/>
                <w:lang w:eastAsia="zh-CN" w:bidi="ar"/>
                <w14:textFill>
                  <w14:solidFill>
                    <w14:schemeClr w14:val="tx1"/>
                  </w14:solidFill>
                </w14:textFill>
              </w:rPr>
              <w:t>河道</w:t>
            </w:r>
            <w:r>
              <w:rPr>
                <w:rFonts w:hint="eastAsia" w:cs="Times New Roman"/>
                <w:color w:val="000000" w:themeColor="text1"/>
                <w:kern w:val="0"/>
                <w:sz w:val="24"/>
                <w:szCs w:val="24"/>
                <w:lang w:bidi="ar"/>
                <w14:textFill>
                  <w14:solidFill>
                    <w14:schemeClr w14:val="tx1"/>
                  </w14:solidFill>
                </w14:textFill>
              </w:rPr>
              <w:t>清淤等工程施工产生的泥沙等悬浮物进入水体，造成水体泥沙含量的增加，对浮游生物、底栖动物的生长繁殖不利，对鱼类的摄食、繁殖、栖息产生一定的不利影响。施工机械产生的噪声对鱼类的摄食、繁殖、栖息等产生一定的不利影响；水文条件发生改变，对水生生物产生一定的不利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bookmarkStart w:id="6" w:name="_Toc12199"/>
            <w:r>
              <w:rPr>
                <w:rFonts w:hint="eastAsia"/>
                <w:color w:val="000000" w:themeColor="text1"/>
                <w:sz w:val="24"/>
                <w:szCs w:val="24"/>
                <w:lang w:eastAsia="zh-CN"/>
                <w14:textFill>
                  <w14:solidFill>
                    <w14:schemeClr w14:val="tx1"/>
                  </w14:solidFill>
                </w14:textFill>
              </w:rPr>
              <w:t>①对浮游生物的影响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该工程施工扰动水体，造成水质浑浊，水中悬浮物浓度升高，降低了水域透明度，对浮游生物的生长繁殖产生一定的不利影响，但这种影响是暂时的，随着施工的结束而逐渐得到恢复。工程建设施工合理安排，尽量减少涉水工程面积，工程建设对浮游生物影响施工完成后可以自行恢复。运营期对浮游生物的生长繁殖有一定的积极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②对底栖生物的影响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该工程清淤疏浚等施工将破坏底栖动物生存环境，水库的底质类型和形态发生改变，底栖动物的生境条件和空间分布也将被改变。对底栖动物的生长繁殖产生一定的不利影响。施工结束后，底栖动物生境得以恢复。虽然底栖动物群落将逐步恢复；但是由于底栖动物区域性强，迁移能力弱，对于环境变化通常缺少回避能力，其群落重建需要相对较长的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③对水生维管束植物的影响</w:t>
            </w:r>
          </w:p>
          <w:p>
            <w:pPr>
              <w:spacing w:line="360" w:lineRule="auto"/>
              <w:ind w:firstLine="480" w:firstLineChars="200"/>
              <w:outlineLvl w:val="2"/>
              <w:rPr>
                <w:rStyle w:val="26"/>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施工河段的水生维管束植物主要是芦苇，为广布种，没有特有的水生植物属和特有种的分布，施工对其影响较小。运营期对水生维管束植物有一定的积极作用。</w:t>
            </w:r>
          </w:p>
          <w:p>
            <w:pPr>
              <w:spacing w:line="360" w:lineRule="auto"/>
              <w:ind w:firstLine="480" w:firstLineChars="200"/>
              <w:outlineLvl w:val="2"/>
              <w:rPr>
                <w:rStyle w:val="26"/>
                <w:rFonts w:hint="default"/>
                <w:b w:val="0"/>
                <w:bCs w:val="0"/>
                <w:color w:val="000000" w:themeColor="text1"/>
                <w:sz w:val="24"/>
                <w:szCs w:val="24"/>
                <w14:textFill>
                  <w14:solidFill>
                    <w14:schemeClr w14:val="tx1"/>
                  </w14:solidFill>
                </w14:textFill>
              </w:rPr>
            </w:pPr>
            <w:r>
              <w:rPr>
                <w:rStyle w:val="26"/>
                <w:rFonts w:hint="eastAsia"/>
                <w:b w:val="0"/>
                <w:bCs w:val="0"/>
                <w:color w:val="000000" w:themeColor="text1"/>
                <w:sz w:val="24"/>
                <w:szCs w:val="24"/>
                <w:lang w:eastAsia="zh-CN"/>
                <w14:textFill>
                  <w14:solidFill>
                    <w14:schemeClr w14:val="tx1"/>
                  </w14:solidFill>
                </w14:textFill>
              </w:rPr>
              <w:t>④</w:t>
            </w:r>
            <w:r>
              <w:rPr>
                <w:rStyle w:val="26"/>
                <w:rFonts w:hint="default"/>
                <w:b w:val="0"/>
                <w:bCs w:val="0"/>
                <w:color w:val="000000" w:themeColor="text1"/>
                <w:sz w:val="24"/>
                <w:szCs w:val="24"/>
                <w14:textFill>
                  <w14:solidFill>
                    <w14:schemeClr w14:val="tx1"/>
                  </w14:solidFill>
                </w14:textFill>
              </w:rPr>
              <w:t>对鱼类区系组成的影响。</w:t>
            </w:r>
            <w:bookmarkEnd w:id="6"/>
            <w:bookmarkStart w:id="7" w:name="_Hlk19355460"/>
          </w:p>
          <w:p>
            <w:pPr>
              <w:widowControl/>
              <w:spacing w:line="360" w:lineRule="auto"/>
              <w:ind w:firstLine="480" w:firstLineChars="200"/>
              <w:jc w:val="left"/>
              <w:rPr>
                <w:rFonts w:hint="eastAsia" w:cs="Times New Roman"/>
                <w:b w:val="0"/>
                <w:bCs w:val="0"/>
                <w:color w:val="000000" w:themeColor="text1"/>
                <w:kern w:val="0"/>
                <w:sz w:val="24"/>
                <w:szCs w:val="24"/>
                <w:lang w:bidi="ar"/>
                <w14:textFill>
                  <w14:solidFill>
                    <w14:schemeClr w14:val="tx1"/>
                  </w14:solidFill>
                </w14:textFill>
              </w:rPr>
            </w:pPr>
            <w:r>
              <w:rPr>
                <w:rFonts w:hint="eastAsia" w:cs="Times New Roman"/>
                <w:b w:val="0"/>
                <w:bCs w:val="0"/>
                <w:color w:val="000000" w:themeColor="text1"/>
                <w:kern w:val="0"/>
                <w:sz w:val="24"/>
                <w:szCs w:val="24"/>
                <w:lang w:bidi="ar"/>
                <w14:textFill>
                  <w14:solidFill>
                    <w14:schemeClr w14:val="tx1"/>
                  </w14:solidFill>
                </w14:textFill>
              </w:rPr>
              <w:t>该工程的施工对鱼类的主要影响为扰动河床产生的悬浮物、噪声和震动的影响；不会造成鱼类种类的消失和灭绝，鱼类区系组成不会发生直接的变化，对鱼类区系组成无直接的影响。</w:t>
            </w:r>
            <w:bookmarkEnd w:id="7"/>
          </w:p>
          <w:p>
            <w:pPr>
              <w:spacing w:line="360" w:lineRule="auto"/>
              <w:ind w:firstLine="480" w:firstLineChars="200"/>
              <w:outlineLvl w:val="2"/>
              <w:rPr>
                <w:rStyle w:val="26"/>
                <w:rFonts w:hint="default"/>
                <w:b w:val="0"/>
                <w:bCs w:val="0"/>
                <w:color w:val="000000" w:themeColor="text1"/>
                <w:sz w:val="24"/>
                <w:szCs w:val="24"/>
                <w14:textFill>
                  <w14:solidFill>
                    <w14:schemeClr w14:val="tx1"/>
                  </w14:solidFill>
                </w14:textFill>
              </w:rPr>
            </w:pPr>
            <w:bookmarkStart w:id="8" w:name="_Toc7137"/>
            <w:r>
              <w:rPr>
                <w:rStyle w:val="26"/>
                <w:rFonts w:hint="eastAsia"/>
                <w:b w:val="0"/>
                <w:bCs w:val="0"/>
                <w:color w:val="000000" w:themeColor="text1"/>
                <w:sz w:val="24"/>
                <w:szCs w:val="24"/>
                <w:lang w:eastAsia="zh-CN"/>
                <w14:textFill>
                  <w14:solidFill>
                    <w14:schemeClr w14:val="tx1"/>
                  </w14:solidFill>
                </w14:textFill>
              </w:rPr>
              <w:t>⑤</w:t>
            </w:r>
            <w:r>
              <w:rPr>
                <w:rStyle w:val="26"/>
                <w:rFonts w:hint="default"/>
                <w:b w:val="0"/>
                <w:bCs w:val="0"/>
                <w:color w:val="000000" w:themeColor="text1"/>
                <w:sz w:val="24"/>
                <w:szCs w:val="24"/>
                <w14:textFill>
                  <w14:solidFill>
                    <w14:schemeClr w14:val="tx1"/>
                  </w14:solidFill>
                </w14:textFill>
              </w:rPr>
              <w:t>对鱼类种群结构的影响。</w:t>
            </w:r>
            <w:bookmarkEnd w:id="8"/>
            <w:bookmarkStart w:id="9" w:name="_Hlk19355449"/>
          </w:p>
          <w:p>
            <w:pPr>
              <w:widowControl/>
              <w:spacing w:line="360" w:lineRule="auto"/>
              <w:ind w:firstLine="480" w:firstLineChars="200"/>
              <w:jc w:val="left"/>
              <w:rPr>
                <w:rFonts w:hint="eastAsia" w:cs="Times New Roman"/>
                <w:b w:val="0"/>
                <w:bCs w:val="0"/>
                <w:color w:val="000000" w:themeColor="text1"/>
                <w:kern w:val="0"/>
                <w:sz w:val="24"/>
                <w:szCs w:val="24"/>
                <w:lang w:bidi="ar"/>
                <w14:textFill>
                  <w14:solidFill>
                    <w14:schemeClr w14:val="tx1"/>
                  </w14:solidFill>
                </w14:textFill>
              </w:rPr>
            </w:pPr>
            <w:r>
              <w:rPr>
                <w:rFonts w:hint="eastAsia" w:cs="Times New Roman"/>
                <w:b w:val="0"/>
                <w:bCs w:val="0"/>
                <w:color w:val="000000" w:themeColor="text1"/>
                <w:kern w:val="0"/>
                <w:sz w:val="24"/>
                <w:szCs w:val="24"/>
                <w:lang w:bidi="ar"/>
                <w14:textFill>
                  <w14:solidFill>
                    <w14:schemeClr w14:val="tx1"/>
                  </w14:solidFill>
                </w14:textFill>
              </w:rPr>
              <w:t>该工程的施工扰动河床产生的悬浮物，对工程区及其下游鱼类的摄食、栖息、生长等产生一定的不利影；施工产生的噪声和震动对鱼类的生活习性产生一定的不利影响，工程影响水域由于受施工扰动、噪声和震动的影响，鱼类种群结构会发生一定的变化，对鱼类的种群结构产生一定的不利影响。</w:t>
            </w:r>
            <w:bookmarkEnd w:id="9"/>
          </w:p>
          <w:p>
            <w:pPr>
              <w:spacing w:line="360" w:lineRule="auto"/>
              <w:ind w:firstLine="480" w:firstLineChars="200"/>
              <w:outlineLvl w:val="2"/>
              <w:rPr>
                <w:rStyle w:val="26"/>
                <w:rFonts w:hint="default"/>
                <w:b w:val="0"/>
                <w:bCs w:val="0"/>
                <w:color w:val="000000" w:themeColor="text1"/>
                <w:sz w:val="24"/>
                <w:szCs w:val="24"/>
                <w14:textFill>
                  <w14:solidFill>
                    <w14:schemeClr w14:val="tx1"/>
                  </w14:solidFill>
                </w14:textFill>
              </w:rPr>
            </w:pPr>
            <w:bookmarkStart w:id="10" w:name="_Toc3475"/>
            <w:r>
              <w:rPr>
                <w:rStyle w:val="26"/>
                <w:rFonts w:hint="eastAsia"/>
                <w:b w:val="0"/>
                <w:bCs w:val="0"/>
                <w:color w:val="000000" w:themeColor="text1"/>
                <w:sz w:val="24"/>
                <w:szCs w:val="24"/>
                <w:lang w:eastAsia="zh-CN"/>
                <w14:textFill>
                  <w14:solidFill>
                    <w14:schemeClr w14:val="tx1"/>
                  </w14:solidFill>
                </w14:textFill>
              </w:rPr>
              <w:t>⑥</w:t>
            </w:r>
            <w:r>
              <w:rPr>
                <w:rStyle w:val="26"/>
                <w:rFonts w:hint="default"/>
                <w:b w:val="0"/>
                <w:bCs w:val="0"/>
                <w:color w:val="000000" w:themeColor="text1"/>
                <w:sz w:val="24"/>
                <w:szCs w:val="24"/>
                <w14:textFill>
                  <w14:solidFill>
                    <w14:schemeClr w14:val="tx1"/>
                  </w14:solidFill>
                </w14:textFill>
              </w:rPr>
              <w:t>对鱼类资源的影响。</w:t>
            </w:r>
            <w:bookmarkEnd w:id="10"/>
            <w:bookmarkStart w:id="11" w:name="_Hlk19355431"/>
          </w:p>
          <w:p>
            <w:pPr>
              <w:widowControl/>
              <w:spacing w:line="360" w:lineRule="auto"/>
              <w:ind w:firstLine="480" w:firstLineChars="200"/>
              <w:jc w:val="left"/>
              <w:rPr>
                <w:rFonts w:hint="eastAsia" w:cs="Times New Roman"/>
                <w:b w:val="0"/>
                <w:bCs w:val="0"/>
                <w:color w:val="000000" w:themeColor="text1"/>
                <w:kern w:val="0"/>
                <w:sz w:val="24"/>
                <w:szCs w:val="24"/>
                <w:lang w:bidi="ar"/>
                <w14:textFill>
                  <w14:solidFill>
                    <w14:schemeClr w14:val="tx1"/>
                  </w14:solidFill>
                </w14:textFill>
              </w:rPr>
            </w:pPr>
            <w:r>
              <w:rPr>
                <w:rFonts w:hint="eastAsia" w:cs="Times New Roman"/>
                <w:b w:val="0"/>
                <w:bCs w:val="0"/>
                <w:color w:val="000000" w:themeColor="text1"/>
                <w:kern w:val="0"/>
                <w:sz w:val="24"/>
                <w:szCs w:val="24"/>
                <w:lang w:bidi="ar"/>
                <w14:textFill>
                  <w14:solidFill>
                    <w14:schemeClr w14:val="tx1"/>
                  </w14:solidFill>
                </w14:textFill>
              </w:rPr>
              <w:t>该工程的施工短期内造成影响水域及其上下游水域鱼类资源下降，在施工区域鱼类活动减弱。施工结束后，随着时间的推移，鱼类将逐步适应新环境，影响将逐步消失。</w:t>
            </w:r>
            <w:bookmarkEnd w:id="11"/>
          </w:p>
          <w:p>
            <w:pPr>
              <w:spacing w:line="360" w:lineRule="auto"/>
              <w:ind w:firstLine="480" w:firstLineChars="200"/>
              <w:outlineLvl w:val="2"/>
              <w:rPr>
                <w:rStyle w:val="26"/>
                <w:rFonts w:hint="default"/>
                <w:b w:val="0"/>
                <w:bCs w:val="0"/>
                <w:color w:val="000000" w:themeColor="text1"/>
                <w:sz w:val="24"/>
                <w:szCs w:val="24"/>
                <w14:textFill>
                  <w14:solidFill>
                    <w14:schemeClr w14:val="tx1"/>
                  </w14:solidFill>
                </w14:textFill>
              </w:rPr>
            </w:pPr>
            <w:bookmarkStart w:id="12" w:name="_Toc13515"/>
            <w:r>
              <w:rPr>
                <w:rStyle w:val="26"/>
                <w:rFonts w:hint="eastAsia"/>
                <w:b w:val="0"/>
                <w:bCs w:val="0"/>
                <w:color w:val="000000" w:themeColor="text1"/>
                <w:sz w:val="24"/>
                <w:szCs w:val="24"/>
                <w:lang w:eastAsia="zh-CN"/>
                <w14:textFill>
                  <w14:solidFill>
                    <w14:schemeClr w14:val="tx1"/>
                  </w14:solidFill>
                </w14:textFill>
              </w:rPr>
              <w:t>⑦</w:t>
            </w:r>
            <w:r>
              <w:rPr>
                <w:rStyle w:val="26"/>
                <w:rFonts w:hint="default"/>
                <w:b w:val="0"/>
                <w:bCs w:val="0"/>
                <w:color w:val="000000" w:themeColor="text1"/>
                <w:sz w:val="24"/>
                <w:szCs w:val="24"/>
                <w14:textFill>
                  <w14:solidFill>
                    <w14:schemeClr w14:val="tx1"/>
                  </w14:solidFill>
                </w14:textFill>
              </w:rPr>
              <w:t>对鱼类繁殖的影响。</w:t>
            </w:r>
            <w:bookmarkEnd w:id="12"/>
            <w:bookmarkStart w:id="13" w:name="_Hlk193554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outlineLvl w:val="2"/>
              <w:rPr>
                <w:rFonts w:ascii="Times New Roman" w:hAnsi="Times New Roman" w:eastAsia="宋体"/>
                <w:b/>
                <w:color w:val="000000" w:themeColor="text1"/>
                <w:sz w:val="24"/>
                <w:szCs w:val="24"/>
                <w14:textFill>
                  <w14:solidFill>
                    <w14:schemeClr w14:val="tx1"/>
                  </w14:solidFill>
                </w14:textFill>
              </w:rPr>
            </w:pPr>
            <w:r>
              <w:rPr>
                <w:rFonts w:hint="eastAsia" w:cs="Times New Roman"/>
                <w:b w:val="0"/>
                <w:bCs w:val="0"/>
                <w:color w:val="000000" w:themeColor="text1"/>
                <w:kern w:val="0"/>
                <w:sz w:val="24"/>
                <w:szCs w:val="24"/>
                <w:lang w:bidi="ar"/>
                <w14:textFill>
                  <w14:solidFill>
                    <w14:schemeClr w14:val="tx1"/>
                  </w14:solidFill>
                </w14:textFill>
              </w:rPr>
              <w:t>由于受施工扰动产生的悬浮物及噪声、震动等影响，对鱼类的生长、栖息、摄食等产生一定的不利影响。但该工程影响水域无鱼类的产卵场分布，且避开繁殖期施工，对鱼类的繁</w:t>
            </w:r>
            <w:r>
              <w:rPr>
                <w:rFonts w:hint="eastAsia" w:cs="Times New Roman"/>
                <w:color w:val="000000" w:themeColor="text1"/>
                <w:kern w:val="0"/>
                <w:sz w:val="24"/>
                <w:szCs w:val="24"/>
                <w:lang w:bidi="ar"/>
                <w14:textFill>
                  <w14:solidFill>
                    <w14:schemeClr w14:val="tx1"/>
                  </w14:solidFill>
                </w14:textFill>
              </w:rPr>
              <w:t>殖不会产生明显的影响。</w:t>
            </w:r>
            <w:bookmarkEnd w:id="13"/>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3、环境影响分析</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000000" w:themeColor="text1"/>
                <w:sz w:val="24"/>
                <w:szCs w:val="24"/>
                <w14:textFill>
                  <w14:solidFill>
                    <w14:schemeClr w14:val="tx1"/>
                  </w14:solidFill>
                </w14:textFill>
              </w:rPr>
            </w:pP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36"/>
                <w:lang w:val="en-US" w:eastAsia="zh-CN"/>
                <w14:textFill>
                  <w14:solidFill>
                    <w14:schemeClr w14:val="tx1"/>
                  </w14:solidFill>
                </w14:textFill>
              </w:rPr>
              <w:t>1</w:t>
            </w:r>
            <w:r>
              <w:rPr>
                <w:rFonts w:hint="eastAsia"/>
                <w:b/>
                <w:bCs/>
                <w:color w:val="000000" w:themeColor="text1"/>
                <w:sz w:val="24"/>
                <w:szCs w:val="36"/>
                <w:lang w:eastAsia="zh-CN"/>
                <w14:textFill>
                  <w14:solidFill>
                    <w14:schemeClr w14:val="tx1"/>
                  </w14:solidFill>
                </w14:textFill>
              </w:rPr>
              <w:t>）</w:t>
            </w:r>
            <w:r>
              <w:rPr>
                <w:rFonts w:ascii="Times New Roman" w:hAnsi="Times New Roman" w:eastAsia="宋体"/>
                <w:b/>
                <w:bCs/>
                <w:color w:val="000000" w:themeColor="text1"/>
                <w:sz w:val="24"/>
                <w:szCs w:val="24"/>
                <w14:textFill>
                  <w14:solidFill>
                    <w14:schemeClr w14:val="tx1"/>
                  </w14:solidFill>
                </w14:textFill>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本项目施工期对周边环境空气的污染源主要有：土方开挖、回填过程中产生的扬尘；施工机械及机动车辆产生的尾气</w:t>
            </w:r>
            <w:r>
              <w:rPr>
                <w:rFonts w:hint="eastAsia"/>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1）施工扬尘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施工扬尘主要产生在主体的开挖和回填，土方运输、堆放也容易形成扬尘。施工扬尘是施工活动中的一个重要污染因素，将对工程区两侧一定范围内环境空气质量造成影响。施工扬尘的大小，随施工季节，土壤类别情况、土壤颗粒的松散程度、土壤的含水率、施工管理以及运输道路的清洁程度等不同而差异甚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参考《环境影响评价技术手册—水利水电工程》，粉尘的排放系数为0.96吨/万立方米</w:t>
            </w:r>
            <w:r>
              <w:rPr>
                <w:rFonts w:hint="eastAsia"/>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本项目开挖填筑土方合计</w:t>
            </w:r>
            <w:r>
              <w:rPr>
                <w:rFonts w:hint="eastAsia"/>
                <w:color w:val="000000" w:themeColor="text1"/>
                <w:sz w:val="24"/>
                <w:szCs w:val="24"/>
                <w:highlight w:val="none"/>
                <w:lang w:val="en-US" w:eastAsia="zh-CN"/>
                <w14:textFill>
                  <w14:solidFill>
                    <w14:schemeClr w14:val="tx1"/>
                  </w14:solidFill>
                </w14:textFill>
              </w:rPr>
              <w:t>12.6万</w:t>
            </w:r>
            <w:r>
              <w:rPr>
                <w:rFonts w:hint="eastAsia" w:ascii="Times New Roman" w:hAnsi="Times New Roman" w:eastAsia="宋体"/>
                <w:color w:val="000000" w:themeColor="text1"/>
                <w:sz w:val="24"/>
                <w:szCs w:val="24"/>
                <w:highlight w:val="none"/>
                <w14:textFill>
                  <w14:solidFill>
                    <w14:schemeClr w14:val="tx1"/>
                  </w14:solidFill>
                </w14:textFill>
              </w:rPr>
              <w:t>立方米，粉尘排放量</w:t>
            </w:r>
            <w:r>
              <w:rPr>
                <w:rFonts w:hint="eastAsia" w:ascii="Times New Roman" w:hAnsi="Times New Roman"/>
                <w:color w:val="000000" w:themeColor="text1"/>
                <w:sz w:val="24"/>
                <w:szCs w:val="24"/>
                <w:highlight w:val="none"/>
                <w:lang w:eastAsia="zh-CN"/>
                <w14:textFill>
                  <w14:solidFill>
                    <w14:schemeClr w14:val="tx1"/>
                  </w14:solidFill>
                </w14:textFill>
              </w:rPr>
              <w:t>约</w:t>
            </w:r>
            <w:r>
              <w:rPr>
                <w:rFonts w:hint="eastAsia"/>
                <w:color w:val="000000" w:themeColor="text1"/>
                <w:sz w:val="24"/>
                <w:szCs w:val="24"/>
                <w:highlight w:val="none"/>
                <w:lang w:val="en-US" w:eastAsia="zh-CN"/>
                <w14:textFill>
                  <w14:solidFill>
                    <w14:schemeClr w14:val="tx1"/>
                  </w14:solidFill>
                </w14:textFill>
              </w:rPr>
              <w:t>12</w:t>
            </w:r>
            <w:r>
              <w:rPr>
                <w:rFonts w:hint="eastAsia" w:ascii="Times New Roman" w:hAnsi="Times New Roman" w:eastAsia="宋体"/>
                <w:color w:val="000000" w:themeColor="text1"/>
                <w:sz w:val="24"/>
                <w:szCs w:val="24"/>
                <w:highlight w:val="none"/>
                <w14:textFill>
                  <w14:solidFill>
                    <w14:schemeClr w14:val="tx1"/>
                  </w14:solidFill>
                </w14:textFill>
              </w:rPr>
              <w:t>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根据施工组织设计，本项目土方挖掘工作要尽量避开春季大风天气施工，并在开挖作业时洒水降尘。相关研究表明，开挖作业扬尘一般在洒水情况下，扬尘量会小于0.1%，影响距离不大于50m；在干燥情况下，可以达到1%以上。同时，在施工现场洒水降尘，在春季干燥季节，施工道路要每天上下午各洒水一次，加强施工现场的管理，可大大减少对周围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color w:val="000000" w:themeColor="text1"/>
                <w:sz w:val="24"/>
                <w:szCs w:val="24"/>
                <w:lang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在施工过程中，土方开挖等作业应妥善防护临时堆土，减少在大风的天气下进行施工作业，同时注意调整土方开挖和土方回填作业的时间，能够有效的避免扬尘的发生。严格遵守《国务院关于印发打赢蓝天保卫战三年行动计划的通知》中对扬尘污染的管理</w:t>
            </w:r>
            <w:r>
              <w:rPr>
                <w:rFonts w:hint="eastAsia"/>
                <w:color w:val="000000" w:themeColor="text1"/>
                <w:sz w:val="24"/>
                <w:szCs w:val="24"/>
                <w:lang w:eastAsia="zh-CN"/>
                <w14:textFill>
                  <w14:solidFill>
                    <w14:schemeClr w14:val="tx1"/>
                  </w14:solidFill>
                </w14:textFill>
              </w:rPr>
              <w:t>的要求。施工机械尾气。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b/>
                <w:bCs/>
                <w:color w:val="000000" w:themeColor="text1"/>
                <w:sz w:val="24"/>
                <w:szCs w:val="24"/>
                <w:lang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2</w:t>
            </w:r>
            <w:r>
              <w:rPr>
                <w:rFonts w:hint="eastAsia" w:ascii="Times New Roman" w:hAnsi="Times New Roman" w:eastAsia="宋体"/>
                <w:color w:val="000000" w:themeColor="text1"/>
                <w:sz w:val="24"/>
                <w:szCs w:val="24"/>
                <w:lang w:eastAsia="zh-CN"/>
                <w14:textFill>
                  <w14:solidFill>
                    <w14:schemeClr w14:val="tx1"/>
                  </w14:solidFill>
                </w14:textFill>
              </w:rPr>
              <w:t>）施工机械尾气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 xml:space="preserve">施工机械尾气主要是施工机械和运输车辆排放的尾气。施工机械尾气污染产生的主要因素为燃料油种类、机械性能、作业方式和风力等，其中机械性能、作业方式因素的影响最大。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运输车辆和部分施工机械在怠速、减速和加速时产生的污染最为严重。经调查，在一般气象条件下，平均风速2.5m/s时，建筑工地的NO</w:t>
            </w:r>
            <w:r>
              <w:rPr>
                <w:rFonts w:hint="eastAsia"/>
                <w:color w:val="000000" w:themeColor="text1"/>
                <w:sz w:val="24"/>
                <w:szCs w:val="24"/>
                <w:vertAlign w:val="sub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、CO、烃类物质的浓度为其上风向的5.4-6倍，其NO</w:t>
            </w:r>
            <w:r>
              <w:rPr>
                <w:rFonts w:hint="eastAsia"/>
                <w:color w:val="000000" w:themeColor="text1"/>
                <w:sz w:val="24"/>
                <w:szCs w:val="24"/>
                <w:vertAlign w:val="sub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、CO、烃类物质的影响范围在其下风向可达100m，影响范围内NO</w:t>
            </w:r>
            <w:r>
              <w:rPr>
                <w:rFonts w:hint="eastAsia"/>
                <w:color w:val="000000" w:themeColor="text1"/>
                <w:sz w:val="24"/>
                <w:szCs w:val="24"/>
                <w:vertAlign w:val="sub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、CO、烃类物质的浓度均值分别为0.216mg/Nm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、10.03mg/Nm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、1.05mg/Nm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。通过加强施工机械设备的维修保养，施工机械和运输车辆的废气排放量较少，不会对周围大气环境产生明显影响。</w:t>
            </w:r>
          </w:p>
          <w:p>
            <w:pPr>
              <w:pStyle w:val="4"/>
              <w:spacing w:before="0" w:after="0" w:line="360" w:lineRule="auto"/>
              <w:ind w:firstLine="480" w:firstLineChars="200"/>
              <w:rPr>
                <w:rFonts w:hint="eastAsia" w:ascii="Times New Roman" w:hAnsi="Times New Roman" w:eastAsia="宋体" w:cs="Times New Roman"/>
                <w:b w:val="0"/>
                <w:bCs/>
                <w:color w:val="FF0000"/>
                <w:kern w:val="2"/>
                <w:sz w:val="24"/>
                <w:szCs w:val="24"/>
                <w:lang w:val="en-US" w:eastAsia="zh-CN" w:bidi="ar-SA"/>
              </w:rPr>
            </w:pPr>
            <w:r>
              <w:rPr>
                <w:rFonts w:hint="eastAsia" w:ascii="Times New Roman" w:hAnsi="Times New Roman" w:eastAsia="宋体" w:cs="Times New Roman"/>
                <w:b w:val="0"/>
                <w:bCs/>
                <w:color w:val="FF0000"/>
                <w:kern w:val="2"/>
                <w:sz w:val="24"/>
                <w:szCs w:val="24"/>
                <w:lang w:val="en-US" w:eastAsia="zh-CN" w:bidi="ar-SA"/>
              </w:rPr>
              <w:t>3)淤泥恶臭</w:t>
            </w:r>
          </w:p>
          <w:p>
            <w:pPr>
              <w:pStyle w:val="4"/>
              <w:spacing w:before="0" w:after="0" w:line="360" w:lineRule="auto"/>
              <w:ind w:firstLine="480" w:firstLineChars="200"/>
              <w:rPr>
                <w:rFonts w:hint="eastAsia" w:ascii="Times New Roman" w:hAnsi="Times New Roman" w:eastAsia="宋体" w:cs="Times New Roman"/>
                <w:b w:val="0"/>
                <w:bCs/>
                <w:color w:val="FF0000"/>
                <w:kern w:val="2"/>
                <w:sz w:val="24"/>
                <w:szCs w:val="24"/>
                <w:lang w:val="en-US" w:eastAsia="zh-CN" w:bidi="ar-SA"/>
              </w:rPr>
            </w:pPr>
            <w:r>
              <w:rPr>
                <w:rFonts w:hint="eastAsia" w:ascii="Times New Roman" w:hAnsi="Times New Roman" w:eastAsia="宋体" w:cs="Times New Roman"/>
                <w:b w:val="0"/>
                <w:bCs/>
                <w:color w:val="FF0000"/>
                <w:kern w:val="2"/>
                <w:sz w:val="24"/>
                <w:szCs w:val="24"/>
                <w:lang w:val="en-US" w:eastAsia="zh-CN" w:bidi="ar-SA"/>
              </w:rPr>
              <w:t>本次清淤工程共计清淤范围为城北河</w:t>
            </w:r>
            <w:r>
              <w:rPr>
                <w:rFonts w:hint="eastAsia" w:ascii="Times New Roman" w:hAnsi="Times New Roman" w:eastAsia="宋体" w:cs="宋体"/>
                <w:b w:val="0"/>
                <w:bCs w:val="0"/>
                <w:color w:val="FF0000"/>
                <w:sz w:val="24"/>
                <w:szCs w:val="24"/>
                <w:lang w:eastAsia="zh-CN"/>
              </w:rPr>
              <w:t>K20+603.4~K21+813.7，对现状河道进行清淤疏浚，河道总长1.21km。清淤面积5.33万m</w:t>
            </w:r>
            <w:r>
              <w:rPr>
                <w:rFonts w:hint="eastAsia" w:ascii="Times New Roman" w:hAnsi="Times New Roman" w:eastAsia="宋体" w:cs="宋体"/>
                <w:b w:val="0"/>
                <w:bCs w:val="0"/>
                <w:color w:val="FF0000"/>
                <w:sz w:val="24"/>
                <w:szCs w:val="24"/>
                <w:vertAlign w:val="superscript"/>
                <w:lang w:eastAsia="zh-CN"/>
              </w:rPr>
              <w:t>2</w:t>
            </w:r>
            <w:r>
              <w:rPr>
                <w:rFonts w:hint="eastAsia" w:ascii="Times New Roman" w:hAnsi="Times New Roman" w:eastAsia="宋体" w:cs="宋体"/>
                <w:b w:val="0"/>
                <w:bCs w:val="0"/>
                <w:color w:val="FF0000"/>
                <w:sz w:val="24"/>
                <w:szCs w:val="24"/>
                <w:lang w:eastAsia="zh-CN"/>
              </w:rPr>
              <w:t>，对应清淤量10.33万m</w:t>
            </w:r>
            <w:r>
              <w:rPr>
                <w:rFonts w:hint="eastAsia" w:ascii="Times New Roman" w:hAnsi="Times New Roman" w:eastAsia="宋体" w:cs="宋体"/>
                <w:b w:val="0"/>
                <w:bCs w:val="0"/>
                <w:color w:val="FF0000"/>
                <w:sz w:val="24"/>
                <w:szCs w:val="24"/>
                <w:vertAlign w:val="superscript"/>
                <w:lang w:eastAsia="zh-CN"/>
              </w:rPr>
              <w:t>3</w:t>
            </w:r>
            <w:r>
              <w:rPr>
                <w:rFonts w:hint="eastAsia" w:ascii="Times New Roman" w:hAnsi="Times New Roman" w:eastAsia="宋体" w:cs="宋体"/>
                <w:b w:val="0"/>
                <w:bCs w:val="0"/>
                <w:color w:val="FF0000"/>
                <w:sz w:val="24"/>
                <w:szCs w:val="24"/>
                <w:lang w:eastAsia="zh-CN"/>
              </w:rPr>
              <w:t>，清淤平均深度为1.94m。</w:t>
            </w:r>
            <w:r>
              <w:rPr>
                <w:rFonts w:hint="eastAsia" w:ascii="Times New Roman" w:hAnsi="Times New Roman" w:eastAsia="宋体" w:cs="Times New Roman"/>
                <w:b w:val="0"/>
                <w:bCs/>
                <w:color w:val="FF0000"/>
                <w:kern w:val="2"/>
                <w:sz w:val="24"/>
                <w:szCs w:val="24"/>
                <w:lang w:val="en-US" w:eastAsia="zh-CN" w:bidi="ar-SA"/>
              </w:rPr>
              <w:t>在河道清淤过程中，淤泥扰动、开挖、晾晒和运输等过程中均会产生臭气，其主要污染物为HS、硫醚类、氨等物质的混合物，对清淤段沿线及晾晒场周边的环境敏感点会造成不利影响。</w:t>
            </w:r>
          </w:p>
          <w:p>
            <w:pPr>
              <w:pStyle w:val="4"/>
              <w:spacing w:before="0" w:after="0" w:line="360" w:lineRule="auto"/>
              <w:ind w:firstLine="480" w:firstLineChars="200"/>
              <w:rPr>
                <w:rFonts w:hint="eastAsia" w:ascii="Times New Roman" w:hAnsi="Times New Roman" w:eastAsia="宋体" w:cs="Times New Roman"/>
                <w:b w:val="0"/>
                <w:bCs/>
                <w:color w:val="FF0000"/>
                <w:kern w:val="2"/>
                <w:sz w:val="24"/>
                <w:szCs w:val="24"/>
                <w:lang w:val="en-US" w:eastAsia="zh-CN" w:bidi="ar-SA"/>
              </w:rPr>
            </w:pPr>
            <w:r>
              <w:rPr>
                <w:rFonts w:hint="eastAsia" w:ascii="Times New Roman" w:hAnsi="Times New Roman" w:eastAsia="宋体" w:cs="Times New Roman"/>
                <w:b w:val="0"/>
                <w:bCs/>
                <w:color w:val="FF0000"/>
                <w:kern w:val="2"/>
                <w:sz w:val="24"/>
                <w:szCs w:val="24"/>
                <w:lang w:val="en-US" w:eastAsia="zh-CN" w:bidi="ar-SA"/>
              </w:rPr>
              <w:t>本工程对淤泥转运至晾晒场进行晾晒20~30天，使表层淤泥自然干化，项目晾晒场设置在庙咀坪河滩空地，根据现场踏勘，晾晒场周边最近敏感点在西侧87m处，河道清淤淤泥利用吸污车运输。晾晒场沿长边方向分为三格小场，中间用钢板墙隔开，淤泥逐格灌入，晾晒后逐格铲出装运，每批淤泥在晾晒场内晾晒时间10天~15左右，通过晾晒可使泥的含水率从70%左右降至8%左右。</w:t>
            </w:r>
          </w:p>
          <w:p>
            <w:pPr>
              <w:pStyle w:val="4"/>
              <w:spacing w:before="0" w:after="0" w:line="360" w:lineRule="auto"/>
              <w:ind w:firstLine="480" w:firstLineChars="200"/>
              <w:rPr>
                <w:rFonts w:hint="eastAsia" w:ascii="Times New Roman" w:hAnsi="Times New Roman" w:eastAsia="宋体" w:cs="Times New Roman"/>
                <w:b w:val="0"/>
                <w:bCs/>
                <w:color w:val="FF0000"/>
                <w:kern w:val="2"/>
                <w:sz w:val="24"/>
                <w:szCs w:val="24"/>
                <w:lang w:val="en-US" w:eastAsia="zh-CN" w:bidi="ar-SA"/>
              </w:rPr>
            </w:pPr>
            <w:r>
              <w:rPr>
                <w:rFonts w:hint="eastAsia" w:ascii="Times New Roman" w:hAnsi="Times New Roman" w:eastAsia="宋体" w:cs="Times New Roman"/>
                <w:b w:val="0"/>
                <w:bCs/>
                <w:color w:val="FF0000"/>
                <w:kern w:val="2"/>
                <w:sz w:val="24"/>
                <w:szCs w:val="24"/>
                <w:lang w:val="en-US" w:eastAsia="zh-CN" w:bidi="ar-SA"/>
              </w:rPr>
              <w:t>①臭气强度等级：参考臭气六级分级法，即将臭气强度分为6级，详见表4-2。各恶臭污染物的标准限值一般相当于臭气强度2.5~3.5级，超出该强度范围即认为发生恶臭污染，需要采取防护措施。</w:t>
            </w:r>
          </w:p>
          <w:p>
            <w:pPr>
              <w:pStyle w:val="4"/>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color w:val="FF0000"/>
                <w:kern w:val="2"/>
                <w:sz w:val="24"/>
                <w:szCs w:val="24"/>
                <w:lang w:val="en-US" w:eastAsia="zh-CN" w:bidi="ar-SA"/>
              </w:rPr>
            </w:pPr>
            <w:r>
              <w:rPr>
                <w:rFonts w:hint="eastAsia" w:ascii="Times New Roman" w:hAnsi="Times New Roman" w:eastAsia="宋体" w:cs="Times New Roman"/>
                <w:b w:val="0"/>
                <w:bCs/>
                <w:color w:val="FF0000"/>
                <w:kern w:val="2"/>
                <w:sz w:val="24"/>
                <w:szCs w:val="24"/>
                <w:lang w:val="en-US" w:eastAsia="zh-CN" w:bidi="ar-SA"/>
              </w:rPr>
              <w:t>表4-2   臭气强度分类表</w:t>
            </w:r>
          </w:p>
          <w:tbl>
            <w:tblPr>
              <w:tblStyle w:val="22"/>
              <w:tblW w:w="7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2685"/>
              <w:gridCol w:w="1140"/>
              <w:gridCol w:w="2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186"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强度分级</w:t>
                  </w:r>
                </w:p>
              </w:tc>
              <w:tc>
                <w:tcPr>
                  <w:tcW w:w="2685"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指标描述强度分级</w:t>
                  </w:r>
                </w:p>
              </w:tc>
              <w:tc>
                <w:tcPr>
                  <w:tcW w:w="1140"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强度分级</w:t>
                  </w:r>
                </w:p>
              </w:tc>
              <w:tc>
                <w:tcPr>
                  <w:tcW w:w="2588"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186"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0</w:t>
                  </w:r>
                </w:p>
              </w:tc>
              <w:tc>
                <w:tcPr>
                  <w:tcW w:w="2685"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无气味</w:t>
                  </w:r>
                </w:p>
              </w:tc>
              <w:tc>
                <w:tcPr>
                  <w:tcW w:w="1140"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3</w:t>
                  </w:r>
                </w:p>
              </w:tc>
              <w:tc>
                <w:tcPr>
                  <w:tcW w:w="2588"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很容易感觉到气味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186"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1</w:t>
                  </w:r>
                </w:p>
              </w:tc>
              <w:tc>
                <w:tcPr>
                  <w:tcW w:w="2685"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勉强感觉到气味</w:t>
                  </w:r>
                </w:p>
              </w:tc>
              <w:tc>
                <w:tcPr>
                  <w:tcW w:w="1140"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4</w:t>
                  </w:r>
                </w:p>
              </w:tc>
              <w:tc>
                <w:tcPr>
                  <w:tcW w:w="2588"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强烈的气味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186"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2</w:t>
                  </w:r>
                </w:p>
              </w:tc>
              <w:tc>
                <w:tcPr>
                  <w:tcW w:w="2685"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气味很弱但能分辨其性质</w:t>
                  </w:r>
                </w:p>
              </w:tc>
              <w:tc>
                <w:tcPr>
                  <w:tcW w:w="1140"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5</w:t>
                  </w:r>
                </w:p>
              </w:tc>
              <w:tc>
                <w:tcPr>
                  <w:tcW w:w="2588"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无法忍受的强烈气味</w:t>
                  </w:r>
                </w:p>
              </w:tc>
            </w:tr>
          </w:tbl>
          <w:p>
            <w:pPr>
              <w:pStyle w:val="4"/>
              <w:spacing w:before="0" w:after="0" w:line="360" w:lineRule="auto"/>
              <w:ind w:firstLine="480" w:firstLineChars="200"/>
              <w:rPr>
                <w:rFonts w:hint="eastAsia" w:ascii="Times New Roman" w:hAnsi="Times New Roman" w:eastAsia="宋体" w:cs="Times New Roman"/>
                <w:b w:val="0"/>
                <w:bCs/>
                <w:color w:val="FF0000"/>
                <w:kern w:val="2"/>
                <w:sz w:val="24"/>
                <w:szCs w:val="24"/>
                <w:lang w:val="en-US" w:eastAsia="zh-CN" w:bidi="ar-SA"/>
              </w:rPr>
            </w:pPr>
            <w:r>
              <w:rPr>
                <w:rFonts w:hint="eastAsia" w:ascii="Times New Roman" w:hAnsi="Times New Roman" w:eastAsia="宋体" w:cs="Times New Roman"/>
                <w:b w:val="0"/>
                <w:bCs/>
                <w:color w:val="FF0000"/>
                <w:kern w:val="2"/>
                <w:sz w:val="24"/>
                <w:szCs w:val="24"/>
                <w:lang w:val="en-US" w:eastAsia="zh-CN" w:bidi="ar-SA"/>
              </w:rPr>
              <w:t>②类比分析：本次评价采用类比分析法确定底泥清淤过程中产生的臭气污染强度级别。参考牡丹江南泡子疏挖工程、安徽巢湖疏挖工程和广西南宁朝阳溪环境综合治理工程底泥影响评价结果，该类工程项目底泥疏浚(干挖)产生的臭气强度均约为2-3级，影响范围在30m左右，其污染源臭气级别调查分析结果见表4-3。</w:t>
            </w:r>
          </w:p>
          <w:p>
            <w:pPr>
              <w:pStyle w:val="4"/>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color w:val="FF0000"/>
                <w:kern w:val="2"/>
                <w:sz w:val="24"/>
                <w:szCs w:val="24"/>
                <w:lang w:val="en-US" w:eastAsia="zh-CN" w:bidi="ar-SA"/>
              </w:rPr>
            </w:pPr>
            <w:r>
              <w:rPr>
                <w:rFonts w:hint="eastAsia" w:ascii="Times New Roman" w:hAnsi="Times New Roman" w:eastAsia="宋体" w:cs="Times New Roman"/>
                <w:b w:val="0"/>
                <w:bCs/>
                <w:color w:val="FF0000"/>
                <w:kern w:val="2"/>
                <w:sz w:val="24"/>
                <w:szCs w:val="24"/>
                <w:lang w:val="en-US" w:eastAsia="zh-CN" w:bidi="ar-SA"/>
              </w:rPr>
              <w:t>表4-3   底泥清淤臭气强度一览表</w:t>
            </w:r>
          </w:p>
          <w:tbl>
            <w:tblPr>
              <w:tblStyle w:val="22"/>
              <w:tblW w:w="7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4095"/>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807"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距离</w:t>
                  </w:r>
                </w:p>
              </w:tc>
              <w:tc>
                <w:tcPr>
                  <w:tcW w:w="4095"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臭气感觉强度</w:t>
                  </w:r>
                </w:p>
              </w:tc>
              <w:tc>
                <w:tcPr>
                  <w:tcW w:w="1736"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807"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岸边</w:t>
                  </w:r>
                </w:p>
              </w:tc>
              <w:tc>
                <w:tcPr>
                  <w:tcW w:w="4095"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有明显臭味</w:t>
                  </w:r>
                </w:p>
              </w:tc>
              <w:tc>
                <w:tcPr>
                  <w:tcW w:w="1736"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807"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岸边30m</w:t>
                  </w:r>
                </w:p>
              </w:tc>
              <w:tc>
                <w:tcPr>
                  <w:tcW w:w="4095"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轻微</w:t>
                  </w:r>
                </w:p>
              </w:tc>
              <w:tc>
                <w:tcPr>
                  <w:tcW w:w="1736"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807"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岸边80m</w:t>
                  </w:r>
                </w:p>
              </w:tc>
              <w:tc>
                <w:tcPr>
                  <w:tcW w:w="4095"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极微</w:t>
                  </w:r>
                </w:p>
              </w:tc>
              <w:tc>
                <w:tcPr>
                  <w:tcW w:w="1736"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807"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岸边100m</w:t>
                  </w:r>
                </w:p>
              </w:tc>
              <w:tc>
                <w:tcPr>
                  <w:tcW w:w="4095"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无</w:t>
                  </w:r>
                </w:p>
              </w:tc>
              <w:tc>
                <w:tcPr>
                  <w:tcW w:w="1736" w:type="dxa"/>
                  <w:vAlign w:val="center"/>
                </w:tcPr>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color w:val="FF0000"/>
                      <w:kern w:val="2"/>
                      <w:sz w:val="21"/>
                      <w:szCs w:val="21"/>
                      <w:vertAlign w:val="baseline"/>
                      <w:lang w:val="en-US" w:eastAsia="zh-CN" w:bidi="ar-SA"/>
                    </w:rPr>
                  </w:pPr>
                  <w:r>
                    <w:rPr>
                      <w:rFonts w:hint="eastAsia" w:ascii="Times New Roman" w:hAnsi="Times New Roman" w:eastAsia="宋体" w:cs="Times New Roman"/>
                      <w:b w:val="0"/>
                      <w:bCs/>
                      <w:color w:val="FF0000"/>
                      <w:kern w:val="2"/>
                      <w:sz w:val="21"/>
                      <w:szCs w:val="21"/>
                      <w:vertAlign w:val="baseline"/>
                      <w:lang w:val="en-US" w:eastAsia="zh-CN" w:bidi="ar-SA"/>
                    </w:rPr>
                    <w:t>0</w:t>
                  </w:r>
                </w:p>
              </w:tc>
            </w:tr>
          </w:tbl>
          <w:p>
            <w:pPr>
              <w:pStyle w:val="4"/>
              <w:spacing w:before="0" w:after="0" w:line="360" w:lineRule="auto"/>
              <w:ind w:firstLine="480" w:firstLineChars="200"/>
              <w:rPr>
                <w:rFonts w:hint="default" w:ascii="Times New Roman" w:hAnsi="Times New Roman" w:eastAsia="宋体" w:cs="Times New Roman"/>
                <w:b w:val="0"/>
                <w:bCs/>
                <w:color w:val="FF0000"/>
                <w:kern w:val="2"/>
                <w:sz w:val="24"/>
                <w:szCs w:val="24"/>
                <w:lang w:val="en-US" w:eastAsia="zh-CN" w:bidi="ar-SA"/>
              </w:rPr>
            </w:pPr>
            <w:r>
              <w:rPr>
                <w:rFonts w:hint="eastAsia" w:ascii="Times New Roman" w:hAnsi="Times New Roman" w:eastAsia="宋体" w:cs="Times New Roman"/>
                <w:b w:val="0"/>
                <w:bCs/>
                <w:color w:val="FF0000"/>
                <w:kern w:val="2"/>
                <w:sz w:val="24"/>
                <w:szCs w:val="24"/>
                <w:lang w:val="en-US" w:eastAsia="zh-CN" w:bidi="ar-SA"/>
              </w:rPr>
              <w:t>③</w:t>
            </w:r>
            <w:r>
              <w:rPr>
                <w:rFonts w:hint="default" w:ascii="Times New Roman" w:hAnsi="Times New Roman" w:eastAsia="宋体" w:cs="Times New Roman"/>
                <w:b w:val="0"/>
                <w:bCs/>
                <w:color w:val="FF0000"/>
                <w:kern w:val="2"/>
                <w:sz w:val="24"/>
                <w:szCs w:val="24"/>
                <w:lang w:val="en-US" w:eastAsia="zh-CN" w:bidi="ar-SA"/>
              </w:rPr>
              <w:t>臭气强度分析</w:t>
            </w:r>
            <w:r>
              <w:rPr>
                <w:rFonts w:hint="eastAsia" w:ascii="Times New Roman" w:hAnsi="Times New Roman" w:eastAsia="宋体" w:cs="Times New Roman"/>
                <w:b w:val="0"/>
                <w:bCs/>
                <w:color w:val="FF0000"/>
                <w:kern w:val="2"/>
                <w:sz w:val="24"/>
                <w:szCs w:val="24"/>
                <w:lang w:val="en-US" w:eastAsia="zh-CN" w:bidi="ar-SA"/>
              </w:rPr>
              <w:t>：</w:t>
            </w:r>
            <w:r>
              <w:rPr>
                <w:rFonts w:hint="default" w:ascii="Times New Roman" w:hAnsi="Times New Roman" w:eastAsia="宋体" w:cs="Times New Roman"/>
                <w:b w:val="0"/>
                <w:bCs/>
                <w:color w:val="FF0000"/>
                <w:kern w:val="2"/>
                <w:sz w:val="24"/>
                <w:szCs w:val="24"/>
                <w:lang w:val="en-US" w:eastAsia="zh-CN" w:bidi="ar-SA"/>
              </w:rPr>
              <w:t>根据对本工程底泥的调查和以上类比分析，清淤过程中在</w:t>
            </w:r>
            <w:r>
              <w:rPr>
                <w:rFonts w:hint="eastAsia" w:ascii="Times New Roman" w:hAnsi="Times New Roman" w:eastAsia="宋体" w:cs="Times New Roman"/>
                <w:b w:val="0"/>
                <w:bCs/>
                <w:color w:val="FF0000"/>
                <w:kern w:val="2"/>
                <w:sz w:val="24"/>
                <w:szCs w:val="24"/>
                <w:lang w:val="en-US" w:eastAsia="zh-CN" w:bidi="ar-SA"/>
              </w:rPr>
              <w:t>河边</w:t>
            </w:r>
            <w:r>
              <w:rPr>
                <w:rFonts w:hint="default" w:ascii="Times New Roman" w:hAnsi="Times New Roman" w:eastAsia="宋体" w:cs="Times New Roman"/>
                <w:b w:val="0"/>
                <w:bCs/>
                <w:color w:val="FF0000"/>
                <w:kern w:val="2"/>
                <w:sz w:val="24"/>
                <w:szCs w:val="24"/>
                <w:lang w:val="en-US" w:eastAsia="zh-CN" w:bidi="ar-SA"/>
              </w:rPr>
              <w:t>将会有较为明显</w:t>
            </w:r>
            <w:bookmarkStart w:id="15" w:name="_GoBack"/>
            <w:bookmarkEnd w:id="15"/>
            <w:r>
              <w:rPr>
                <w:rFonts w:hint="eastAsia" w:ascii="Times New Roman" w:hAnsi="Times New Roman" w:eastAsia="宋体" w:cs="Times New Roman"/>
                <w:b w:val="0"/>
                <w:bCs/>
                <w:color w:val="FF0000"/>
                <w:kern w:val="2"/>
                <w:sz w:val="24"/>
                <w:szCs w:val="24"/>
                <w:lang w:val="en-US" w:eastAsia="zh-CN" w:bidi="ar-SA"/>
              </w:rPr>
              <w:t>的</w:t>
            </w:r>
            <w:r>
              <w:rPr>
                <w:rFonts w:hint="default" w:ascii="Times New Roman" w:hAnsi="Times New Roman" w:eastAsia="宋体" w:cs="Times New Roman"/>
                <w:b w:val="0"/>
                <w:bCs/>
                <w:color w:val="FF0000"/>
                <w:kern w:val="2"/>
                <w:sz w:val="24"/>
                <w:szCs w:val="24"/>
                <w:lang w:val="en-US" w:eastAsia="zh-CN" w:bidi="ar-SA"/>
              </w:rPr>
              <w:t>臭味，超过表</w:t>
            </w:r>
            <w:r>
              <w:rPr>
                <w:rFonts w:hint="eastAsia" w:ascii="Times New Roman" w:hAnsi="Times New Roman" w:eastAsia="宋体" w:cs="Times New Roman"/>
                <w:b w:val="0"/>
                <w:bCs/>
                <w:color w:val="FF0000"/>
                <w:kern w:val="2"/>
                <w:sz w:val="24"/>
                <w:szCs w:val="24"/>
                <w:lang w:val="en-US" w:eastAsia="zh-CN" w:bidi="ar-SA"/>
              </w:rPr>
              <w:t>4-3</w:t>
            </w:r>
            <w:r>
              <w:rPr>
                <w:rFonts w:hint="default" w:ascii="Times New Roman" w:hAnsi="Times New Roman" w:eastAsia="宋体" w:cs="Times New Roman"/>
                <w:b w:val="0"/>
                <w:bCs/>
                <w:color w:val="FF0000"/>
                <w:kern w:val="2"/>
                <w:sz w:val="24"/>
                <w:szCs w:val="24"/>
                <w:lang w:val="en-US" w:eastAsia="zh-CN" w:bidi="ar-SA"/>
              </w:rPr>
              <w:t>中的3级强度</w:t>
            </w:r>
            <w:r>
              <w:rPr>
                <w:rFonts w:hint="eastAsia" w:ascii="Times New Roman" w:hAnsi="Times New Roman" w:eastAsia="宋体" w:cs="Times New Roman"/>
                <w:b w:val="0"/>
                <w:bCs/>
                <w:color w:val="FF0000"/>
                <w:kern w:val="2"/>
                <w:sz w:val="24"/>
                <w:szCs w:val="24"/>
                <w:lang w:val="en-US" w:eastAsia="zh-CN" w:bidi="ar-SA"/>
              </w:rPr>
              <w:t>：</w:t>
            </w:r>
            <w:r>
              <w:rPr>
                <w:rFonts w:hint="default" w:ascii="Times New Roman" w:hAnsi="Times New Roman" w:eastAsia="宋体" w:cs="Times New Roman"/>
                <w:b w:val="0"/>
                <w:bCs/>
                <w:color w:val="FF0000"/>
                <w:kern w:val="2"/>
                <w:sz w:val="24"/>
                <w:szCs w:val="24"/>
                <w:lang w:val="en-US" w:eastAsia="zh-CN" w:bidi="ar-SA"/>
              </w:rPr>
              <w:t>30m之外有轻微臭味，达到2级强度</w:t>
            </w:r>
            <w:r>
              <w:rPr>
                <w:rFonts w:hint="eastAsia" w:ascii="Times New Roman" w:hAnsi="Times New Roman" w:eastAsia="宋体" w:cs="Times New Roman"/>
                <w:b w:val="0"/>
                <w:bCs/>
                <w:color w:val="FF0000"/>
                <w:kern w:val="2"/>
                <w:sz w:val="24"/>
                <w:szCs w:val="24"/>
                <w:lang w:val="en-US" w:eastAsia="zh-CN" w:bidi="ar-SA"/>
              </w:rPr>
              <w:t>；</w:t>
            </w:r>
            <w:r>
              <w:rPr>
                <w:rFonts w:hint="default" w:ascii="Times New Roman" w:hAnsi="Times New Roman" w:eastAsia="宋体" w:cs="Times New Roman"/>
                <w:b w:val="0"/>
                <w:bCs/>
                <w:color w:val="FF0000"/>
                <w:kern w:val="2"/>
                <w:sz w:val="24"/>
                <w:szCs w:val="24"/>
                <w:lang w:val="en-US" w:eastAsia="zh-CN" w:bidi="ar-SA"/>
              </w:rPr>
              <w:t>50m以外则基本无气味</w:t>
            </w:r>
            <w:r>
              <w:rPr>
                <w:rFonts w:hint="eastAsia" w:ascii="Times New Roman" w:hAnsi="Times New Roman" w:eastAsia="宋体" w:cs="Times New Roman"/>
                <w:b w:val="0"/>
                <w:bCs/>
                <w:color w:val="FF0000"/>
                <w:kern w:val="2"/>
                <w:sz w:val="24"/>
                <w:szCs w:val="24"/>
                <w:lang w:val="en-US" w:eastAsia="zh-CN" w:bidi="ar-SA"/>
              </w:rPr>
              <w:t>。项目淤泥晾晒场50m范围内无居民等环境敏感点，项目清淤过程中对周围环境影响较小</w:t>
            </w:r>
            <w:r>
              <w:rPr>
                <w:rFonts w:hint="default" w:ascii="Times New Roman" w:hAnsi="Times New Roman" w:eastAsia="宋体" w:cs="Times New Roman"/>
                <w:b w:val="0"/>
                <w:bCs/>
                <w:color w:val="FF0000"/>
                <w:kern w:val="2"/>
                <w:sz w:val="24"/>
                <w:szCs w:val="24"/>
                <w:lang w:val="en-US" w:eastAsia="zh-CN" w:bidi="ar-SA"/>
              </w:rPr>
              <w:t>。</w:t>
            </w:r>
          </w:p>
          <w:p>
            <w:pPr>
              <w:pStyle w:val="1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000000" w:themeColor="text1"/>
                <w:sz w:val="24"/>
                <w:szCs w:val="24"/>
                <w:lang w:eastAsia="zh-CN"/>
                <w14:textFill>
                  <w14:solidFill>
                    <w14:schemeClr w14:val="tx1"/>
                  </w14:solidFill>
                </w14:textFill>
              </w:rPr>
            </w:pP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36"/>
                <w:lang w:val="en-US" w:eastAsia="zh-CN"/>
                <w14:textFill>
                  <w14:solidFill>
                    <w14:schemeClr w14:val="tx1"/>
                  </w14:solidFill>
                </w14:textFill>
              </w:rPr>
              <w:t>2</w:t>
            </w:r>
            <w:r>
              <w:rPr>
                <w:rFonts w:hint="eastAsia"/>
                <w:b/>
                <w:bCs/>
                <w:color w:val="000000" w:themeColor="text1"/>
                <w:sz w:val="24"/>
                <w:szCs w:val="36"/>
                <w:lang w:eastAsia="zh-CN"/>
                <w14:textFill>
                  <w14:solidFill>
                    <w14:schemeClr w14:val="tx1"/>
                  </w14:solidFill>
                </w14:textFill>
              </w:rPr>
              <w:t>）</w:t>
            </w:r>
            <w:r>
              <w:rPr>
                <w:rFonts w:hint="eastAsia" w:ascii="Times New Roman" w:hAnsi="Times New Roman" w:eastAsia="宋体"/>
                <w:b/>
                <w:bCs/>
                <w:color w:val="000000" w:themeColor="text1"/>
                <w:sz w:val="24"/>
                <w:szCs w:val="24"/>
                <w:lang w:eastAsia="zh-CN"/>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Times New Roman" w:hAnsi="Times New Roman" w:eastAsia="宋体"/>
                <w:color w:val="FF0000"/>
                <w:sz w:val="24"/>
                <w:szCs w:val="24"/>
              </w:rPr>
            </w:pPr>
            <w:r>
              <w:rPr>
                <w:rFonts w:hint="eastAsia"/>
                <w:color w:val="FF0000"/>
                <w:sz w:val="24"/>
                <w:szCs w:val="24"/>
                <w:lang w:eastAsia="zh-CN"/>
              </w:rPr>
              <w:t>项目清淤污泥晾晒场晾晒，晾晒场周边做围挡，污泥中含水全部蒸发，无废水排放，因此</w:t>
            </w:r>
            <w:r>
              <w:rPr>
                <w:rFonts w:hint="eastAsia" w:ascii="Times New Roman" w:hAnsi="Times New Roman" w:eastAsia="宋体"/>
                <w:color w:val="FF0000"/>
                <w:sz w:val="24"/>
                <w:szCs w:val="24"/>
              </w:rPr>
              <w:t>本项目施工期废水主要</w:t>
            </w:r>
            <w:r>
              <w:rPr>
                <w:rFonts w:hint="eastAsia"/>
                <w:color w:val="FF0000"/>
                <w:sz w:val="24"/>
                <w:szCs w:val="24"/>
                <w:lang w:eastAsia="zh-CN"/>
              </w:rPr>
              <w:t>为</w:t>
            </w:r>
            <w:r>
              <w:rPr>
                <w:rFonts w:hint="eastAsia" w:ascii="Times New Roman" w:hAnsi="Times New Roman" w:eastAsia="宋体"/>
                <w:color w:val="FF0000"/>
                <w:sz w:val="24"/>
                <w:szCs w:val="24"/>
              </w:rPr>
              <w:t>生活污水两部分组成。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由于工程所需的砂石料为外购，不进行现场冲洗，因此本工程施工期不产生砂石料冲洗废水；工程所需的混凝土全部采用商品混凝土，直接外购，因此本工程施工期不产生混凝土拌和系统废水。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施工期废水主要</w:t>
            </w:r>
            <w:r>
              <w:rPr>
                <w:rFonts w:hint="eastAsia"/>
                <w:color w:val="000000" w:themeColor="text1"/>
                <w:sz w:val="24"/>
                <w:szCs w:val="24"/>
                <w:lang w:eastAsia="zh-CN"/>
                <w14:textFill>
                  <w14:solidFill>
                    <w14:schemeClr w14:val="tx1"/>
                  </w14:solidFill>
                </w14:textFill>
              </w:rPr>
              <w:t>为</w:t>
            </w:r>
            <w:r>
              <w:rPr>
                <w:rFonts w:hint="eastAsia" w:ascii="Times New Roman" w:hAnsi="Times New Roman" w:eastAsia="宋体"/>
                <w:color w:val="000000" w:themeColor="text1"/>
                <w:sz w:val="24"/>
                <w:szCs w:val="24"/>
                <w14:textFill>
                  <w14:solidFill>
                    <w14:schemeClr w14:val="tx1"/>
                  </w14:solidFill>
                </w14:textFill>
              </w:rPr>
              <w:t>施工人员的生活污水。</w:t>
            </w:r>
          </w:p>
          <w:p>
            <w:pPr>
              <w:pStyle w:val="4"/>
              <w:spacing w:before="0" w:after="0"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生活污水主要污染物为BOD</w:t>
            </w:r>
            <w:r>
              <w:rPr>
                <w:rFonts w:ascii="Times New Roman" w:hAnsi="Times New Roman" w:eastAsia="宋体" w:cs="Times New Roman"/>
                <w:b w:val="0"/>
                <w:bCs/>
                <w:color w:val="000000" w:themeColor="text1"/>
                <w:kern w:val="2"/>
                <w:sz w:val="24"/>
                <w:szCs w:val="24"/>
                <w:vertAlign w:val="subscript"/>
                <w:lang w:val="en-US" w:eastAsia="zh-CN" w:bidi="ar-SA"/>
                <w14:textFill>
                  <w14:solidFill>
                    <w14:schemeClr w14:val="tx1"/>
                  </w14:solidFill>
                </w14:textFill>
              </w:rPr>
              <w:t>5</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、CODcr、动植物油、和SS等。</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本项目施工期不设施工营地，施工人员为本地务工人员。</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施工人员按</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20</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人计算，有效施工期</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5</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个月，生活用水量按</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40</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L/人·d计，则施工总生活用水量</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120</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m</w:t>
            </w:r>
            <w:r>
              <w:rPr>
                <w:rFonts w:ascii="Times New Roman" w:hAnsi="Times New Roman" w:eastAsia="宋体" w:cs="Times New Roman"/>
                <w:b w:val="0"/>
                <w:bCs/>
                <w:color w:val="000000" w:themeColor="text1"/>
                <w:kern w:val="2"/>
                <w:sz w:val="24"/>
                <w:szCs w:val="24"/>
                <w:vertAlign w:val="superscript"/>
                <w:lang w:val="en-US" w:eastAsia="zh-CN" w:bidi="ar-SA"/>
                <w14:textFill>
                  <w14:solidFill>
                    <w14:schemeClr w14:val="tx1"/>
                  </w14:solidFill>
                </w14:textFill>
              </w:rPr>
              <w:t>3</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，总排放量为</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96</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m</w:t>
            </w:r>
            <w:r>
              <w:rPr>
                <w:rFonts w:ascii="Times New Roman" w:hAnsi="Times New Roman" w:eastAsia="宋体" w:cs="Times New Roman"/>
                <w:b w:val="0"/>
                <w:bCs/>
                <w:color w:val="000000" w:themeColor="text1"/>
                <w:kern w:val="2"/>
                <w:sz w:val="24"/>
                <w:szCs w:val="24"/>
                <w:vertAlign w:val="superscript"/>
                <w:lang w:val="en-US" w:eastAsia="zh-CN" w:bidi="ar-SA"/>
                <w14:textFill>
                  <w14:solidFill>
                    <w14:schemeClr w14:val="tx1"/>
                  </w14:solidFill>
                </w14:textFill>
              </w:rPr>
              <w:t>3</w:t>
            </w:r>
            <w:r>
              <w:rPr>
                <w:rFonts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（按用水量的80%计算）</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施工人员产生的生活污水主要是盥洗用水，主要污染物为BOD</w:t>
            </w:r>
            <w:r>
              <w:rPr>
                <w:rFonts w:hint="eastAsia" w:ascii="Times New Roman" w:hAnsi="Times New Roman" w:eastAsia="宋体" w:cs="Times New Roman"/>
                <w:b w:val="0"/>
                <w:bCs w:val="0"/>
                <w:color w:val="000000" w:themeColor="text1"/>
                <w:kern w:val="2"/>
                <w:sz w:val="24"/>
                <w:szCs w:val="24"/>
                <w:vertAlign w:val="subscript"/>
                <w:lang w:val="en-US" w:eastAsia="zh-CN" w:bidi="ar-SA"/>
                <w14:textFill>
                  <w14:solidFill>
                    <w14:schemeClr w14:val="tx1"/>
                  </w14:solidFill>
                </w14:textFill>
              </w:rPr>
              <w:t>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、CODcr、动植物油、和SS等，项目人员入厕依托附近农户旱厕，洗漱废水收集后用于场内抑尘。不会对周围地表水环境产生影响。</w:t>
            </w:r>
          </w:p>
          <w:p>
            <w:pPr>
              <w:pStyle w:val="4"/>
              <w:spacing w:before="0" w:after="0" w:line="360" w:lineRule="auto"/>
              <w:ind w:firstLine="480" w:firstLineChars="200"/>
              <w:rPr>
                <w:rFonts w:ascii="Times New Roman" w:hAnsi="Times New Roman" w:eastAsia="宋体"/>
                <w:b w:val="0"/>
                <w:bCs w:val="0"/>
                <w:color w:val="000000" w:themeColor="text1"/>
                <w:sz w:val="24"/>
                <w:szCs w:val="24"/>
                <w14:textFill>
                  <w14:solidFill>
                    <w14:schemeClr w14:val="tx1"/>
                  </w14:solidFill>
                </w14:textFill>
              </w:rPr>
            </w:pPr>
            <w:r>
              <w:rPr>
                <w:rFonts w:hint="eastAsia" w:ascii="Times New Roman" w:hAnsi="Times New Roman" w:eastAsia="宋体"/>
                <w:b w:val="0"/>
                <w:bCs w:val="0"/>
                <w:color w:val="000000" w:themeColor="text1"/>
                <w:sz w:val="24"/>
                <w:szCs w:val="24"/>
                <w:lang w:val="en-US" w:eastAsia="zh-CN"/>
                <w14:textFill>
                  <w14:solidFill>
                    <w14:schemeClr w14:val="tx1"/>
                  </w14:solidFill>
                </w14:textFill>
              </w:rPr>
              <w:t>3</w:t>
            </w:r>
            <w:r>
              <w:rPr>
                <w:rFonts w:hint="eastAsia" w:ascii="Times New Roman" w:hAnsi="Times New Roman" w:eastAsia="宋体"/>
                <w:b w:val="0"/>
                <w:bCs w:val="0"/>
                <w:color w:val="000000" w:themeColor="text1"/>
                <w:sz w:val="24"/>
                <w:szCs w:val="24"/>
                <w14:textFill>
                  <w14:solidFill>
                    <w14:schemeClr w14:val="tx1"/>
                  </w14:solidFill>
                </w14:textFill>
              </w:rPr>
              <w:t>）</w:t>
            </w:r>
            <w:r>
              <w:rPr>
                <w:rFonts w:hint="eastAsia" w:ascii="Times New Roman" w:hAnsi="Times New Roman" w:eastAsia="宋体"/>
                <w:b w:val="0"/>
                <w:bCs w:val="0"/>
                <w:color w:val="000000" w:themeColor="text1"/>
                <w:sz w:val="24"/>
                <w:szCs w:val="24"/>
                <w:lang w:eastAsia="zh-CN"/>
                <w14:textFill>
                  <w14:solidFill>
                    <w14:schemeClr w14:val="tx1"/>
                  </w14:solidFill>
                </w14:textFill>
              </w:rPr>
              <w:t>河岸施工</w:t>
            </w:r>
            <w:r>
              <w:rPr>
                <w:rFonts w:hint="eastAsia" w:ascii="Times New Roman" w:hAnsi="Times New Roman" w:eastAsia="宋体"/>
                <w:b w:val="0"/>
                <w:bCs w:val="0"/>
                <w:color w:val="000000" w:themeColor="text1"/>
                <w:sz w:val="24"/>
                <w:szCs w:val="24"/>
                <w14:textFill>
                  <w14:solidFill>
                    <w14:schemeClr w14:val="tx1"/>
                  </w14:solidFill>
                </w14:textFill>
              </w:rPr>
              <w:t>对地表水环境影响分析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contextualSpacing/>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①</w:t>
            </w:r>
            <w:r>
              <w:rPr>
                <w:rFonts w:hint="eastAsia" w:ascii="Times New Roman" w:hAnsi="Times New Roman" w:eastAsia="宋体"/>
                <w:color w:val="000000" w:themeColor="text1"/>
                <w:sz w:val="24"/>
                <w14:textFill>
                  <w14:solidFill>
                    <w14:schemeClr w14:val="tx1"/>
                  </w14:solidFill>
                </w14:textFill>
              </w:rPr>
              <w:t>项目</w:t>
            </w:r>
            <w:r>
              <w:rPr>
                <w:rFonts w:hint="eastAsia" w:ascii="Times New Roman" w:hAnsi="Times New Roman"/>
                <w:color w:val="000000" w:themeColor="text1"/>
                <w:sz w:val="24"/>
                <w:lang w:eastAsia="zh-CN"/>
                <w14:textFill>
                  <w14:solidFill>
                    <w14:schemeClr w14:val="tx1"/>
                  </w14:solidFill>
                </w14:textFill>
              </w:rPr>
              <w:t>在丰水期施工时，需设置导流，施工导流</w:t>
            </w:r>
            <w:r>
              <w:rPr>
                <w:rFonts w:hint="eastAsia" w:ascii="Times New Roman" w:hAnsi="Times New Roman" w:eastAsia="宋体"/>
                <w:color w:val="000000" w:themeColor="text1"/>
                <w:sz w:val="24"/>
                <w14:textFill>
                  <w14:solidFill>
                    <w14:schemeClr w14:val="tx1"/>
                  </w14:solidFill>
                </w14:textFill>
              </w:rPr>
              <w:t>采取土袋围堰法，土袋沉入水中的初期，可能会产生部分土壤颗粒被水流冲进水域内，使局部水环境浑浊度提高。但随着层层土袋的相互错缝与压实，土袋内的颗粒被水冲进水域的可能性减少。因此</w:t>
            </w:r>
            <w:r>
              <w:rPr>
                <w:rFonts w:hint="eastAsia"/>
                <w:color w:val="000000" w:themeColor="text1"/>
                <w:sz w:val="24"/>
                <w:lang w:eastAsia="zh-CN"/>
                <w14:textFill>
                  <w14:solidFill>
                    <w14:schemeClr w14:val="tx1"/>
                  </w14:solidFill>
                </w14:textFill>
              </w:rPr>
              <w:t>项目</w:t>
            </w:r>
            <w:r>
              <w:rPr>
                <w:rFonts w:hint="eastAsia" w:ascii="Times New Roman" w:hAnsi="Times New Roman"/>
                <w:color w:val="000000" w:themeColor="text1"/>
                <w:sz w:val="24"/>
                <w:lang w:eastAsia="zh-CN"/>
                <w14:textFill>
                  <w14:solidFill>
                    <w14:schemeClr w14:val="tx1"/>
                  </w14:solidFill>
                </w14:textFill>
              </w:rPr>
              <w:t>施工导流</w:t>
            </w:r>
            <w:r>
              <w:rPr>
                <w:rFonts w:hint="eastAsia" w:ascii="Times New Roman" w:hAnsi="Times New Roman" w:eastAsia="宋体"/>
                <w:color w:val="000000" w:themeColor="text1"/>
                <w:sz w:val="24"/>
                <w14:textFill>
                  <w14:solidFill>
                    <w14:schemeClr w14:val="tx1"/>
                  </w14:solidFill>
                </w14:textFill>
              </w:rPr>
              <w:t>对河流的影响随着施工期的结束而结束。</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②河道</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整治过程基本无废水产生。在护岸固脚上方坡面覆盖营养土时，若操作不规范或覆土过满，导致覆土散落河道内，以致河流水质中悬浮物浓度增高，造成区域内水体污染。由于护岸固脚上方的需覆土坡面有一定距离，且施工过程中小心操作，几乎无覆土落入河道内，且有堤岸石阶防护，基本无大量覆土遗落河内，因此堤岸整治施工对</w:t>
            </w:r>
            <w:r>
              <w:rPr>
                <w:rFonts w:hint="eastAsia"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河流</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的影响较小</w:t>
            </w:r>
            <w:r>
              <w:rPr>
                <w:rFonts w:hint="eastAsia" w:cs="Times New Roman"/>
                <w:color w:val="000000" w:themeColor="text1"/>
                <w:spacing w:val="0"/>
                <w:kern w:val="2"/>
                <w:sz w:val="24"/>
                <w:szCs w:val="24"/>
                <w:lang w:val="en-US" w:eastAsia="zh-CN" w:bidi="ar-SA"/>
                <w14:textFill>
                  <w14:solidFill>
                    <w14:schemeClr w14:val="tx1"/>
                  </w14:solidFill>
                </w14:textFill>
              </w:rPr>
              <w:t>。</w:t>
            </w:r>
          </w:p>
          <w:p>
            <w:pPr>
              <w:pStyle w:val="9"/>
              <w:keepNext w:val="0"/>
              <w:keepLines w:val="0"/>
              <w:pageBreakBefore w:val="0"/>
              <w:widowControl w:val="0"/>
              <w:numPr>
                <w:ilvl w:val="0"/>
                <w:numId w:val="7"/>
              </w:numPr>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000000" w:themeColor="text1"/>
                <w:spacing w:val="0"/>
                <w:kern w:val="2"/>
                <w:sz w:val="24"/>
                <w:szCs w:val="24"/>
                <w:lang w:val="en-US" w:eastAsia="zh-CN" w:bidi="ar-SA"/>
                <w14:textFill>
                  <w14:solidFill>
                    <w14:schemeClr w14:val="tx1"/>
                  </w14:solidFill>
                </w14:textFill>
              </w:rPr>
            </w:pPr>
            <w:r>
              <w:rPr>
                <w:rFonts w:hint="eastAsia" w:cs="Times New Roman"/>
                <w:color w:val="000000" w:themeColor="text1"/>
                <w:spacing w:val="0"/>
                <w:kern w:val="2"/>
                <w:sz w:val="24"/>
                <w:szCs w:val="24"/>
                <w:lang w:val="en-US" w:eastAsia="zh-CN" w:bidi="ar-SA"/>
                <w14:textFill>
                  <w14:solidFill>
                    <w14:schemeClr w14:val="tx1"/>
                  </w14:solidFill>
                </w14:textFill>
              </w:rPr>
              <w:t>清淤对河道影响</w:t>
            </w:r>
          </w:p>
          <w:p>
            <w:pPr>
              <w:spacing w:line="360" w:lineRule="auto"/>
              <w:ind w:firstLine="480" w:firstLineChars="200"/>
              <w:jc w:val="left"/>
              <w:rPr>
                <w:rFonts w:hint="eastAsia"/>
                <w:color w:val="000000" w:themeColor="text1"/>
                <w:sz w:val="24"/>
                <w:szCs w:val="32"/>
                <w:lang w:val="en-GB"/>
                <w14:textFill>
                  <w14:solidFill>
                    <w14:schemeClr w14:val="tx1"/>
                  </w14:solidFill>
                </w14:textFill>
              </w:rPr>
            </w:pPr>
            <w:r>
              <w:rPr>
                <w:rFonts w:hint="eastAsia"/>
                <w:color w:val="000000" w:themeColor="text1"/>
                <w:sz w:val="24"/>
                <w:szCs w:val="32"/>
                <w:lang w:val="en-GB"/>
                <w14:textFill>
                  <w14:solidFill>
                    <w14:schemeClr w14:val="tx1"/>
                  </w14:solidFill>
                </w14:textFill>
              </w:rPr>
              <w:t>清淤疏浚工程位于城北河县城段，对应河道中心桩号K20+603.4~K21+813.7，对现状河道进行清淤疏浚，河道总长1.21km。清淤面积5.33万m</w:t>
            </w:r>
            <w:r>
              <w:rPr>
                <w:rFonts w:hint="eastAsia"/>
                <w:color w:val="000000" w:themeColor="text1"/>
                <w:sz w:val="24"/>
                <w:szCs w:val="32"/>
                <w:vertAlign w:val="superscript"/>
                <w:lang w:val="en-GB"/>
                <w14:textFill>
                  <w14:solidFill>
                    <w14:schemeClr w14:val="tx1"/>
                  </w14:solidFill>
                </w14:textFill>
              </w:rPr>
              <w:t>2</w:t>
            </w:r>
            <w:r>
              <w:rPr>
                <w:rFonts w:hint="eastAsia"/>
                <w:color w:val="000000" w:themeColor="text1"/>
                <w:sz w:val="24"/>
                <w:szCs w:val="32"/>
                <w:lang w:val="en-GB"/>
                <w14:textFill>
                  <w14:solidFill>
                    <w14:schemeClr w14:val="tx1"/>
                  </w14:solidFill>
                </w14:textFill>
              </w:rPr>
              <w:t>，对应清淤量10.33万m</w:t>
            </w:r>
            <w:r>
              <w:rPr>
                <w:rFonts w:hint="eastAsia"/>
                <w:color w:val="000000" w:themeColor="text1"/>
                <w:sz w:val="24"/>
                <w:szCs w:val="32"/>
                <w:vertAlign w:val="superscript"/>
                <w:lang w:val="en-GB"/>
                <w14:textFill>
                  <w14:solidFill>
                    <w14:schemeClr w14:val="tx1"/>
                  </w14:solidFill>
                </w14:textFill>
              </w:rPr>
              <w:t>3</w:t>
            </w:r>
            <w:r>
              <w:rPr>
                <w:rFonts w:hint="eastAsia"/>
                <w:color w:val="000000" w:themeColor="text1"/>
                <w:sz w:val="24"/>
                <w:szCs w:val="32"/>
                <w:lang w:val="en-GB"/>
                <w14:textFill>
                  <w14:solidFill>
                    <w14:schemeClr w14:val="tx1"/>
                  </w14:solidFill>
                </w14:textFill>
              </w:rPr>
              <w:t xml:space="preserve">，清淤平均深度为1.94m。  </w:t>
            </w:r>
          </w:p>
          <w:p>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清淤过程中</w:t>
            </w:r>
            <w:r>
              <w:rPr>
                <w:rFonts w:hint="eastAsia"/>
                <w:color w:val="000000" w:themeColor="text1"/>
                <w:sz w:val="24"/>
                <w:szCs w:val="24"/>
                <w14:textFill>
                  <w14:solidFill>
                    <w14:schemeClr w14:val="tx1"/>
                  </w14:solidFill>
                </w14:textFill>
              </w:rPr>
              <w:t>引起的环境变化会直接影响到水生生物的生存、行为、繁殖和分布，本项目采用</w:t>
            </w:r>
            <w:r>
              <w:rPr>
                <w:rFonts w:hint="eastAsia"/>
                <w:color w:val="000000" w:themeColor="text1"/>
                <w:sz w:val="24"/>
                <w:szCs w:val="24"/>
                <w:lang w:eastAsia="zh-CN"/>
                <w14:textFill>
                  <w14:solidFill>
                    <w14:schemeClr w14:val="tx1"/>
                  </w14:solidFill>
                </w14:textFill>
              </w:rPr>
              <w:t>排干清淤方式</w:t>
            </w:r>
            <w:r>
              <w:rPr>
                <w:rFonts w:hint="eastAsia"/>
                <w:color w:val="000000" w:themeColor="text1"/>
                <w:sz w:val="24"/>
                <w:szCs w:val="24"/>
                <w14:textFill>
                  <w14:solidFill>
                    <w14:schemeClr w14:val="tx1"/>
                  </w14:solidFill>
                </w14:textFill>
              </w:rPr>
              <w:t>，在河道施工段 构筑临时围堰，将河道水排干后采用1m³的反铲挖掘机并配合一定的人工作业进行清淤。清淤工程对</w:t>
            </w:r>
            <w:r>
              <w:rPr>
                <w:rFonts w:hint="eastAsia"/>
                <w:color w:val="000000" w:themeColor="text1"/>
                <w:sz w:val="24"/>
                <w:szCs w:val="24"/>
                <w:lang w:eastAsia="zh-CN"/>
                <w14:textFill>
                  <w14:solidFill>
                    <w14:schemeClr w14:val="tx1"/>
                  </w14:solidFill>
                </w14:textFill>
              </w:rPr>
              <w:t>河道浮游生物</w:t>
            </w:r>
            <w:r>
              <w:rPr>
                <w:rFonts w:hint="eastAsia"/>
                <w:color w:val="000000" w:themeColor="text1"/>
                <w:sz w:val="24"/>
                <w:szCs w:val="24"/>
                <w14:textFill>
                  <w14:solidFill>
                    <w14:schemeClr w14:val="tx1"/>
                  </w14:solidFill>
                </w14:textFill>
              </w:rPr>
              <w:t>的影响主要为施工过程中</w:t>
            </w:r>
            <w:r>
              <w:rPr>
                <w:rFonts w:hint="eastAsia"/>
                <w:color w:val="000000" w:themeColor="text1"/>
                <w:sz w:val="24"/>
                <w:szCs w:val="24"/>
                <w:lang w:eastAsia="zh-CN"/>
                <w14:textFill>
                  <w14:solidFill>
                    <w14:schemeClr w14:val="tx1"/>
                  </w14:solidFill>
                </w14:textFill>
              </w:rPr>
              <w:t>河底</w:t>
            </w:r>
            <w:r>
              <w:rPr>
                <w:rFonts w:hint="eastAsia"/>
                <w:color w:val="000000" w:themeColor="text1"/>
                <w:sz w:val="24"/>
                <w:szCs w:val="24"/>
                <w14:textFill>
                  <w14:solidFill>
                    <w14:schemeClr w14:val="tx1"/>
                  </w14:solidFill>
                </w14:textFill>
              </w:rPr>
              <w:t>沉积物的搅动将增加施工区域水体悬浮物浓度，当施工过程中如果废水中所含的悬浮物浓度较高，此类废水的排放将引起疏浚区域邻近局部水域的水体浑浊度增加，导致水质下降，将减少附近水体的光合作用，并妨碍水体的自净作用。有资料表明，光在泥沙中的穿透能力降低约50%，而在非常混浊的水中将减少75%。此外，还大大降低光的穿透作用，水中悬浮物的存在，使水的浑浊度增加。对该水域内浮游生物、底栖及固着类生物等均也有一定程度的影响。水中悬浮物含量增加，降低了水体透光率，阻碍了水中的气体交换，影响藻类、浮游植物进行光合作用的效率，藻类和浮游植物的生物量受到一定的抑制作用。</w:t>
            </w:r>
          </w:p>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综上所述，施工中疏浚区域局部水域悬浮物浓度增加，从而在一定程度上影响</w:t>
            </w:r>
            <w:r>
              <w:rPr>
                <w:rFonts w:hint="eastAsia"/>
                <w:color w:val="000000" w:themeColor="text1"/>
                <w:sz w:val="24"/>
                <w:szCs w:val="24"/>
                <w:lang w:eastAsia="zh-CN"/>
                <w14:textFill>
                  <w14:solidFill>
                    <w14:schemeClr w14:val="tx1"/>
                  </w14:solidFill>
                </w14:textFill>
              </w:rPr>
              <w:t>水体生物</w:t>
            </w:r>
            <w:r>
              <w:rPr>
                <w:rFonts w:hint="eastAsia"/>
                <w:color w:val="000000" w:themeColor="text1"/>
                <w:sz w:val="24"/>
                <w:szCs w:val="24"/>
                <w14:textFill>
                  <w14:solidFill>
                    <w14:schemeClr w14:val="tx1"/>
                  </w14:solidFill>
                </w14:textFill>
              </w:rPr>
              <w:t>的生产和繁殖。但由于施工范围相对较小，其影响只是局部的和暂时的，而且一旦工程结束，这种影响会随之消失，因而这种影响也是短暂的、可逆的</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36"/>
                <w:lang w:val="en-US" w:eastAsia="zh-CN"/>
                <w14:textFill>
                  <w14:solidFill>
                    <w14:schemeClr w14:val="tx1"/>
                  </w14:solidFill>
                </w14:textFill>
              </w:rPr>
              <w:t>3</w:t>
            </w: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施工噪声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施工期间主要噪声源是挖掘机、推土机、装载机等施工机械产生的机械性噪声，声压级一般在85～95dB(A)。推土机、挖掘机主要用于土地平整道路施工作业带内，装载机主要集中在土石方调用施工中，施工期主要噪声源源强见表</w:t>
            </w:r>
            <w:r>
              <w:rPr>
                <w:rFonts w:hint="eastAsia"/>
                <w:color w:val="000000" w:themeColor="text1"/>
                <w:sz w:val="24"/>
                <w:szCs w:val="24"/>
                <w:lang w:val="en-US" w:eastAsia="zh-CN"/>
                <w14:textFill>
                  <w14:solidFill>
                    <w14:schemeClr w14:val="tx1"/>
                  </w14:solidFill>
                </w14:textFill>
              </w:rPr>
              <w:t>4-2</w:t>
            </w:r>
            <w:r>
              <w:rPr>
                <w:rFonts w:ascii="Times New Roman" w:hAnsi="Times New Roman" w:eastAsia="宋体"/>
                <w:color w:val="000000" w:themeColor="text1"/>
                <w:sz w:val="24"/>
                <w:szCs w:val="24"/>
                <w14:textFill>
                  <w14:solidFill>
                    <w14:schemeClr w14:val="tx1"/>
                  </w14:solidFill>
                </w14:textFill>
              </w:rPr>
              <w:t>。</w:t>
            </w:r>
          </w:p>
          <w:p>
            <w:pPr>
              <w:spacing w:line="276" w:lineRule="auto"/>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4-2</w:t>
            </w:r>
            <w:r>
              <w:rPr>
                <w:rFonts w:ascii="Times New Roman" w:hAnsi="Times New Roman" w:cs="Times New Roman"/>
                <w:b/>
                <w:bCs/>
                <w:color w:val="000000" w:themeColor="text1"/>
                <w:sz w:val="21"/>
                <w:szCs w:val="21"/>
                <w14:textFill>
                  <w14:solidFill>
                    <w14:schemeClr w14:val="tx1"/>
                  </w14:solidFill>
                </w14:textFill>
              </w:rPr>
              <w:t xml:space="preserve">  各施工阶段主要设备及噪声源强（单位：dB(A)）</w:t>
            </w:r>
          </w:p>
          <w:tbl>
            <w:tblPr>
              <w:tblStyle w:val="21"/>
              <w:tblW w:w="75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22"/>
              <w:gridCol w:w="2526"/>
              <w:gridCol w:w="2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522" w:type="dxa"/>
                  <w:tcBorders>
                    <w:tl2br w:val="nil"/>
                    <w:tr2bl w:val="nil"/>
                  </w:tcBorders>
                  <w:noWrap w:val="0"/>
                  <w:vAlign w:val="center"/>
                </w:tcPr>
                <w:p>
                  <w:pPr>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序号</w:t>
                  </w:r>
                </w:p>
              </w:tc>
              <w:tc>
                <w:tcPr>
                  <w:tcW w:w="2526" w:type="dxa"/>
                  <w:tcBorders>
                    <w:tl2br w:val="nil"/>
                    <w:tr2bl w:val="nil"/>
                  </w:tcBorders>
                  <w:noWrap w:val="0"/>
                  <w:vAlign w:val="center"/>
                </w:tcPr>
                <w:p>
                  <w:pPr>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声源</w:t>
                  </w:r>
                </w:p>
              </w:tc>
              <w:tc>
                <w:tcPr>
                  <w:tcW w:w="2531" w:type="dxa"/>
                  <w:tcBorders>
                    <w:tl2br w:val="nil"/>
                    <w:tr2bl w:val="nil"/>
                  </w:tcBorders>
                  <w:noWrap w:val="0"/>
                  <w:vAlign w:val="center"/>
                </w:tcPr>
                <w:p>
                  <w:pPr>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声级dB(A)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w:t>
                  </w:r>
                </w:p>
              </w:tc>
              <w:tc>
                <w:tcPr>
                  <w:tcW w:w="2526"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单斗</w:t>
                  </w:r>
                  <w:r>
                    <w:rPr>
                      <w:rFonts w:ascii="Times New Roman" w:hAnsi="Times New Roman" w:cs="Times New Roman"/>
                      <w:bCs/>
                      <w:color w:val="000000" w:themeColor="text1"/>
                      <w:sz w:val="21"/>
                      <w:szCs w:val="21"/>
                      <w14:textFill>
                        <w14:solidFill>
                          <w14:schemeClr w14:val="tx1"/>
                        </w14:solidFill>
                      </w14:textFill>
                    </w:rPr>
                    <w:t>挖掘机</w:t>
                  </w:r>
                </w:p>
              </w:tc>
              <w:tc>
                <w:tcPr>
                  <w:tcW w:w="2531"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w:t>
                  </w:r>
                </w:p>
              </w:tc>
              <w:tc>
                <w:tcPr>
                  <w:tcW w:w="2526"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推土机</w:t>
                  </w:r>
                </w:p>
              </w:tc>
              <w:tc>
                <w:tcPr>
                  <w:tcW w:w="2531"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3</w:t>
                  </w:r>
                </w:p>
              </w:tc>
              <w:tc>
                <w:tcPr>
                  <w:tcW w:w="2526"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自卸汽车</w:t>
                  </w:r>
                </w:p>
              </w:tc>
              <w:tc>
                <w:tcPr>
                  <w:tcW w:w="2531"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pPr>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w:t>
                  </w:r>
                </w:p>
              </w:tc>
              <w:tc>
                <w:tcPr>
                  <w:tcW w:w="2526"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装载机</w:t>
                  </w:r>
                </w:p>
              </w:tc>
              <w:tc>
                <w:tcPr>
                  <w:tcW w:w="2531"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pPr>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5</w:t>
                  </w:r>
                </w:p>
              </w:tc>
              <w:tc>
                <w:tcPr>
                  <w:tcW w:w="2526"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振动碾</w:t>
                  </w:r>
                </w:p>
              </w:tc>
              <w:tc>
                <w:tcPr>
                  <w:tcW w:w="2531"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6</w:t>
                  </w:r>
                </w:p>
              </w:tc>
              <w:tc>
                <w:tcPr>
                  <w:tcW w:w="2526"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刨毛机</w:t>
                  </w:r>
                </w:p>
              </w:tc>
              <w:tc>
                <w:tcPr>
                  <w:tcW w:w="2531" w:type="dxa"/>
                  <w:tcBorders>
                    <w:tl2br w:val="nil"/>
                    <w:tr2bl w:val="nil"/>
                  </w:tcBorders>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22" w:type="dxa"/>
                  <w:tcBorders>
                    <w:tl2br w:val="nil"/>
                    <w:tr2bl w:val="nil"/>
                  </w:tcBorders>
                  <w:noWrap w:val="0"/>
                  <w:vAlign w:val="center"/>
                </w:tcPr>
                <w:p>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w:t>
                  </w:r>
                </w:p>
              </w:tc>
              <w:tc>
                <w:tcPr>
                  <w:tcW w:w="2526"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蛙式夯实机</w:t>
                  </w:r>
                </w:p>
              </w:tc>
              <w:tc>
                <w:tcPr>
                  <w:tcW w:w="2531" w:type="dxa"/>
                  <w:tcBorders>
                    <w:tl2br w:val="nil"/>
                    <w:tr2bl w:val="nil"/>
                  </w:tcBorders>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22" w:type="dxa"/>
                  <w:tcBorders>
                    <w:tl2br w:val="nil"/>
                    <w:tr2bl w:val="nil"/>
                  </w:tcBorders>
                  <w:noWrap w:val="0"/>
                  <w:vAlign w:val="center"/>
                </w:tcPr>
                <w:p>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8</w:t>
                  </w:r>
                </w:p>
              </w:tc>
              <w:tc>
                <w:tcPr>
                  <w:tcW w:w="2526" w:type="dxa"/>
                  <w:tcBorders>
                    <w:tl2br w:val="nil"/>
                    <w:tr2bl w:val="nil"/>
                  </w:tcBorders>
                  <w:noWrap w:val="0"/>
                  <w:vAlign w:val="center"/>
                </w:tcPr>
                <w:p>
                  <w:pPr>
                    <w:jc w:val="center"/>
                    <w:rPr>
                      <w:rFonts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拖拉机</w:t>
                  </w:r>
                </w:p>
              </w:tc>
              <w:tc>
                <w:tcPr>
                  <w:tcW w:w="2531" w:type="dxa"/>
                  <w:tcBorders>
                    <w:tl2br w:val="nil"/>
                    <w:tr2bl w:val="nil"/>
                  </w:tcBorders>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8</w:t>
                  </w:r>
                  <w:r>
                    <w:rPr>
                      <w:rFonts w:hint="eastAsia" w:ascii="Times New Roman" w:hAnsi="Times New Roman" w:cs="Times New Roman"/>
                      <w:bCs/>
                      <w:color w:val="000000" w:themeColor="text1"/>
                      <w:sz w:val="21"/>
                      <w:szCs w:val="21"/>
                      <w:lang w:val="en-US" w:eastAsia="zh-CN"/>
                      <w14:textFill>
                        <w14:solidFill>
                          <w14:schemeClr w14:val="tx1"/>
                        </w14:solidFill>
                      </w14:textFill>
                    </w:rPr>
                    <w:t>3</w:t>
                  </w:r>
                </w:p>
              </w:tc>
            </w:tr>
          </w:tbl>
          <w:p>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①</w:t>
            </w:r>
            <w:r>
              <w:rPr>
                <w:rFonts w:hint="default" w:ascii="Times New Roman" w:hAnsi="Times New Roman" w:eastAsia="宋体" w:cs="Times New Roman"/>
                <w:color w:val="000000" w:themeColor="text1"/>
                <w:sz w:val="24"/>
                <w:lang w:eastAsia="zh-CN"/>
                <w14:textFill>
                  <w14:solidFill>
                    <w14:schemeClr w14:val="tx1"/>
                  </w14:solidFill>
                </w14:textFill>
              </w:rPr>
              <w:t>施工噪声影响预测</w:t>
            </w:r>
            <w:r>
              <w:rPr>
                <w:rFonts w:hint="default" w:ascii="Times New Roman" w:hAnsi="Times New Roman" w:eastAsia="宋体" w:cs="Times New Roman"/>
                <w:color w:val="000000" w:themeColor="text1"/>
                <w:sz w:val="24"/>
                <w:lang w:val="en-US" w:eastAsia="zh-CN" w:bidi="ar-SA"/>
                <w14:textFill>
                  <w14:solidFill>
                    <w14:schemeClr w14:val="tx1"/>
                  </w14:solidFill>
                </w14:textFill>
              </w:rPr>
              <w:t>模式</w:t>
            </w:r>
          </w:p>
          <w:p>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根据声源特性，预测模式采用半自由声源衰减模式，其模式为：</w:t>
            </w:r>
          </w:p>
          <w:p>
            <w:pPr>
              <w:widowControl w:val="0"/>
              <w:autoSpaceDE w:val="0"/>
              <w:autoSpaceDN w:val="0"/>
              <w:adjustRightInd w:val="0"/>
              <w:spacing w:line="360" w:lineRule="auto"/>
              <w:jc w:val="center"/>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Lp=L(ro)-20lg(r/r</w:t>
            </w:r>
            <w:r>
              <w:rPr>
                <w:rFonts w:hint="default" w:ascii="Times New Roman" w:hAnsi="Times New Roman" w:eastAsia="宋体" w:cs="Times New Roman"/>
                <w:color w:val="000000" w:themeColor="text1"/>
                <w:sz w:val="24"/>
                <w:vertAlign w:val="subscript"/>
                <w:lang w:val="en-US" w:eastAsia="zh-CN" w:bidi="ar-SA"/>
                <w14:textFill>
                  <w14:solidFill>
                    <w14:schemeClr w14:val="tx1"/>
                  </w14:solidFill>
                </w14:textFill>
              </w:rPr>
              <w:t>o</w:t>
            </w:r>
            <w:r>
              <w:rPr>
                <w:rFonts w:hint="default" w:ascii="Times New Roman" w:hAnsi="Times New Roman" w:eastAsia="宋体" w:cs="Times New Roman"/>
                <w:color w:val="000000" w:themeColor="text1"/>
                <w:sz w:val="24"/>
                <w:lang w:val="en-US" w:eastAsia="zh-CN" w:bidi="ar-SA"/>
                <w14:textFill>
                  <w14:solidFill>
                    <w14:schemeClr w14:val="tx1"/>
                  </w14:solidFill>
                </w14:textFill>
              </w:rPr>
              <w:t>)</w:t>
            </w:r>
          </w:p>
          <w:p>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式中：Lp ──距离声源r处的噪声级，dB(A)；</w:t>
            </w:r>
          </w:p>
          <w:p>
            <w:pPr>
              <w:widowControl w:val="0"/>
              <w:autoSpaceDE w:val="0"/>
              <w:autoSpaceDN w:val="0"/>
              <w:adjustRightInd w:val="0"/>
              <w:spacing w:line="360" w:lineRule="auto"/>
              <w:ind w:firstLine="1200" w:firstLineChars="500"/>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t>L(r</w:t>
            </w:r>
            <w:r>
              <w:rPr>
                <w:rFonts w:hint="default" w:ascii="Times New Roman" w:hAnsi="Times New Roman" w:eastAsia="宋体" w:cs="Times New Roman"/>
                <w:color w:val="000000" w:themeColor="text1"/>
                <w:sz w:val="24"/>
                <w:szCs w:val="22"/>
                <w:vertAlign w:val="subscript"/>
                <w:lang w:val="en-US" w:eastAsia="zh-CN" w:bidi="ar-SA"/>
                <w14:textFill>
                  <w14:solidFill>
                    <w14:schemeClr w14:val="tx1"/>
                  </w14:solidFill>
                </w14:textFill>
              </w:rPr>
              <w:t>o</w:t>
            </w:r>
            <w:r>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t>)──参考位置ro处的噪声级，dB(A)；</w:t>
            </w:r>
          </w:p>
          <w:p>
            <w:pPr>
              <w:widowControl w:val="0"/>
              <w:autoSpaceDE w:val="0"/>
              <w:autoSpaceDN w:val="0"/>
              <w:adjustRightInd w:val="0"/>
              <w:spacing w:line="360" w:lineRule="auto"/>
              <w:ind w:firstLine="1200" w:firstLineChars="500"/>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t>r ──声源与预测点的距离，m；</w:t>
            </w:r>
          </w:p>
          <w:p>
            <w:pPr>
              <w:widowControl w:val="0"/>
              <w:autoSpaceDE w:val="0"/>
              <w:autoSpaceDN w:val="0"/>
              <w:adjustRightInd w:val="0"/>
              <w:spacing w:line="360" w:lineRule="auto"/>
              <w:ind w:firstLine="1200" w:firstLineChars="5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t>r</w:t>
            </w:r>
            <w:r>
              <w:rPr>
                <w:rFonts w:hint="default" w:ascii="Times New Roman" w:hAnsi="Times New Roman" w:eastAsia="宋体" w:cs="Times New Roman"/>
                <w:color w:val="000000" w:themeColor="text1"/>
                <w:sz w:val="24"/>
                <w:szCs w:val="22"/>
                <w:vertAlign w:val="subscript"/>
                <w:lang w:val="en-US" w:eastAsia="zh-CN" w:bidi="ar-SA"/>
                <w14:textFill>
                  <w14:solidFill>
                    <w14:schemeClr w14:val="tx1"/>
                  </w14:solidFill>
                </w14:textFill>
              </w:rPr>
              <w:t>o</w:t>
            </w:r>
            <w:r>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t xml:space="preserve"> ──参考位</w:t>
            </w:r>
            <w:r>
              <w:rPr>
                <w:rFonts w:hint="default" w:ascii="Times New Roman" w:hAnsi="Times New Roman" w:eastAsia="宋体" w:cs="Times New Roman"/>
                <w:color w:val="000000" w:themeColor="text1"/>
                <w:sz w:val="24"/>
                <w:lang w:val="en-US" w:eastAsia="zh-CN" w:bidi="ar-SA"/>
                <w14:textFill>
                  <w14:solidFill>
                    <w14:schemeClr w14:val="tx1"/>
                  </w14:solidFill>
                </w14:textFill>
              </w:rPr>
              <w:t>置与声源的距离，m。</w:t>
            </w:r>
          </w:p>
          <w:p>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②预测结果</w:t>
            </w:r>
          </w:p>
          <w:p>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 xml:space="preserve">施工噪声在不同距离的衰减预测结果见表 </w:t>
            </w:r>
            <w:r>
              <w:rPr>
                <w:rFonts w:hint="eastAsia" w:ascii="Times New Roman" w:hAnsi="Times New Roman" w:eastAsia="宋体" w:cs="Times New Roman"/>
                <w:color w:val="000000" w:themeColor="text1"/>
                <w:sz w:val="24"/>
                <w:lang w:val="en-US" w:eastAsia="zh-CN" w:bidi="ar-SA"/>
                <w14:textFill>
                  <w14:solidFill>
                    <w14:schemeClr w14:val="tx1"/>
                  </w14:solidFill>
                </w14:textFill>
              </w:rPr>
              <w:t>4</w:t>
            </w:r>
            <w:r>
              <w:rPr>
                <w:rFonts w:hint="default" w:ascii="Times New Roman" w:hAnsi="Times New Roman" w:eastAsia="宋体" w:cs="Times New Roman"/>
                <w:color w:val="000000" w:themeColor="text1"/>
                <w:sz w:val="24"/>
                <w:lang w:val="en-US" w:eastAsia="zh-CN" w:bidi="ar-SA"/>
                <w14:textFill>
                  <w14:solidFill>
                    <w14:schemeClr w14:val="tx1"/>
                  </w14:solidFill>
                </w14:textFill>
              </w:rPr>
              <w:t>-</w:t>
            </w:r>
            <w:r>
              <w:rPr>
                <w:rFonts w:hint="eastAsia" w:cs="Times New Roman"/>
                <w:color w:val="000000" w:themeColor="text1"/>
                <w:sz w:val="24"/>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lang w:val="en-US" w:eastAsia="zh-CN" w:bidi="ar-SA"/>
                <w14:textFill>
                  <w14:solidFill>
                    <w14:schemeClr w14:val="tx1"/>
                  </w14:solidFill>
                </w14:textFill>
              </w:rPr>
              <w:t>。</w:t>
            </w:r>
          </w:p>
          <w:p>
            <w:pPr>
              <w:widowControl w:val="0"/>
              <w:autoSpaceDE w:val="0"/>
              <w:autoSpaceDN w:val="0"/>
              <w:adjustRightInd w:val="0"/>
              <w:jc w:val="center"/>
              <w:rPr>
                <w:rFonts w:hint="default" w:ascii="Times New Roman" w:hAnsi="Times New Roman" w:eastAsia="宋体" w:cs="Times New Roman"/>
                <w:b/>
                <w:bCs/>
                <w:color w:val="000000" w:themeColor="text1"/>
                <w:sz w:val="21"/>
                <w:szCs w:val="16"/>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16"/>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sz w:val="21"/>
                <w:szCs w:val="16"/>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z w:val="21"/>
                <w:szCs w:val="16"/>
                <w:lang w:val="en-US" w:eastAsia="zh-CN" w:bidi="ar-SA"/>
                <w14:textFill>
                  <w14:solidFill>
                    <w14:schemeClr w14:val="tx1"/>
                  </w14:solidFill>
                </w14:textFill>
              </w:rPr>
              <w:t>-</w:t>
            </w:r>
            <w:r>
              <w:rPr>
                <w:rFonts w:hint="eastAsia" w:cs="Times New Roman"/>
                <w:b/>
                <w:bCs/>
                <w:color w:val="000000" w:themeColor="text1"/>
                <w:sz w:val="21"/>
                <w:szCs w:val="16"/>
                <w:lang w:val="en-US" w:eastAsia="zh-CN" w:bidi="ar-SA"/>
                <w14:textFill>
                  <w14:solidFill>
                    <w14:schemeClr w14:val="tx1"/>
                  </w14:solidFill>
                </w14:textFill>
              </w:rPr>
              <w:t xml:space="preserve">3   </w:t>
            </w:r>
            <w:r>
              <w:rPr>
                <w:rFonts w:hint="default" w:ascii="Times New Roman" w:hAnsi="Times New Roman" w:eastAsia="宋体" w:cs="Times New Roman"/>
                <w:b/>
                <w:bCs/>
                <w:color w:val="000000" w:themeColor="text1"/>
                <w:sz w:val="21"/>
                <w:szCs w:val="16"/>
                <w:lang w:val="en-US" w:eastAsia="zh-CN" w:bidi="ar-SA"/>
                <w14:textFill>
                  <w14:solidFill>
                    <w14:schemeClr w14:val="tx1"/>
                  </w14:solidFill>
                </w14:textFill>
              </w:rPr>
              <w:t xml:space="preserve"> 施工期噪声在不同距离的衰减值</w:t>
            </w:r>
          </w:p>
          <w:tbl>
            <w:tblPr>
              <w:tblStyle w:val="21"/>
              <w:tblW w:w="75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82"/>
              <w:gridCol w:w="1192"/>
              <w:gridCol w:w="472"/>
              <w:gridCol w:w="1023"/>
              <w:gridCol w:w="890"/>
              <w:gridCol w:w="910"/>
              <w:gridCol w:w="852"/>
              <w:gridCol w:w="530"/>
              <w:gridCol w:w="876"/>
              <w:gridCol w:w="283"/>
              <w:gridCol w:w="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282"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序号</w:t>
                  </w:r>
                </w:p>
              </w:tc>
              <w:tc>
                <w:tcPr>
                  <w:tcW w:w="1192"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声源</w:t>
                  </w:r>
                </w:p>
              </w:tc>
              <w:tc>
                <w:tcPr>
                  <w:tcW w:w="472"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源强</w:t>
                  </w:r>
                </w:p>
              </w:tc>
              <w:tc>
                <w:tcPr>
                  <w:tcW w:w="5081" w:type="dxa"/>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距声源</w:t>
                  </w:r>
                </w:p>
              </w:tc>
              <w:tc>
                <w:tcPr>
                  <w:tcW w:w="570"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1192"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472"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20m</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50m</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60m</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80m</w:t>
                  </w:r>
                </w:p>
              </w:tc>
              <w:tc>
                <w:tcPr>
                  <w:tcW w:w="5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100m</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200m</w:t>
                  </w:r>
                </w:p>
              </w:tc>
              <w:tc>
                <w:tcPr>
                  <w:tcW w:w="28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昼</w:t>
                  </w:r>
                </w:p>
              </w:tc>
              <w:tc>
                <w:tcPr>
                  <w:tcW w:w="28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119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单斗</w:t>
                  </w:r>
                  <w:r>
                    <w:rPr>
                      <w:rFonts w:ascii="Times New Roman" w:hAnsi="Times New Roman" w:eastAsia="宋体" w:cs="Times New Roman"/>
                      <w:bCs/>
                      <w:color w:val="000000" w:themeColor="text1"/>
                      <w:szCs w:val="21"/>
                      <w14:textFill>
                        <w14:solidFill>
                          <w14:schemeClr w14:val="tx1"/>
                        </w14:solidFill>
                      </w14:textFill>
                    </w:rPr>
                    <w:t>挖掘机</w:t>
                  </w:r>
                </w:p>
              </w:tc>
              <w:tc>
                <w:tcPr>
                  <w:tcW w:w="47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90</w:t>
                  </w: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63.9794</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56.0206</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54.43697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51.9382</w:t>
                  </w:r>
                </w:p>
              </w:tc>
              <w:tc>
                <w:tcPr>
                  <w:tcW w:w="5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50</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43.9794</w:t>
                  </w:r>
                </w:p>
              </w:tc>
              <w:tc>
                <w:tcPr>
                  <w:tcW w:w="28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70</w:t>
                  </w:r>
                </w:p>
              </w:tc>
              <w:tc>
                <w:tcPr>
                  <w:tcW w:w="287"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2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2</w:t>
                  </w:r>
                </w:p>
              </w:tc>
              <w:tc>
                <w:tcPr>
                  <w:tcW w:w="119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推土机</w:t>
                  </w:r>
                </w:p>
              </w:tc>
              <w:tc>
                <w:tcPr>
                  <w:tcW w:w="47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98</w:t>
                  </w: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71.9794</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64.0206</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62.43697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59.9382</w:t>
                  </w:r>
                </w:p>
              </w:tc>
              <w:tc>
                <w:tcPr>
                  <w:tcW w:w="5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58</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51.9794</w:t>
                  </w:r>
                </w:p>
              </w:tc>
              <w:tc>
                <w:tcPr>
                  <w:tcW w:w="28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3</w:t>
                  </w:r>
                </w:p>
              </w:tc>
              <w:tc>
                <w:tcPr>
                  <w:tcW w:w="119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自卸汽车</w:t>
                  </w:r>
                </w:p>
              </w:tc>
              <w:tc>
                <w:tcPr>
                  <w:tcW w:w="47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85</w:t>
                  </w: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58.9794</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51.0206</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49.43697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46.9382</w:t>
                  </w:r>
                </w:p>
              </w:tc>
              <w:tc>
                <w:tcPr>
                  <w:tcW w:w="5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45</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38.9794</w:t>
                  </w:r>
                </w:p>
              </w:tc>
              <w:tc>
                <w:tcPr>
                  <w:tcW w:w="28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w:t>
                  </w:r>
                </w:p>
              </w:tc>
              <w:tc>
                <w:tcPr>
                  <w:tcW w:w="119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装载机</w:t>
                  </w:r>
                </w:p>
              </w:tc>
              <w:tc>
                <w:tcPr>
                  <w:tcW w:w="47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95</w:t>
                  </w: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68.9794</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61.0206</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59.43697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56.9382</w:t>
                  </w:r>
                </w:p>
              </w:tc>
              <w:tc>
                <w:tcPr>
                  <w:tcW w:w="5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55</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48.9794</w:t>
                  </w:r>
                </w:p>
              </w:tc>
              <w:tc>
                <w:tcPr>
                  <w:tcW w:w="28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w:t>
                  </w:r>
                </w:p>
              </w:tc>
              <w:tc>
                <w:tcPr>
                  <w:tcW w:w="119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振动碾</w:t>
                  </w:r>
                </w:p>
              </w:tc>
              <w:tc>
                <w:tcPr>
                  <w:tcW w:w="47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80</w:t>
                  </w: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53.9794</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46.0206</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44.43697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41.9382</w:t>
                  </w:r>
                </w:p>
              </w:tc>
              <w:tc>
                <w:tcPr>
                  <w:tcW w:w="5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40</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33.9794</w:t>
                  </w:r>
                </w:p>
              </w:tc>
              <w:tc>
                <w:tcPr>
                  <w:tcW w:w="28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w:t>
                  </w:r>
                </w:p>
              </w:tc>
              <w:tc>
                <w:tcPr>
                  <w:tcW w:w="119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刨毛机</w:t>
                  </w:r>
                </w:p>
              </w:tc>
              <w:tc>
                <w:tcPr>
                  <w:tcW w:w="47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80</w:t>
                  </w: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53.9794</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46.0206</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44.43697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41.9382</w:t>
                  </w:r>
                </w:p>
              </w:tc>
              <w:tc>
                <w:tcPr>
                  <w:tcW w:w="5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40</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33.9794</w:t>
                  </w:r>
                </w:p>
              </w:tc>
              <w:tc>
                <w:tcPr>
                  <w:tcW w:w="28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7</w:t>
                  </w:r>
                </w:p>
              </w:tc>
              <w:tc>
                <w:tcPr>
                  <w:tcW w:w="119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蛙式夯实机</w:t>
                  </w:r>
                </w:p>
              </w:tc>
              <w:tc>
                <w:tcPr>
                  <w:tcW w:w="47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100</w:t>
                  </w: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73.9794</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66.0206</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64.43697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61.9382</w:t>
                  </w:r>
                </w:p>
              </w:tc>
              <w:tc>
                <w:tcPr>
                  <w:tcW w:w="5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60</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53.9794</w:t>
                  </w:r>
                </w:p>
              </w:tc>
              <w:tc>
                <w:tcPr>
                  <w:tcW w:w="28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2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8</w:t>
                  </w:r>
                </w:p>
              </w:tc>
              <w:tc>
                <w:tcPr>
                  <w:tcW w:w="119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拖拉机</w:t>
                  </w:r>
                </w:p>
              </w:tc>
              <w:tc>
                <w:tcPr>
                  <w:tcW w:w="472" w:type="dxa"/>
                  <w:tcBorders>
                    <w:tl2br w:val="nil"/>
                    <w:tr2bl w:val="nil"/>
                  </w:tcBorders>
                  <w:noWrap w:val="0"/>
                  <w:vAlign w:val="center"/>
                </w:tcPr>
                <w:p>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83</w:t>
                  </w: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56.9794</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41.61844</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47.43697</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44.9382</w:t>
                  </w:r>
                </w:p>
              </w:tc>
              <w:tc>
                <w:tcPr>
                  <w:tcW w:w="5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43</w:t>
                  </w:r>
                </w:p>
              </w:tc>
              <w:tc>
                <w:tcPr>
                  <w:tcW w:w="8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36.9794</w:t>
                  </w:r>
                </w:p>
              </w:tc>
              <w:tc>
                <w:tcPr>
                  <w:tcW w:w="28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28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bl>
          <w:p>
            <w:pPr>
              <w:widowControl w:val="0"/>
              <w:autoSpaceDE w:val="0"/>
              <w:autoSpaceDN w:val="0"/>
              <w:adjustRightInd w:val="0"/>
              <w:spacing w:before="159" w:beforeLines="50" w:beforeAutospacing="0"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项目施工阶段一般为露天作业，无隔声消减措施，噪声传播较远，受其影响的范围较大。由上表预测结果可见，昼间单个施工机械的噪声在距施工场地50m外可以达到《建筑施工场界环境噪声排放标准》（GB12523-2011）昼间标准，夜间在200m外可以达到《建筑施工场界环境噪声排放标准》（GB12523-2011）夜间标准。但在施工场地往往是多种施工机械共同作业，因此，施工现场的噪声是各种不同施工机械的噪声以及进出施工现场的各种车辆引起的噪声的总和，</w:t>
            </w:r>
            <w:r>
              <w:rPr>
                <w:rFonts w:hint="eastAsia" w:cs="Times New Roman"/>
                <w:color w:val="000000" w:themeColor="text1"/>
                <w:sz w:val="24"/>
                <w:lang w:val="en-US" w:eastAsia="zh-CN" w:bidi="ar-SA"/>
                <w14:textFill>
                  <w14:solidFill>
                    <w14:schemeClr w14:val="tx1"/>
                  </w14:solidFill>
                </w14:textFill>
              </w:rPr>
              <w:t>故</w:t>
            </w:r>
            <w:r>
              <w:rPr>
                <w:rFonts w:hint="default" w:ascii="Times New Roman" w:hAnsi="Times New Roman" w:eastAsia="宋体" w:cs="Times New Roman"/>
                <w:color w:val="000000" w:themeColor="text1"/>
                <w:sz w:val="24"/>
                <w:lang w:val="en-US" w:eastAsia="zh-CN" w:bidi="ar-SA"/>
                <w14:textFill>
                  <w14:solidFill>
                    <w14:schemeClr w14:val="tx1"/>
                  </w14:solidFill>
                </w14:textFill>
              </w:rPr>
              <w:t>昼间噪声达标距离要大于50m。</w:t>
            </w:r>
          </w:p>
          <w:p>
            <w:pPr>
              <w:widowControl w:val="0"/>
              <w:autoSpaceDE w:val="0"/>
              <w:autoSpaceDN w:val="0"/>
              <w:adjustRightInd w:val="0"/>
              <w:spacing w:line="360" w:lineRule="auto"/>
              <w:ind w:firstLine="480" w:firstLineChars="200"/>
              <w:rPr>
                <w:rFonts w:hint="eastAsia"/>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bidi="ar-SA"/>
                <w14:textFill>
                  <w14:solidFill>
                    <w14:schemeClr w14:val="tx1"/>
                  </w14:solidFill>
                </w14:textFill>
              </w:rPr>
              <w:t>本项目永久及临时占地边界外200m范围内的噪声敏感目标</w:t>
            </w:r>
            <w:r>
              <w:rPr>
                <w:rFonts w:hint="eastAsia" w:cs="Times New Roman"/>
                <w:color w:val="000000" w:themeColor="text1"/>
                <w:sz w:val="24"/>
                <w:lang w:val="en-US" w:eastAsia="zh-CN" w:bidi="ar-SA"/>
                <w14:textFill>
                  <w14:solidFill>
                    <w14:schemeClr w14:val="tx1"/>
                  </w14:solidFill>
                </w14:textFill>
              </w:rPr>
              <w:t>有安沟新村、吕家台、湘乐村、宇院村居民等村住户</w:t>
            </w:r>
            <w:r>
              <w:rPr>
                <w:rFonts w:hint="default" w:ascii="Times New Roman" w:hAnsi="Times New Roman" w:eastAsia="宋体" w:cs="Times New Roman"/>
                <w:color w:val="000000" w:themeColor="text1"/>
                <w:sz w:val="24"/>
                <w:lang w:val="en-US" w:eastAsia="zh-CN" w:bidi="ar-SA"/>
                <w14:textFill>
                  <w14:solidFill>
                    <w14:schemeClr w14:val="tx1"/>
                  </w14:solidFill>
                </w14:textFill>
              </w:rPr>
              <w:t>。各噪声敏感点会在一定程度上受到施工噪声的影响，短期内将处于超标环境中，若夜间施工，超标情况更为严重，因此，本工程禁止在敏感点进行夜间施工，以降低对周边居民声环境的影响</w:t>
            </w:r>
            <w:r>
              <w:rPr>
                <w:rFonts w:hint="eastAsia" w:ascii="Times New Roman" w:hAnsi="Times New Roman" w:eastAsia="宋体" w:cs="Times New Roman"/>
                <w:color w:val="000000" w:themeColor="text1"/>
                <w:sz w:val="24"/>
                <w:lang w:val="en-US" w:eastAsia="zh-CN" w:bidi="ar-SA"/>
                <w14:textFill>
                  <w14:solidFill>
                    <w14:schemeClr w14:val="tx1"/>
                  </w14:solidFill>
                </w14:textFill>
              </w:rPr>
              <w:t>。</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36"/>
                <w:lang w:val="en-US" w:eastAsia="zh-CN"/>
                <w14:textFill>
                  <w14:solidFill>
                    <w14:schemeClr w14:val="tx1"/>
                  </w14:solidFill>
                </w14:textFill>
              </w:rPr>
              <w:t>4</w:t>
            </w:r>
            <w:r>
              <w:rPr>
                <w:rFonts w:hint="eastAsia"/>
                <w:b/>
                <w:bCs/>
                <w:color w:val="000000" w:themeColor="text1"/>
                <w:sz w:val="24"/>
                <w:szCs w:val="36"/>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固体废物</w:t>
            </w:r>
          </w:p>
          <w:p>
            <w:pPr>
              <w:keepNext w:val="0"/>
              <w:keepLines w:val="0"/>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本项目施工期产生的固体废物主要为施工弃土、施工建筑垃圾</w:t>
            </w:r>
            <w:r>
              <w:rPr>
                <w:rFonts w:hint="eastAsia" w:ascii="Times New Roman" w:hAnsi="Times New Roman" w:eastAsia="宋体"/>
                <w:color w:val="000000" w:themeColor="text1"/>
                <w:sz w:val="24"/>
                <w:szCs w:val="24"/>
                <w:highlight w:val="none"/>
                <w:lang w:eastAsia="zh-CN"/>
                <w14:textFill>
                  <w14:solidFill>
                    <w14:schemeClr w14:val="tx1"/>
                  </w14:solidFill>
                </w14:textFill>
              </w:rPr>
              <w:t>及</w:t>
            </w:r>
            <w:r>
              <w:rPr>
                <w:rFonts w:hint="eastAsia" w:ascii="Times New Roman" w:hAnsi="Times New Roman" w:eastAsia="宋体"/>
                <w:color w:val="000000" w:themeColor="text1"/>
                <w:sz w:val="24"/>
                <w:szCs w:val="24"/>
                <w:highlight w:val="none"/>
                <w14:textFill>
                  <w14:solidFill>
                    <w14:schemeClr w14:val="tx1"/>
                  </w14:solidFill>
                </w14:textFill>
              </w:rPr>
              <w:t>施工人员生活垃圾。</w:t>
            </w:r>
          </w:p>
          <w:p>
            <w:pPr>
              <w:spacing w:line="360" w:lineRule="auto"/>
              <w:ind w:right="-1" w:firstLine="480" w:firstLineChars="200"/>
              <w:contextualSpacing/>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1）施工弃</w:t>
            </w:r>
            <w:r>
              <w:rPr>
                <w:rFonts w:hint="eastAsia" w:ascii="Times New Roman" w:hAnsi="Times New Roman" w:eastAsia="宋体"/>
                <w:color w:val="000000" w:themeColor="text1"/>
                <w:sz w:val="24"/>
                <w:szCs w:val="24"/>
                <w:highlight w:val="none"/>
                <w:lang w:eastAsia="zh-CN"/>
                <w14:textFill>
                  <w14:solidFill>
                    <w14:schemeClr w14:val="tx1"/>
                  </w14:solidFill>
                </w14:textFill>
              </w:rPr>
              <w:t>土</w:t>
            </w:r>
          </w:p>
          <w:p>
            <w:pPr>
              <w:widowControl w:val="0"/>
              <w:autoSpaceDE w:val="0"/>
              <w:autoSpaceDN w:val="0"/>
              <w:adjustRightInd w:val="0"/>
              <w:spacing w:line="360" w:lineRule="auto"/>
              <w:ind w:firstLine="480" w:firstLineChars="200"/>
              <w:rPr>
                <w:rFonts w:hint="default" w:ascii="Times New Roman" w:hAnsi="Times New Roman" w:eastAsia="宋体" w:cs="Times New Roman"/>
                <w:color w:val="000000" w:themeColor="text1"/>
                <w:sz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bidi="ar-SA"/>
                <w14:textFill>
                  <w14:solidFill>
                    <w14:schemeClr w14:val="tx1"/>
                  </w14:solidFill>
                </w14:textFill>
              </w:rPr>
              <w:t>参照《</w:t>
            </w:r>
            <w:r>
              <w:rPr>
                <w:rFonts w:hint="eastAsia" w:cs="Times New Roman"/>
                <w:color w:val="000000" w:themeColor="text1"/>
                <w:sz w:val="24"/>
                <w:lang w:val="en-US" w:eastAsia="zh-CN" w:bidi="ar-SA"/>
                <w14:textFill>
                  <w14:solidFill>
                    <w14:schemeClr w14:val="tx1"/>
                  </w14:solidFill>
                </w14:textFill>
              </w:rPr>
              <w:t>宁县城北河重点流域水环境综合治理工程</w:t>
            </w:r>
            <w:r>
              <w:rPr>
                <w:rFonts w:hint="eastAsia" w:ascii="Times New Roman" w:hAnsi="Times New Roman" w:eastAsia="宋体" w:cs="Times New Roman"/>
                <w:color w:val="000000" w:themeColor="text1"/>
                <w:sz w:val="24"/>
                <w:lang w:val="en-US" w:eastAsia="zh-CN" w:bidi="ar-SA"/>
                <w14:textFill>
                  <w14:solidFill>
                    <w14:schemeClr w14:val="tx1"/>
                  </w14:solidFill>
                </w14:textFill>
              </w:rPr>
              <w:t>初步设计报告》，在工程现场对单项工程分布地形地貌及部位进行踏查分类统计，再按照分区对工程的开挖土石方量、填方量进行测算，本项目建设期间的土石方工程量主要来源于堤防工程区开挖及回填。本项目在建设期，通过合理地</w:t>
            </w:r>
            <w:r>
              <w:rPr>
                <w:rFonts w:hint="default" w:ascii="Times New Roman" w:hAnsi="Times New Roman" w:eastAsia="宋体" w:cs="Times New Roman"/>
                <w:color w:val="000000" w:themeColor="text1"/>
                <w:sz w:val="24"/>
                <w:lang w:val="en-US" w:eastAsia="zh-CN" w:bidi="ar-SA"/>
                <w14:textFill>
                  <w14:solidFill>
                    <w14:schemeClr w14:val="tx1"/>
                  </w14:solidFill>
                </w14:textFill>
              </w:rPr>
              <w:t>安排施工时序，余（弃）方全部用做填方，基本实现挖填平衡。经测算本项目总开挖方量</w:t>
            </w:r>
            <w:r>
              <w:rPr>
                <w:rFonts w:hint="eastAsia" w:cs="Times New Roman"/>
                <w:color w:val="000000" w:themeColor="text1"/>
                <w:sz w:val="24"/>
                <w:lang w:val="en-US" w:eastAsia="zh-CN" w:bidi="ar-SA"/>
                <w14:textFill>
                  <w14:solidFill>
                    <w14:schemeClr w14:val="tx1"/>
                  </w14:solidFill>
                </w14:textFill>
              </w:rPr>
              <w:t>64.13</w:t>
            </w:r>
            <w:r>
              <w:rPr>
                <w:rFonts w:hint="default" w:ascii="Times New Roman" w:hAnsi="Times New Roman" w:eastAsia="宋体" w:cs="Times New Roman"/>
                <w:color w:val="000000" w:themeColor="text1"/>
                <w:sz w:val="24"/>
                <w:lang w:val="en-US" w:eastAsia="zh-CN" w:bidi="ar-SA"/>
                <w14:textFill>
                  <w14:solidFill>
                    <w14:schemeClr w14:val="tx1"/>
                  </w14:solidFill>
                </w14:textFill>
              </w:rPr>
              <w:t>万m³，回填方量</w:t>
            </w:r>
            <w:r>
              <w:rPr>
                <w:rFonts w:hint="eastAsia" w:cs="Times New Roman"/>
                <w:color w:val="000000" w:themeColor="text1"/>
                <w:sz w:val="24"/>
                <w:lang w:val="en-US" w:eastAsia="zh-CN" w:bidi="ar-SA"/>
                <w14:textFill>
                  <w14:solidFill>
                    <w14:schemeClr w14:val="tx1"/>
                  </w14:solidFill>
                </w14:textFill>
              </w:rPr>
              <w:t>64.13</w:t>
            </w:r>
            <w:r>
              <w:rPr>
                <w:rFonts w:hint="default" w:ascii="Times New Roman" w:hAnsi="Times New Roman" w:eastAsia="宋体" w:cs="Times New Roman"/>
                <w:color w:val="000000" w:themeColor="text1"/>
                <w:sz w:val="24"/>
                <w:lang w:val="en-US" w:eastAsia="zh-CN" w:bidi="ar-SA"/>
                <w14:textFill>
                  <w14:solidFill>
                    <w14:schemeClr w14:val="tx1"/>
                  </w14:solidFill>
                </w14:textFill>
              </w:rPr>
              <w:t>万m³，所以项目总体土石方挖填平衡，不产生余（弃）方。施工期主要工程土石方平衡见表4-4。</w:t>
            </w:r>
          </w:p>
          <w:p>
            <w:pPr>
              <w:widowControl w:val="0"/>
              <w:autoSpaceDE w:val="0"/>
              <w:autoSpaceDN w:val="0"/>
              <w:adjustRightInd w:val="0"/>
              <w:jc w:val="center"/>
              <w:rPr>
                <w:rFonts w:hint="default" w:ascii="Times New Roman" w:hAnsi="Times New Roman" w:eastAsia="宋体" w:cs="Times New Roman"/>
                <w:b/>
                <w:bCs/>
                <w:color w:val="000000" w:themeColor="text1"/>
                <w:sz w:val="21"/>
                <w:szCs w:val="16"/>
                <w:lang w:val="en-US" w:eastAsia="zh-CN" w:bidi="ar-SA"/>
                <w14:textFill>
                  <w14:solidFill>
                    <w14:schemeClr w14:val="tx1"/>
                  </w14:solidFill>
                </w14:textFill>
              </w:rPr>
            </w:pPr>
            <w:bookmarkStart w:id="14" w:name="_Toc7580_WPSOffice_Level2"/>
            <w:r>
              <w:rPr>
                <w:rFonts w:hint="default" w:ascii="Times New Roman" w:hAnsi="Times New Roman" w:eastAsia="宋体" w:cs="Times New Roman"/>
                <w:b/>
                <w:bCs/>
                <w:color w:val="000000" w:themeColor="text1"/>
                <w:sz w:val="21"/>
                <w:szCs w:val="16"/>
                <w:lang w:val="en-US" w:eastAsia="zh-CN" w:bidi="ar-SA"/>
                <w14:textFill>
                  <w14:solidFill>
                    <w14:schemeClr w14:val="tx1"/>
                  </w14:solidFill>
                </w14:textFill>
              </w:rPr>
              <w:t>表4-4     项目土石方平衡表(单位：万m³</w:t>
            </w:r>
            <w:bookmarkEnd w:id="14"/>
            <w:r>
              <w:rPr>
                <w:rFonts w:hint="default" w:ascii="Times New Roman" w:hAnsi="Times New Roman" w:eastAsia="宋体" w:cs="Times New Roman"/>
                <w:b/>
                <w:bCs/>
                <w:color w:val="000000" w:themeColor="text1"/>
                <w:sz w:val="21"/>
                <w:szCs w:val="16"/>
                <w:lang w:val="en-US" w:eastAsia="zh-CN" w:bidi="ar-SA"/>
                <w14:textFill>
                  <w14:solidFill>
                    <w14:schemeClr w14:val="tx1"/>
                  </w14:solidFill>
                </w14:textFill>
              </w:rPr>
              <w:t>)</w:t>
            </w:r>
          </w:p>
          <w:tbl>
            <w:tblPr>
              <w:tblStyle w:val="21"/>
              <w:tblW w:w="765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09"/>
              <w:gridCol w:w="658"/>
              <w:gridCol w:w="822"/>
              <w:gridCol w:w="814"/>
              <w:gridCol w:w="925"/>
              <w:gridCol w:w="814"/>
              <w:gridCol w:w="825"/>
              <w:gridCol w:w="715"/>
              <w:gridCol w:w="6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1409"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功能分区</w:t>
                  </w:r>
                </w:p>
              </w:tc>
              <w:tc>
                <w:tcPr>
                  <w:tcW w:w="148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建设规模</w:t>
                  </w:r>
                </w:p>
              </w:tc>
              <w:tc>
                <w:tcPr>
                  <w:tcW w:w="814"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挖方</w:t>
                  </w:r>
                </w:p>
              </w:tc>
              <w:tc>
                <w:tcPr>
                  <w:tcW w:w="925"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填方</w:t>
                  </w:r>
                </w:p>
              </w:tc>
              <w:tc>
                <w:tcPr>
                  <w:tcW w:w="1639"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外借方</w:t>
                  </w:r>
                </w:p>
              </w:tc>
              <w:tc>
                <w:tcPr>
                  <w:tcW w:w="13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余（弃）方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140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p>
              </w:tc>
              <w:tc>
                <w:tcPr>
                  <w:tcW w:w="65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单位</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数量</w:t>
                  </w:r>
                </w:p>
              </w:tc>
              <w:tc>
                <w:tcPr>
                  <w:tcW w:w="814"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p>
              </w:tc>
              <w:tc>
                <w:tcPr>
                  <w:tcW w:w="925"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p>
              </w:tc>
              <w:tc>
                <w:tcPr>
                  <w:tcW w:w="81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数量</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来源</w:t>
                  </w:r>
                </w:p>
              </w:tc>
              <w:tc>
                <w:tcPr>
                  <w:tcW w:w="71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数量</w:t>
                  </w:r>
                </w:p>
              </w:tc>
              <w:tc>
                <w:tcPr>
                  <w:tcW w:w="67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40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eastAsia" w:eastAsia="仿宋_GB2312" w:cs="Times New Roman"/>
                      <w:color w:val="000000" w:themeColor="text1"/>
                      <w:sz w:val="21"/>
                      <w:szCs w:val="21"/>
                      <w:highlight w:val="none"/>
                      <w:lang w:val="en-US" w:eastAsia="zh-CN"/>
                      <w14:textFill>
                        <w14:solidFill>
                          <w14:schemeClr w14:val="tx1"/>
                        </w14:solidFill>
                      </w14:textFill>
                    </w:rPr>
                    <w:t>生态护岸工程</w:t>
                  </w:r>
                </w:p>
              </w:tc>
              <w:tc>
                <w:tcPr>
                  <w:tcW w:w="65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eastAsia" w:eastAsia="仿宋_GB2312" w:cs="Times New Roman"/>
                      <w:color w:val="000000" w:themeColor="text1"/>
                      <w:sz w:val="21"/>
                      <w:szCs w:val="21"/>
                      <w:highlight w:val="none"/>
                      <w:lang w:val="en-US" w:eastAsia="zh-CN"/>
                      <w14:textFill>
                        <w14:solidFill>
                          <w14:schemeClr w14:val="tx1"/>
                        </w14:solidFill>
                      </w14:textFill>
                    </w:rPr>
                    <w:t>km</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eastAsia" w:eastAsia="仿宋_GB2312" w:cs="Times New Roman"/>
                      <w:color w:val="000000" w:themeColor="text1"/>
                      <w:sz w:val="21"/>
                      <w:szCs w:val="21"/>
                      <w:highlight w:val="none"/>
                      <w:lang w:val="en-US" w:eastAsia="zh-CN"/>
                      <w14:textFill>
                        <w14:solidFill>
                          <w14:schemeClr w14:val="tx1"/>
                        </w14:solidFill>
                      </w14:textFill>
                    </w:rPr>
                    <w:t>20.51</w:t>
                  </w:r>
                </w:p>
              </w:tc>
              <w:tc>
                <w:tcPr>
                  <w:tcW w:w="81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eastAsia" w:eastAsia="仿宋_GB2312" w:cs="Times New Roman"/>
                      <w:color w:val="000000" w:themeColor="text1"/>
                      <w:sz w:val="21"/>
                      <w:szCs w:val="21"/>
                      <w:highlight w:val="none"/>
                      <w:lang w:val="en-US" w:eastAsia="zh-CN"/>
                      <w14:textFill>
                        <w14:solidFill>
                          <w14:schemeClr w14:val="tx1"/>
                        </w14:solidFill>
                      </w14:textFill>
                    </w:rPr>
                    <w:t>64.13</w:t>
                  </w:r>
                </w:p>
              </w:tc>
              <w:tc>
                <w:tcPr>
                  <w:tcW w:w="92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eastAsia" w:eastAsia="仿宋_GB2312" w:cs="Times New Roman"/>
                      <w:color w:val="000000" w:themeColor="text1"/>
                      <w:sz w:val="21"/>
                      <w:szCs w:val="21"/>
                      <w:highlight w:val="none"/>
                      <w:lang w:val="en-US" w:eastAsia="zh-CN"/>
                      <w14:textFill>
                        <w14:solidFill>
                          <w14:schemeClr w14:val="tx1"/>
                        </w14:solidFill>
                      </w14:textFill>
                    </w:rPr>
                    <w:t>64.13</w:t>
                  </w:r>
                </w:p>
              </w:tc>
              <w:tc>
                <w:tcPr>
                  <w:tcW w:w="81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eastAsia" w:eastAsia="仿宋_GB2312" w:cs="Times New Roman"/>
                      <w:color w:val="000000" w:themeColor="text1"/>
                      <w:sz w:val="21"/>
                      <w:szCs w:val="21"/>
                      <w:highlight w:val="none"/>
                      <w:lang w:val="en-US" w:eastAsia="zh-CN"/>
                      <w14:textFill>
                        <w14:solidFill>
                          <w14:schemeClr w14:val="tx1"/>
                        </w14:solidFill>
                      </w14:textFill>
                    </w:rPr>
                    <w:t>0</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eastAsia" w:eastAsia="仿宋_GB2312" w:cs="Times New Roman"/>
                      <w:color w:val="000000" w:themeColor="text1"/>
                      <w:sz w:val="21"/>
                      <w:szCs w:val="21"/>
                      <w:highlight w:val="none"/>
                      <w:lang w:val="en-US" w:eastAsia="zh-CN"/>
                      <w14:textFill>
                        <w14:solidFill>
                          <w14:schemeClr w14:val="tx1"/>
                        </w14:solidFill>
                      </w14:textFill>
                    </w:rPr>
                    <w:t>/</w:t>
                  </w:r>
                </w:p>
              </w:tc>
              <w:tc>
                <w:tcPr>
                  <w:tcW w:w="71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0</w:t>
                  </w:r>
                </w:p>
              </w:tc>
              <w:tc>
                <w:tcPr>
                  <w:tcW w:w="67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eastAsia" w:eastAsia="仿宋_GB2312"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0" w:hRule="atLeast"/>
                <w:jc w:val="center"/>
              </w:trPr>
              <w:tc>
                <w:tcPr>
                  <w:tcW w:w="140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合计</w:t>
                  </w:r>
                </w:p>
              </w:tc>
              <w:tc>
                <w:tcPr>
                  <w:tcW w:w="658" w:type="dxa"/>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eastAsia="仿宋_GB2312" w:cs="Times New Roman"/>
                      <w:color w:val="000000" w:themeColor="text1"/>
                      <w:kern w:val="2"/>
                      <w:sz w:val="21"/>
                      <w:szCs w:val="21"/>
                      <w:highlight w:val="none"/>
                      <w:lang w:val="en-US" w:eastAsia="zh-CN" w:bidi="ar-SA"/>
                      <w14:textFill>
                        <w14:solidFill>
                          <w14:schemeClr w14:val="tx1"/>
                        </w14:solidFill>
                      </w14:textFill>
                    </w:rPr>
                    <w:t>/</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eastAsia="仿宋_GB2312" w:cs="Times New Roman"/>
                      <w:color w:val="000000" w:themeColor="text1"/>
                      <w:kern w:val="2"/>
                      <w:sz w:val="21"/>
                      <w:szCs w:val="21"/>
                      <w:highlight w:val="none"/>
                      <w:lang w:val="en-US" w:eastAsia="zh-CN" w:bidi="ar-SA"/>
                      <w14:textFill>
                        <w14:solidFill>
                          <w14:schemeClr w14:val="tx1"/>
                        </w14:solidFill>
                      </w14:textFill>
                    </w:rPr>
                    <w:t>/</w:t>
                  </w:r>
                </w:p>
              </w:tc>
              <w:tc>
                <w:tcPr>
                  <w:tcW w:w="81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eastAsia="仿宋_GB2312" w:cs="Times New Roman"/>
                      <w:color w:val="000000" w:themeColor="text1"/>
                      <w:kern w:val="2"/>
                      <w:sz w:val="21"/>
                      <w:szCs w:val="21"/>
                      <w:highlight w:val="none"/>
                      <w:lang w:val="en-US" w:eastAsia="zh-CN" w:bidi="ar-SA"/>
                      <w14:textFill>
                        <w14:solidFill>
                          <w14:schemeClr w14:val="tx1"/>
                        </w14:solidFill>
                      </w14:textFill>
                    </w:rPr>
                    <w:t>64.13</w:t>
                  </w:r>
                </w:p>
              </w:tc>
              <w:tc>
                <w:tcPr>
                  <w:tcW w:w="92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eastAsia="仿宋_GB2312" w:cs="Times New Roman"/>
                      <w:color w:val="000000" w:themeColor="text1"/>
                      <w:kern w:val="2"/>
                      <w:sz w:val="21"/>
                      <w:szCs w:val="21"/>
                      <w:highlight w:val="none"/>
                      <w:lang w:val="en-US" w:eastAsia="zh-CN" w:bidi="ar-SA"/>
                      <w14:textFill>
                        <w14:solidFill>
                          <w14:schemeClr w14:val="tx1"/>
                        </w14:solidFill>
                      </w14:textFill>
                    </w:rPr>
                    <w:t>64.13</w:t>
                  </w:r>
                </w:p>
              </w:tc>
              <w:tc>
                <w:tcPr>
                  <w:tcW w:w="81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eastAsia="仿宋_GB2312" w:cs="Times New Roman"/>
                      <w:color w:val="000000" w:themeColor="text1"/>
                      <w:sz w:val="21"/>
                      <w:szCs w:val="21"/>
                      <w:highlight w:val="none"/>
                      <w:lang w:val="en-US" w:eastAsia="zh-CN"/>
                      <w14:textFill>
                        <w14:solidFill>
                          <w14:schemeClr w14:val="tx1"/>
                        </w14:solidFill>
                      </w14:textFill>
                    </w:rPr>
                    <w:t>0</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eastAsia="仿宋_GB2312" w:cs="Times New Roman"/>
                      <w:color w:val="000000" w:themeColor="text1"/>
                      <w:sz w:val="21"/>
                      <w:szCs w:val="21"/>
                      <w:highlight w:val="none"/>
                      <w:lang w:val="en-US" w:eastAsia="zh-CN"/>
                      <w14:textFill>
                        <w14:solidFill>
                          <w14:schemeClr w14:val="tx1"/>
                        </w14:solidFill>
                      </w14:textFill>
                    </w:rPr>
                    <w:t>/</w:t>
                  </w:r>
                </w:p>
              </w:tc>
              <w:tc>
                <w:tcPr>
                  <w:tcW w:w="71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0</w:t>
                  </w:r>
                </w:p>
              </w:tc>
              <w:tc>
                <w:tcPr>
                  <w:tcW w:w="67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kern w:val="2"/>
                      <w:sz w:val="21"/>
                      <w:szCs w:val="21"/>
                      <w:highlight w:val="none"/>
                      <w:lang w:val="en-US" w:eastAsia="zh-CN" w:bidi="ar-SA"/>
                      <w14:textFill>
                        <w14:solidFill>
                          <w14:schemeClr w14:val="tx1"/>
                        </w14:solidFill>
                      </w14:textFill>
                    </w:rPr>
                  </w:pPr>
                  <w:r>
                    <w:rPr>
                      <w:rFonts w:hint="eastAsia" w:eastAsia="仿宋_GB2312" w:cs="Times New Roman"/>
                      <w:color w:val="000000" w:themeColor="text1"/>
                      <w:sz w:val="21"/>
                      <w:szCs w:val="21"/>
                      <w:highlight w:val="none"/>
                      <w:lang w:val="en-US" w:eastAsia="zh-CN"/>
                      <w14:textFill>
                        <w14:solidFill>
                          <w14:schemeClr w14:val="tx1"/>
                        </w14:solidFill>
                      </w14:textFill>
                    </w:rPr>
                    <w:t>/</w:t>
                  </w:r>
                </w:p>
              </w:tc>
            </w:tr>
          </w:tbl>
          <w:p>
            <w:pPr>
              <w:spacing w:line="360" w:lineRule="auto"/>
              <w:ind w:right="-1" w:firstLine="480" w:firstLineChars="200"/>
              <w:contextualSpacing/>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2）施工建筑垃圾</w:t>
            </w:r>
          </w:p>
          <w:p>
            <w:pPr>
              <w:spacing w:line="360" w:lineRule="auto"/>
              <w:ind w:right="-1" w:firstLine="480" w:firstLineChars="200"/>
              <w:contextualSpacing/>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本项目建筑垃圾主要为施工过程中产生的生产废料、建筑垃圾</w:t>
            </w:r>
            <w:r>
              <w:rPr>
                <w:rFonts w:hint="eastAsia" w:ascii="Times New Roman" w:hAnsi="Times New Roman" w:eastAsia="宋体"/>
                <w:color w:val="000000" w:themeColor="text1"/>
                <w:sz w:val="24"/>
                <w:szCs w:val="24"/>
                <w:highlight w:val="none"/>
                <w:lang w:eastAsia="zh-CN"/>
                <w14:textFill>
                  <w14:solidFill>
                    <w14:schemeClr w14:val="tx1"/>
                  </w14:solidFill>
                </w14:textFill>
              </w:rPr>
              <w:t>等。</w:t>
            </w:r>
            <w:r>
              <w:rPr>
                <w:rFonts w:hint="eastAsia" w:ascii="Times New Roman" w:hAnsi="Times New Roman" w:eastAsia="宋体"/>
                <w:color w:val="000000" w:themeColor="text1"/>
                <w:sz w:val="24"/>
                <w:szCs w:val="24"/>
                <w:highlight w:val="none"/>
                <w14:textFill>
                  <w14:solidFill>
                    <w14:schemeClr w14:val="tx1"/>
                  </w14:solidFill>
                </w14:textFill>
              </w:rPr>
              <w:t>生产废料主要为废铁、废钢丝、木料废块等，对于有利用价值的进行分拣回用，</w:t>
            </w:r>
            <w:r>
              <w:rPr>
                <w:rFonts w:hint="eastAsia"/>
                <w:color w:val="000000" w:themeColor="text1"/>
                <w:sz w:val="24"/>
                <w:szCs w:val="24"/>
                <w:highlight w:val="none"/>
                <w:lang w:eastAsia="zh-CN"/>
                <w14:textFill>
                  <w14:solidFill>
                    <w14:schemeClr w14:val="tx1"/>
                  </w14:solidFill>
                </w14:textFill>
              </w:rPr>
              <w:t>无法利用的拉运至宁县建筑垃圾填埋场填埋</w:t>
            </w:r>
            <w:r>
              <w:rPr>
                <w:rFonts w:hint="eastAsia" w:ascii="Times New Roman" w:hAnsi="Times New Roman" w:eastAsia="宋体"/>
                <w:color w:val="000000" w:themeColor="text1"/>
                <w:sz w:val="24"/>
                <w:szCs w:val="24"/>
                <w:highlight w:val="none"/>
                <w14:textFill>
                  <w14:solidFill>
                    <w14:schemeClr w14:val="tx1"/>
                  </w14:solidFill>
                </w14:textFill>
              </w:rPr>
              <w:t>。</w:t>
            </w:r>
          </w:p>
          <w:p>
            <w:pPr>
              <w:spacing w:line="360" w:lineRule="auto"/>
              <w:ind w:right="-1" w:firstLine="480" w:firstLineChars="200"/>
              <w:contextualSpacing/>
              <w:rPr>
                <w:rFonts w:hint="eastAsia" w:ascii="Times New Roman" w:hAnsi="Times New Roman" w:eastAsia="宋体"/>
                <w:color w:val="FF0000"/>
                <w:sz w:val="24"/>
                <w:szCs w:val="24"/>
                <w:highlight w:val="none"/>
              </w:rPr>
            </w:pPr>
            <w:r>
              <w:rPr>
                <w:rFonts w:hint="eastAsia" w:ascii="Times New Roman" w:hAnsi="Times New Roman" w:eastAsia="宋体"/>
                <w:color w:val="FF0000"/>
                <w:sz w:val="24"/>
                <w:szCs w:val="24"/>
                <w:highlight w:val="none"/>
              </w:rPr>
              <w:t>3）</w:t>
            </w:r>
            <w:r>
              <w:rPr>
                <w:rFonts w:hint="eastAsia" w:ascii="Times New Roman" w:hAnsi="Times New Roman" w:eastAsia="宋体"/>
                <w:color w:val="FF0000"/>
                <w:sz w:val="24"/>
                <w:szCs w:val="24"/>
                <w:highlight w:val="none"/>
                <w:lang w:eastAsia="zh-CN"/>
              </w:rPr>
              <w:t>清淤泥沙</w:t>
            </w:r>
          </w:p>
          <w:p>
            <w:pPr>
              <w:spacing w:line="360" w:lineRule="auto"/>
              <w:ind w:right="-1" w:firstLine="480" w:firstLineChars="200"/>
              <w:contextualSpacing/>
              <w:jc w:val="left"/>
              <w:rPr>
                <w:rFonts w:hint="eastAsia"/>
                <w:color w:val="FF0000"/>
                <w:sz w:val="24"/>
                <w:szCs w:val="24"/>
                <w:lang w:val="en-US" w:eastAsia="zh-CN"/>
              </w:rPr>
            </w:pPr>
            <w:r>
              <w:rPr>
                <w:rFonts w:hint="eastAsia"/>
                <w:color w:val="FF0000"/>
                <w:sz w:val="24"/>
                <w:szCs w:val="24"/>
                <w:lang w:val="en-US" w:eastAsia="zh-CN"/>
              </w:rPr>
              <w:t>清淤河段位于城北河县城段，对应河道中心桩号 K20+603.4~K21+813.7，河道总长1.21km，主要对河道内的河道淤积物进行清淤疏浚，清淤面积5.33万m</w:t>
            </w:r>
            <w:r>
              <w:rPr>
                <w:rFonts w:hint="eastAsia"/>
                <w:color w:val="FF0000"/>
                <w:sz w:val="24"/>
                <w:szCs w:val="24"/>
                <w:vertAlign w:val="superscript"/>
                <w:lang w:val="en-US" w:eastAsia="zh-CN"/>
              </w:rPr>
              <w:t>2</w:t>
            </w:r>
            <w:r>
              <w:rPr>
                <w:rFonts w:hint="eastAsia"/>
                <w:color w:val="FF0000"/>
                <w:sz w:val="24"/>
                <w:szCs w:val="24"/>
                <w:lang w:val="en-US" w:eastAsia="zh-CN"/>
              </w:rPr>
              <w:t>，清淤平均深度为1.94m，对应清淤量10.33万m</w:t>
            </w:r>
            <w:r>
              <w:rPr>
                <w:rFonts w:hint="eastAsia"/>
                <w:color w:val="FF0000"/>
                <w:sz w:val="24"/>
                <w:szCs w:val="24"/>
                <w:vertAlign w:val="superscript"/>
                <w:lang w:val="en-US" w:eastAsia="zh-CN"/>
              </w:rPr>
              <w:t>3</w:t>
            </w:r>
            <w:r>
              <w:rPr>
                <w:rFonts w:hint="eastAsia"/>
                <w:color w:val="FF0000"/>
                <w:sz w:val="24"/>
                <w:szCs w:val="24"/>
                <w:lang w:val="en-US" w:eastAsia="zh-CN"/>
              </w:rPr>
              <w:t>，清出淤泥运至庙咀坪河滩空地晾晒场晾晒，含水率小于8%后作为路基填料综合利用，晾晒场四周设置围偃。</w:t>
            </w:r>
          </w:p>
          <w:p>
            <w:pPr>
              <w:spacing w:line="360" w:lineRule="auto"/>
              <w:ind w:right="-1" w:firstLine="480" w:firstLineChars="200"/>
              <w:contextualSpacing/>
              <w:rPr>
                <w:rFonts w:hint="eastAsia" w:ascii="Times New Roman" w:hAnsi="Times New Roman" w:eastAsia="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w:t>
            </w:r>
            <w:r>
              <w:rPr>
                <w:rFonts w:hint="eastAsia" w:ascii="Times New Roman" w:hAnsi="Times New Roman" w:eastAsia="宋体"/>
                <w:color w:val="000000" w:themeColor="text1"/>
                <w:sz w:val="24"/>
                <w:szCs w:val="24"/>
                <w14:textFill>
                  <w14:solidFill>
                    <w14:schemeClr w14:val="tx1"/>
                  </w14:solidFill>
                </w14:textFill>
              </w:rPr>
              <w:t>施工人员生活垃圾</w:t>
            </w:r>
          </w:p>
          <w:p>
            <w:pPr>
              <w:spacing w:line="360" w:lineRule="auto"/>
              <w:ind w:right="-1" w:firstLine="480" w:firstLineChars="200"/>
              <w:contextualSpacing/>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w:t>
            </w:r>
            <w:r>
              <w:rPr>
                <w:rFonts w:hint="eastAsia"/>
                <w:color w:val="000000" w:themeColor="text1"/>
                <w:sz w:val="24"/>
                <w:szCs w:val="24"/>
                <w:lang w:eastAsia="zh-CN"/>
                <w14:textFill>
                  <w14:solidFill>
                    <w14:schemeClr w14:val="tx1"/>
                  </w14:solidFill>
                </w14:textFill>
              </w:rPr>
              <w:t>施工人员为</w:t>
            </w:r>
            <w:r>
              <w:rPr>
                <w:rFonts w:hint="eastAsia"/>
                <w:color w:val="000000" w:themeColor="text1"/>
                <w:sz w:val="24"/>
                <w:szCs w:val="24"/>
                <w:lang w:val="en-US" w:eastAsia="zh-CN"/>
                <w14:textFill>
                  <w14:solidFill>
                    <w14:schemeClr w14:val="tx1"/>
                  </w14:solidFill>
                </w14:textFill>
              </w:rPr>
              <w:t>20</w:t>
            </w:r>
            <w:r>
              <w:rPr>
                <w:rFonts w:hint="eastAsia" w:ascii="Times New Roman" w:hAnsi="Times New Roman" w:eastAsia="宋体"/>
                <w:color w:val="000000" w:themeColor="text1"/>
                <w:sz w:val="24"/>
                <w:szCs w:val="24"/>
                <w14:textFill>
                  <w14:solidFill>
                    <w14:schemeClr w14:val="tx1"/>
                  </w14:solidFill>
                </w14:textFill>
              </w:rPr>
              <w:t>人，施工营地施工人员生活垃圾按每人每天0.5kg/d计，施工区施工时间</w:t>
            </w:r>
            <w:r>
              <w:rPr>
                <w:rFonts w:hint="eastAsia"/>
                <w:color w:val="000000" w:themeColor="text1"/>
                <w:sz w:val="24"/>
                <w:szCs w:val="24"/>
                <w:lang w:val="en-US" w:eastAsia="zh-CN"/>
                <w14:textFill>
                  <w14:solidFill>
                    <w14:schemeClr w14:val="tx1"/>
                  </w14:solidFill>
                </w14:textFill>
              </w:rPr>
              <w:t>5</w:t>
            </w:r>
            <w:r>
              <w:rPr>
                <w:rFonts w:hint="eastAsia" w:ascii="Times New Roman" w:hAnsi="Times New Roman" w:eastAsia="宋体"/>
                <w:color w:val="000000" w:themeColor="text1"/>
                <w:sz w:val="24"/>
                <w:szCs w:val="24"/>
                <w14:textFill>
                  <w14:solidFill>
                    <w14:schemeClr w14:val="tx1"/>
                  </w14:solidFill>
                </w14:textFill>
              </w:rPr>
              <w:t>个月，生活垃圾产生量约为</w:t>
            </w:r>
            <w:r>
              <w:rPr>
                <w:rFonts w:hint="eastAsia"/>
                <w:color w:val="000000" w:themeColor="text1"/>
                <w:sz w:val="24"/>
                <w:szCs w:val="24"/>
                <w:lang w:val="en-US" w:eastAsia="zh-CN"/>
                <w14:textFill>
                  <w14:solidFill>
                    <w14:schemeClr w14:val="tx1"/>
                  </w14:solidFill>
                </w14:textFill>
              </w:rPr>
              <w:t>1.5</w:t>
            </w:r>
            <w:r>
              <w:rPr>
                <w:rFonts w:hint="eastAsia" w:ascii="Times New Roman" w:hAnsi="Times New Roman" w:eastAsia="宋体"/>
                <w:color w:val="000000" w:themeColor="text1"/>
                <w:sz w:val="24"/>
                <w:szCs w:val="24"/>
                <w14:textFill>
                  <w14:solidFill>
                    <w14:schemeClr w14:val="tx1"/>
                  </w14:solidFill>
                </w14:textFill>
              </w:rPr>
              <w:t>t，生活垃圾均由垃圾桶暂存，集中收集后</w:t>
            </w:r>
            <w:r>
              <w:rPr>
                <w:rFonts w:hint="eastAsia"/>
                <w:color w:val="000000" w:themeColor="text1"/>
                <w:sz w:val="24"/>
                <w:szCs w:val="24"/>
                <w:lang w:eastAsia="zh-CN"/>
                <w14:textFill>
                  <w14:solidFill>
                    <w14:schemeClr w14:val="tx1"/>
                  </w14:solidFill>
                </w14:textFill>
              </w:rPr>
              <w:t>由施工方</w:t>
            </w:r>
            <w:r>
              <w:rPr>
                <w:rFonts w:ascii="Times New Roman" w:hAnsi="Times New Roman" w:eastAsia="宋体"/>
                <w:color w:val="000000" w:themeColor="text1"/>
                <w:sz w:val="24"/>
                <w:szCs w:val="24"/>
                <w14:textFill>
                  <w14:solidFill>
                    <w14:schemeClr w14:val="tx1"/>
                  </w14:solidFill>
                </w14:textFill>
              </w:rPr>
              <w:t>定期送至</w:t>
            </w:r>
            <w:r>
              <w:rPr>
                <w:rFonts w:hint="eastAsia"/>
                <w:color w:val="000000" w:themeColor="text1"/>
                <w:sz w:val="24"/>
                <w:szCs w:val="24"/>
                <w:lang w:eastAsia="zh-CN"/>
                <w14:textFill>
                  <w14:solidFill>
                    <w14:schemeClr w14:val="tx1"/>
                  </w14:solidFill>
                </w14:textFill>
              </w:rPr>
              <w:t>附近村庄垃圾暂存点</w:t>
            </w:r>
            <w:r>
              <w:rPr>
                <w:rFonts w:ascii="Times New Roman" w:hAnsi="Times New Roman" w:eastAsia="宋体"/>
                <w:color w:val="000000" w:themeColor="text1"/>
                <w:sz w:val="24"/>
                <w:szCs w:val="24"/>
                <w14:textFill>
                  <w14:solidFill>
                    <w14:schemeClr w14:val="tx1"/>
                  </w14:solidFill>
                </w14:textFill>
              </w:rPr>
              <w:t>。</w:t>
            </w:r>
          </w:p>
          <w:p>
            <w:pPr>
              <w:keepNext w:val="0"/>
              <w:keepLines w:val="0"/>
              <w:pageBreakBefore w:val="0"/>
              <w:kinsoku/>
              <w:wordWrap/>
              <w:overflowPunct/>
              <w:topLinePunct w:val="0"/>
              <w:bidi w:val="0"/>
              <w:spacing w:line="360" w:lineRule="auto"/>
              <w:ind w:right="0" w:firstLine="480" w:firstLineChars="200"/>
              <w:contextualSpacing/>
              <w:textAlignment w:val="auto"/>
              <w:rPr>
                <w:rFonts w:ascii="宋体" w:hAnsi="宋体" w:cs="宋体"/>
                <w:bCs/>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综上所述，</w:t>
            </w:r>
            <w:r>
              <w:rPr>
                <w:rFonts w:ascii="Times New Roman" w:hAnsi="Times New Roman" w:eastAsia="宋体"/>
                <w:color w:val="000000" w:themeColor="text1"/>
                <w:sz w:val="24"/>
                <w14:textFill>
                  <w14:solidFill>
                    <w14:schemeClr w14:val="tx1"/>
                  </w14:solidFill>
                </w14:textFill>
              </w:rPr>
              <w:t>项目施工</w:t>
            </w:r>
            <w:r>
              <w:rPr>
                <w:rFonts w:hint="eastAsia" w:ascii="Times New Roman" w:hAnsi="Times New Roman" w:eastAsia="宋体"/>
                <w:color w:val="000000" w:themeColor="text1"/>
                <w:sz w:val="24"/>
                <w14:textFill>
                  <w14:solidFill>
                    <w14:schemeClr w14:val="tx1"/>
                  </w14:solidFill>
                </w14:textFill>
              </w:rPr>
              <w:t>期固废100%得到处置，</w:t>
            </w:r>
            <w:r>
              <w:rPr>
                <w:rFonts w:ascii="Times New Roman" w:hAnsi="Times New Roman" w:eastAsia="宋体"/>
                <w:color w:val="000000" w:themeColor="text1"/>
                <w:sz w:val="24"/>
                <w14:textFill>
                  <w14:solidFill>
                    <w14:schemeClr w14:val="tx1"/>
                  </w14:solidFill>
                </w14:textFill>
              </w:rPr>
              <w:t>对周围环境</w:t>
            </w:r>
            <w:r>
              <w:rPr>
                <w:rFonts w:hint="eastAsia" w:ascii="Times New Roman" w:hAnsi="Times New Roman" w:eastAsia="宋体"/>
                <w:color w:val="000000" w:themeColor="text1"/>
                <w:sz w:val="24"/>
                <w14:textFill>
                  <w14:solidFill>
                    <w14:schemeClr w14:val="tx1"/>
                  </w14:solidFill>
                </w14:textFill>
              </w:rPr>
              <w:t>基本无</w:t>
            </w:r>
            <w:r>
              <w:rPr>
                <w:rFonts w:ascii="Times New Roman" w:hAnsi="Times New Roman" w:eastAsia="宋体"/>
                <w:color w:val="000000" w:themeColor="text1"/>
                <w:sz w:val="24"/>
                <w14:textFill>
                  <w14:solidFill>
                    <w14:schemeClr w14:val="tx1"/>
                  </w14:solidFill>
                </w14:textFill>
              </w:rPr>
              <w:t>影响</w:t>
            </w:r>
            <w:r>
              <w:rPr>
                <w:rFonts w:hint="eastAsia" w:ascii="Times New Roman" w:hAnsi="Times New Roman" w:eastAsia="宋体"/>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879" w:type="dxa"/>
            <w:noWrap w:val="0"/>
            <w:tcMar>
              <w:left w:w="28" w:type="dxa"/>
              <w:right w:w="28" w:type="dxa"/>
            </w:tcMar>
            <w:vAlign w:val="center"/>
          </w:tcPr>
          <w:p>
            <w:pPr>
              <w:pStyle w:val="17"/>
              <w:adjustRightInd w:val="0"/>
              <w:snapToGrid w:val="0"/>
              <w:spacing w:before="0" w:beforeAutospacing="0" w:after="0" w:afterAutospacing="0"/>
              <w:jc w:val="center"/>
              <w:rPr>
                <w:rFonts w:cs="宋体"/>
                <w:bCs/>
                <w:color w:val="000000" w:themeColor="text1"/>
                <w:kern w:val="2"/>
                <w:sz w:val="24"/>
                <w:szCs w:val="24"/>
                <w14:textFill>
                  <w14:solidFill>
                    <w14:schemeClr w14:val="tx1"/>
                  </w14:solidFill>
                </w14:textFill>
              </w:rPr>
            </w:pPr>
            <w:r>
              <w:rPr>
                <w:rFonts w:hint="eastAsia" w:cs="宋体"/>
                <w:bCs/>
                <w:color w:val="000000" w:themeColor="text1"/>
                <w:spacing w:val="10"/>
                <w:kern w:val="2"/>
                <w:sz w:val="24"/>
                <w:szCs w:val="24"/>
                <w14:textFill>
                  <w14:solidFill>
                    <w14:schemeClr w14:val="tx1"/>
                  </w14:solidFill>
                </w14:textFill>
              </w:rPr>
              <w:t>运营期生态环境影响分析</w:t>
            </w:r>
          </w:p>
        </w:tc>
        <w:tc>
          <w:tcPr>
            <w:tcW w:w="836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contextualSpacing/>
              <w:textAlignment w:val="auto"/>
              <w:outlineLvl w:val="2"/>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运行期</w:t>
            </w:r>
          </w:p>
          <w:p>
            <w:pPr>
              <w:spacing w:line="360" w:lineRule="auto"/>
              <w:ind w:firstLine="482" w:firstLineChars="200"/>
              <w:rPr>
                <w:rFonts w:ascii="Times New Roman" w:hAnsi="Times New Roman" w:cs="Times New Roman"/>
                <w:b/>
                <w:bCs/>
                <w:color w:val="000000" w:themeColor="text1"/>
                <w:sz w:val="24"/>
                <w:szCs w:val="28"/>
                <w14:textFill>
                  <w14:solidFill>
                    <w14:schemeClr w14:val="tx1"/>
                  </w14:solidFill>
                </w14:textFill>
              </w:rPr>
            </w:pPr>
            <w:r>
              <w:rPr>
                <w:rFonts w:hint="eastAsia" w:ascii="Times New Roman" w:hAnsi="Times New Roman" w:cs="Times New Roman"/>
                <w:b/>
                <w:bCs/>
                <w:color w:val="000000" w:themeColor="text1"/>
                <w:sz w:val="24"/>
                <w:szCs w:val="28"/>
                <w:lang w:val="en-US" w:eastAsia="zh-CN"/>
                <w14:textFill>
                  <w14:solidFill>
                    <w14:schemeClr w14:val="tx1"/>
                  </w14:solidFill>
                </w14:textFill>
              </w:rPr>
              <w:t>1、</w:t>
            </w:r>
            <w:r>
              <w:rPr>
                <w:rFonts w:ascii="Times New Roman" w:hAnsi="Times New Roman" w:cs="Times New Roman"/>
                <w:b/>
                <w:bCs/>
                <w:color w:val="000000" w:themeColor="text1"/>
                <w:sz w:val="24"/>
                <w:szCs w:val="28"/>
                <w14:textFill>
                  <w14:solidFill>
                    <w14:schemeClr w14:val="tx1"/>
                  </w14:solidFill>
                </w14:textFill>
              </w:rPr>
              <w:t>大气环境影响分析</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本项目为非污染生态类项目，营运期无废气产生，对周边大气环境无影响；</w:t>
            </w:r>
          </w:p>
          <w:p>
            <w:pPr>
              <w:spacing w:line="360" w:lineRule="auto"/>
              <w:ind w:firstLine="482" w:firstLineChars="200"/>
              <w:rPr>
                <w:rFonts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2、</w:t>
            </w:r>
            <w:r>
              <w:rPr>
                <w:rFonts w:ascii="Times New Roman" w:hAnsi="Times New Roman" w:cs="Times New Roman"/>
                <w:b/>
                <w:bCs/>
                <w:color w:val="000000" w:themeColor="text1"/>
                <w:sz w:val="24"/>
                <w14:textFill>
                  <w14:solidFill>
                    <w14:schemeClr w14:val="tx1"/>
                  </w14:solidFill>
                </w14:textFill>
              </w:rPr>
              <w:t>水环境影响分析</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本项目为非污染生态类项目，营运期无废水产生，对周边地表水环境无影响。</w:t>
            </w:r>
          </w:p>
          <w:p>
            <w:pPr>
              <w:spacing w:line="360" w:lineRule="auto"/>
              <w:ind w:left="420" w:left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3、</w:t>
            </w:r>
            <w:r>
              <w:rPr>
                <w:rFonts w:ascii="Times New Roman" w:hAnsi="Times New Roman" w:cs="Times New Roman"/>
                <w:b/>
                <w:bCs/>
                <w:color w:val="000000" w:themeColor="text1"/>
                <w:sz w:val="24"/>
                <w14:textFill>
                  <w14:solidFill>
                    <w14:schemeClr w14:val="tx1"/>
                  </w14:solidFill>
                </w14:textFill>
              </w:rPr>
              <w:t>声环境影响分析</w:t>
            </w:r>
          </w:p>
          <w:p>
            <w:pPr>
              <w:spacing w:line="360" w:lineRule="auto"/>
              <w:ind w:firstLine="480"/>
              <w:jc w:val="left"/>
              <w:rPr>
                <w:color w:val="000000" w:themeColor="text1"/>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本工程无新建泵站、机房及其它产生噪声的设施与设备，故运营期无噪声产生与排放，对周边环境无噪声影响</w:t>
            </w:r>
            <w:r>
              <w:rPr>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08" w:hRule="atLeast"/>
          <w:jc w:val="center"/>
        </w:trPr>
        <w:tc>
          <w:tcPr>
            <w:tcW w:w="879" w:type="dxa"/>
            <w:noWrap w:val="0"/>
            <w:vAlign w:val="center"/>
          </w:tcPr>
          <w:p>
            <w:pPr>
              <w:pStyle w:val="17"/>
              <w:adjustRightInd w:val="0"/>
              <w:snapToGrid w:val="0"/>
              <w:spacing w:before="0" w:beforeAutospacing="0" w:after="0" w:afterAutospacing="0"/>
              <w:jc w:val="center"/>
              <w:rPr>
                <w:rFonts w:cs="宋体"/>
                <w:bCs/>
                <w:color w:val="000000" w:themeColor="text1"/>
                <w:kern w:val="2"/>
                <w:sz w:val="24"/>
                <w:szCs w:val="24"/>
                <w14:textFill>
                  <w14:solidFill>
                    <w14:schemeClr w14:val="tx1"/>
                  </w14:solidFill>
                </w14:textFill>
              </w:rPr>
            </w:pPr>
            <w:r>
              <w:rPr>
                <w:rFonts w:hint="eastAsia" w:cs="宋体"/>
                <w:bCs/>
                <w:color w:val="000000" w:themeColor="text1"/>
                <w:kern w:val="2"/>
                <w:sz w:val="24"/>
                <w:szCs w:val="24"/>
                <w14:textFill>
                  <w14:solidFill>
                    <w14:schemeClr w14:val="tx1"/>
                  </w14:solidFill>
                </w14:textFill>
              </w:rPr>
              <w:t>选址选线环境合理性分析</w:t>
            </w:r>
          </w:p>
        </w:tc>
        <w:tc>
          <w:tcPr>
            <w:tcW w:w="8363" w:type="dxa"/>
            <w:noWrap w:val="0"/>
            <w:vAlign w:val="top"/>
          </w:tcPr>
          <w:p>
            <w:pPr>
              <w:adjustRightInd w:val="0"/>
              <w:snapToGrid w:val="0"/>
              <w:spacing w:line="360" w:lineRule="auto"/>
              <w:ind w:firstLine="480" w:firstLineChars="200"/>
              <w:rPr>
                <w:rFonts w:ascii="宋体" w:hAnsi="宋体" w:cs="宋体"/>
                <w:bCs/>
                <w:color w:val="000000" w:themeColor="text1"/>
                <w:sz w:val="24"/>
                <w:szCs w:val="24"/>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城北河</w:t>
            </w:r>
            <w:r>
              <w:rPr>
                <w:rFonts w:hint="eastAsia" w:ascii="Times New Roman" w:hAnsi="Times New Roman" w:eastAsia="宋体" w:cs="宋体"/>
                <w:color w:val="000000" w:themeColor="text1"/>
                <w:sz w:val="24"/>
                <w:szCs w:val="24"/>
                <w14:textFill>
                  <w14:solidFill>
                    <w14:schemeClr w14:val="tx1"/>
                  </w14:solidFill>
                </w14:textFill>
              </w:rPr>
              <w:t>属马莲河</w:t>
            </w:r>
            <w:r>
              <w:rPr>
                <w:rFonts w:hint="eastAsia" w:cs="宋体"/>
                <w:color w:val="000000" w:themeColor="text1"/>
                <w:sz w:val="24"/>
                <w:szCs w:val="24"/>
                <w:lang w:eastAsia="zh-CN"/>
                <w14:textFill>
                  <w14:solidFill>
                    <w14:schemeClr w14:val="tx1"/>
                  </w14:solidFill>
                </w14:textFill>
              </w:rPr>
              <w:t>二</w:t>
            </w:r>
            <w:r>
              <w:rPr>
                <w:rFonts w:hint="eastAsia" w:ascii="Times New Roman" w:hAnsi="Times New Roman" w:eastAsia="宋体" w:cs="宋体"/>
                <w:color w:val="000000" w:themeColor="text1"/>
                <w:sz w:val="24"/>
                <w:szCs w:val="24"/>
                <w14:textFill>
                  <w14:solidFill>
                    <w14:schemeClr w14:val="tx1"/>
                  </w14:solidFill>
                </w14:textFill>
              </w:rPr>
              <w:t>级支流，</w:t>
            </w:r>
            <w:r>
              <w:rPr>
                <w:rFonts w:hint="eastAsia" w:ascii="Times New Roman" w:hAnsi="Times New Roman" w:eastAsia="宋体" w:cs="宋体"/>
                <w:color w:val="000000" w:themeColor="text1"/>
                <w:sz w:val="24"/>
                <w:szCs w:val="24"/>
                <w:lang w:eastAsia="zh-CN"/>
                <w14:textFill>
                  <w14:solidFill>
                    <w14:schemeClr w14:val="tx1"/>
                  </w14:solidFill>
                </w14:textFill>
              </w:rPr>
              <w:t>依据甘肃省水利厅编制的《甘肃省江河主要支流和内陆河流治理任务前期安排意见》及实施方案和《甘肃省水利厅关于做好病险水库（水闸）和中小河流治理项目有关事项的通知》的精神</w:t>
            </w:r>
            <w:r>
              <w:rPr>
                <w:rFonts w:hint="eastAsia" w:ascii="Times New Roman" w:hAnsi="Times New Roman" w:cs="宋体"/>
                <w:color w:val="000000" w:themeColor="text1"/>
                <w:sz w:val="24"/>
                <w:szCs w:val="24"/>
                <w14:textFill>
                  <w14:solidFill>
                    <w14:schemeClr w14:val="tx1"/>
                  </w14:solidFill>
                </w14:textFill>
              </w:rPr>
              <w:t>（甘水</w:t>
            </w:r>
            <w:r>
              <w:rPr>
                <w:rFonts w:ascii="Times New Roman" w:hAnsi="Times New Roman" w:cs="宋体"/>
                <w:color w:val="000000" w:themeColor="text1"/>
                <w:sz w:val="24"/>
                <w:szCs w:val="24"/>
                <w14:textFill>
                  <w14:solidFill>
                    <w14:schemeClr w14:val="tx1"/>
                  </w14:solidFill>
                </w14:textFill>
              </w:rPr>
              <w:t>建管发</w:t>
            </w:r>
            <w:r>
              <w:rPr>
                <w:rFonts w:hint="eastAsia" w:ascii="Times New Roman" w:hAnsi="Times New Roman" w:cs="宋体"/>
                <w:color w:val="000000" w:themeColor="text1"/>
                <w:sz w:val="24"/>
                <w:szCs w:val="24"/>
                <w14:textFill>
                  <w14:solidFill>
                    <w14:schemeClr w14:val="tx1"/>
                  </w14:solidFill>
                </w14:textFill>
              </w:rPr>
              <w:t>[</w:t>
            </w:r>
            <w:r>
              <w:rPr>
                <w:rFonts w:ascii="Times New Roman" w:hAnsi="Times New Roman" w:cs="宋体"/>
                <w:color w:val="000000" w:themeColor="text1"/>
                <w:sz w:val="24"/>
                <w:szCs w:val="24"/>
                <w14:textFill>
                  <w14:solidFill>
                    <w14:schemeClr w14:val="tx1"/>
                  </w14:solidFill>
                </w14:textFill>
              </w:rPr>
              <w:t>2020</w:t>
            </w:r>
            <w:r>
              <w:rPr>
                <w:rFonts w:hint="eastAsia" w:ascii="Times New Roman" w:hAnsi="Times New Roman" w:cs="宋体"/>
                <w:color w:val="000000" w:themeColor="text1"/>
                <w:sz w:val="24"/>
                <w:szCs w:val="24"/>
                <w14:textFill>
                  <w14:solidFill>
                    <w14:schemeClr w14:val="tx1"/>
                  </w14:solidFill>
                </w14:textFill>
              </w:rPr>
              <w:t>]</w:t>
            </w:r>
            <w:r>
              <w:rPr>
                <w:rFonts w:ascii="Times New Roman" w:hAnsi="Times New Roman" w:cs="宋体"/>
                <w:color w:val="000000" w:themeColor="text1"/>
                <w:sz w:val="24"/>
                <w:szCs w:val="24"/>
                <w14:textFill>
                  <w14:solidFill>
                    <w14:schemeClr w14:val="tx1"/>
                  </w14:solidFill>
                </w14:textFill>
              </w:rPr>
              <w:t>141</w:t>
            </w:r>
            <w:r>
              <w:rPr>
                <w:rFonts w:hint="eastAsia" w:ascii="Times New Roman" w:hAnsi="Times New Roman" w:cs="宋体"/>
                <w:color w:val="000000" w:themeColor="text1"/>
                <w:sz w:val="24"/>
                <w:szCs w:val="24"/>
                <w14:textFill>
                  <w14:solidFill>
                    <w14:schemeClr w14:val="tx1"/>
                  </w14:solidFill>
                </w14:textFill>
              </w:rPr>
              <w:t>号）文件</w:t>
            </w:r>
            <w:r>
              <w:rPr>
                <w:rFonts w:hint="eastAsia" w:ascii="Times New Roman" w:hAnsi="Times New Roman" w:cs="宋体"/>
                <w:color w:val="000000" w:themeColor="text1"/>
                <w:sz w:val="24"/>
                <w:szCs w:val="24"/>
                <w:lang w:eastAsia="zh-CN"/>
                <w14:textFill>
                  <w14:solidFill>
                    <w14:schemeClr w14:val="tx1"/>
                  </w14:solidFill>
                </w14:textFill>
              </w:rPr>
              <w:t>，本项目段属于中小河流，因此本次需要对本河流进行治理，本次治理在河流现有的天然护坡的基础上进行护堤及护岸的修筑，不改变河流流向及流域面积，同时尽可能少占或不占耕地，因此项目选线合理。</w:t>
            </w:r>
          </w:p>
        </w:tc>
      </w:tr>
    </w:tbl>
    <w:p>
      <w:pPr>
        <w:pStyle w:val="17"/>
        <w:jc w:val="center"/>
        <w:rPr>
          <w:rFonts w:ascii="黑体" w:hAnsi="黑体" w:eastAsia="黑体"/>
          <w:snapToGrid w:val="0"/>
          <w:color w:val="000000" w:themeColor="text1"/>
          <w:sz w:val="36"/>
          <w:szCs w:val="36"/>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425" w:num="1"/>
          <w:docGrid w:linePitch="312" w:charSpace="0"/>
        </w:sectPr>
      </w:pPr>
    </w:p>
    <w:p>
      <w:pPr>
        <w:pStyle w:val="17"/>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五、主要生态环境保护措施</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7"/>
        <w:gridCol w:w="77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1" w:hRule="atLeast"/>
          <w:jc w:val="center"/>
        </w:trPr>
        <w:tc>
          <w:tcPr>
            <w:tcW w:w="753" w:type="dxa"/>
            <w:noWrap w:val="0"/>
            <w:tcMar>
              <w:left w:w="28" w:type="dxa"/>
              <w:right w:w="28" w:type="dxa"/>
            </w:tcMar>
            <w:vAlign w:val="center"/>
          </w:tcPr>
          <w:p>
            <w:pPr>
              <w:adjustRightInd w:val="0"/>
              <w:snapToGrid w:val="0"/>
              <w:jc w:val="center"/>
              <w:rPr>
                <w:rFonts w:ascii="宋体" w:hAnsi="宋体"/>
                <w:bCs/>
                <w:color w:val="000000" w:themeColor="text1"/>
                <w:sz w:val="24"/>
                <w:szCs w:val="24"/>
                <w14:textFill>
                  <w14:solidFill>
                    <w14:schemeClr w14:val="tx1"/>
                  </w14:solidFill>
                </w14:textFill>
              </w:rPr>
            </w:pPr>
            <w:r>
              <w:rPr>
                <w:rFonts w:hint="eastAsia" w:ascii="宋体" w:hAnsi="宋体" w:cs="宋体"/>
                <w:bCs/>
                <w:color w:val="000000" w:themeColor="text1"/>
                <w:spacing w:val="10"/>
                <w:sz w:val="24"/>
                <w:szCs w:val="24"/>
                <w14:textFill>
                  <w14:solidFill>
                    <w14:schemeClr w14:val="tx1"/>
                  </w14:solidFill>
                </w14:textFill>
              </w:rPr>
              <w:t>施工期生态环境保护措施</w:t>
            </w:r>
          </w:p>
        </w:tc>
        <w:tc>
          <w:tcPr>
            <w:tcW w:w="8457" w:type="dxa"/>
            <w:noWrap w:val="0"/>
            <w:vAlign w:val="top"/>
          </w:tcPr>
          <w:p>
            <w:pPr>
              <w:pStyle w:val="47"/>
              <w:spacing w:line="360" w:lineRule="auto"/>
              <w:ind w:right="-1" w:firstLine="0" w:firstLineChars="0"/>
              <w:contextualSpacing/>
              <w:outlineLvl w:val="2"/>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1、</w:t>
            </w:r>
            <w:r>
              <w:rPr>
                <w:rFonts w:hint="eastAsia" w:ascii="Times New Roman" w:hAnsi="Times New Roman" w:eastAsia="宋体"/>
                <w:b/>
                <w:color w:val="000000" w:themeColor="text1"/>
                <w:sz w:val="24"/>
                <w:szCs w:val="24"/>
                <w14:textFill>
                  <w14:solidFill>
                    <w14:schemeClr w14:val="tx1"/>
                  </w14:solidFill>
                </w14:textFill>
              </w:rPr>
              <w:t>生态</w:t>
            </w:r>
            <w:r>
              <w:rPr>
                <w:rFonts w:hint="eastAsia" w:ascii="Times New Roman" w:hAnsi="Times New Roman" w:eastAsia="宋体"/>
                <w:b/>
                <w:color w:val="000000" w:themeColor="text1"/>
                <w:sz w:val="24"/>
                <w:szCs w:val="24"/>
                <w:lang w:eastAsia="zh-CN"/>
                <w14:textFill>
                  <w14:solidFill>
                    <w14:schemeClr w14:val="tx1"/>
                  </w14:solidFill>
                </w14:textFill>
              </w:rPr>
              <w:t>保护</w:t>
            </w:r>
            <w:r>
              <w:rPr>
                <w:rFonts w:hint="eastAsia" w:ascii="Times New Roman" w:hAnsi="Times New Roman" w:eastAsia="宋体"/>
                <w:b/>
                <w:color w:val="000000" w:themeColor="text1"/>
                <w:sz w:val="24"/>
                <w:szCs w:val="24"/>
                <w14:textFill>
                  <w14:solidFill>
                    <w14:schemeClr w14:val="tx1"/>
                  </w14:solidFill>
                </w14:textFill>
              </w:rPr>
              <w:t>措施</w:t>
            </w:r>
          </w:p>
          <w:p>
            <w:pPr>
              <w:spacing w:line="360" w:lineRule="auto"/>
              <w:ind w:firstLine="480" w:firstLineChars="200"/>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项目建设对生态环境的影响主要是施工期地基开挖对地表土壤的破坏及水土流失，从而影响区域生态系统的变化或引发相关环境问题。项目生态保护措施布设</w:t>
            </w:r>
            <w:r>
              <w:rPr>
                <w:rFonts w:hint="eastAsia" w:cs="宋体"/>
                <w:color w:val="000000" w:themeColor="text1"/>
                <w:sz w:val="24"/>
                <w:lang w:eastAsia="zh-CN"/>
                <w14:textFill>
                  <w14:solidFill>
                    <w14:schemeClr w14:val="tx1"/>
                  </w14:solidFill>
                </w14:textFill>
              </w:rPr>
              <w:t>见附图</w:t>
            </w:r>
            <w:r>
              <w:rPr>
                <w:rFonts w:hint="eastAsia" w:cs="宋体"/>
                <w:color w:val="000000" w:themeColor="text1"/>
                <w:sz w:val="24"/>
                <w:lang w:val="en-US" w:eastAsia="zh-CN"/>
                <w14:textFill>
                  <w14:solidFill>
                    <w14:schemeClr w14:val="tx1"/>
                  </w14:solidFill>
                </w14:textFill>
              </w:rPr>
              <w:t>8，生态保护措施典型设计图见附图9，</w:t>
            </w:r>
            <w:r>
              <w:rPr>
                <w:rFonts w:hint="eastAsia" w:ascii="Times New Roman" w:hAnsi="Times New Roman" w:eastAsia="宋体" w:cs="宋体"/>
                <w:color w:val="000000" w:themeColor="text1"/>
                <w:sz w:val="24"/>
                <w14:textFill>
                  <w14:solidFill>
                    <w14:schemeClr w14:val="tx1"/>
                  </w14:solidFill>
                </w14:textFill>
              </w:rPr>
              <w:t>为将这些负面影响降低到最小程度，实现开发建设与生态保护协调发展，应采取的措施有以下几点：</w:t>
            </w:r>
          </w:p>
          <w:p>
            <w:pPr>
              <w:pStyle w:val="2"/>
              <w:spacing w:line="360" w:lineRule="auto"/>
              <w:ind w:firstLine="480" w:firstLineChars="200"/>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建设项目</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生态保护</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与减缓对策</w:t>
            </w:r>
          </w:p>
          <w:p>
            <w:pPr>
              <w:pStyle w:val="2"/>
              <w:spacing w:line="360" w:lineRule="auto"/>
              <w:ind w:firstLine="480" w:firstLineChars="200"/>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工程监理人员、管理人员和施工人员应熟悉各施工点及其周边的主要植物种类及分布，以便在施工过程中进行严格的监理和管理，减少不必要的破坏。对施工人员进行环境教育、生物多样性保护教育及有关法律、法规的宣传教育，破坏生物多样性将要承担相应的法律责任。虽然在现状调查期间工程区内未发现珍稀保护动植物，一旦发现，及时采取措施，并及时上报，管理部门应遵循就地保护优先、迀地保护其次的原则，确保保护植物不受或少受工程影响。在施工过程中，如发现重点保护野生植物，应立即上报林业等相关部门，采取就地或迀地保护。</w:t>
            </w:r>
          </w:p>
          <w:p>
            <w:pPr>
              <w:pStyle w:val="2"/>
              <w:spacing w:line="360" w:lineRule="auto"/>
              <w:ind w:firstLine="480" w:firstLineChars="200"/>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在施工区设置陆生生物保护警示牌。施工结束后，应及时进行绿化、迹地恢复等生态恢复措施，以恢复区域动物栖息地环境。</w:t>
            </w:r>
          </w:p>
          <w:p>
            <w:pPr>
              <w:pStyle w:val="2"/>
              <w:spacing w:line="360" w:lineRule="auto"/>
              <w:ind w:firstLine="480" w:firstLineChars="200"/>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严格执行施工规划，不得随意扩大作业面。施工人员在施工过程中应尽量避免对现有植物的干扰，严格执行施工规划，不得随意扩大作业面，不得滥采滥伐。施工过程中应尽量减少高噪声施工。在工程初设阶级应进一步优化施工组织设计，减少对于周边动物的扰动；同时，做好车辆及各施工机械的保养和维护，减小噪声以减轻对周边活动的动物影响。建立生态破坏惩罚制度，严禁施工人员非法猎捕鸟类、兽类、鱼等野生动物。</w:t>
            </w:r>
          </w:p>
          <w:p>
            <w:pPr>
              <w:pStyle w:val="2"/>
              <w:spacing w:line="360" w:lineRule="auto"/>
              <w:ind w:firstLine="480" w:firstLineChars="200"/>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在施工前应注意表土与底层土分开堆放，表层0.3m的土壤单独堆放，在风大的季节采取适当覆盖和浇灌等措施，保护土壤成分利结构；在施工结束恢复地貌时，分层回填，尽可能保持植物原有的生存环境，以利于植被恢复。回填时，还应留足适宜的堆积层，防止因降水、径流造成地表下陷和水土流失。回填后及时补种草类植物，以免植被覆盖度下降。</w:t>
            </w:r>
          </w:p>
          <w:p>
            <w:pPr>
              <w:pStyle w:val="2"/>
              <w:spacing w:line="360" w:lineRule="auto"/>
              <w:ind w:firstLine="480" w:firstLineChars="200"/>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5）</w:t>
            </w:r>
            <w:r>
              <w:rPr>
                <w:rFonts w:hint="eastAsia" w:ascii="Times New Roman" w:eastAsia="宋体" w:cs="宋体"/>
                <w:color w:val="000000" w:themeColor="text1"/>
                <w:kern w:val="2"/>
                <w:sz w:val="24"/>
                <w:szCs w:val="24"/>
                <w:lang w:val="en-US" w:eastAsia="zh-CN" w:bidi="ar-SA"/>
                <w14:textFill>
                  <w14:solidFill>
                    <w14:schemeClr w14:val="tx1"/>
                  </w14:solidFill>
                </w14:textFill>
              </w:rPr>
              <w:t>根据《建设项目环境影响报告表编制技术指南》（生态影响类）主要生态环境保护措施要求“涉及河流、湖泊或海域治理的，应尽量塑造近自然水域形态和亲水岸线，尽量避免采取完全硬化措施”本项目护岸建设跟随河道现有地势走向进行建设，不强行改变河道走向，考虑整体稳定，不采取全部硬化处理措施。对天然岸坡表面进行清理，清理后进行绿化；对局部不稳定的边坡采用</w:t>
            </w:r>
            <w:r>
              <w:rPr>
                <w:rFonts w:hint="eastAsia" w:ascii="Times New Roman" w:hAnsi="Times New Roman" w:eastAsia="宋体"/>
                <w:color w:val="000000" w:themeColor="text1"/>
                <w:kern w:val="0"/>
                <w:sz w:val="24"/>
                <w:szCs w:val="24"/>
                <w14:textFill>
                  <w14:solidFill>
                    <w14:schemeClr w14:val="tx1"/>
                  </w14:solidFill>
                </w14:textFill>
              </w:rPr>
              <w:t>格宾石笼护坡</w:t>
            </w:r>
            <w:r>
              <w:rPr>
                <w:rFonts w:hint="eastAsia" w:ascii="Times New Roman" w:eastAsia="宋体"/>
                <w:color w:val="000000" w:themeColor="text1"/>
                <w:kern w:val="0"/>
                <w:sz w:val="24"/>
                <w:szCs w:val="24"/>
                <w:lang w:eastAsia="zh-CN"/>
                <w14:textFill>
                  <w14:solidFill>
                    <w14:schemeClr w14:val="tx1"/>
                  </w14:solidFill>
                </w14:textFill>
              </w:rPr>
              <w:t>进行硬化处理，护坡采用灌草绿化。项目天然护岸与人工硬化护岸绿化灌木和草种选用当地树草种，与周围环境相协调。</w:t>
            </w:r>
          </w:p>
          <w:p>
            <w:pPr>
              <w:pStyle w:val="2"/>
              <w:spacing w:line="360" w:lineRule="auto"/>
              <w:ind w:firstLine="480" w:firstLineChars="200"/>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eastAsia="宋体" w:cs="宋体"/>
                <w:color w:val="000000" w:themeColor="text1"/>
                <w:kern w:val="2"/>
                <w:sz w:val="24"/>
                <w:szCs w:val="24"/>
                <w:lang w:val="en-US" w:eastAsia="zh-CN" w:bidi="ar-SA"/>
                <w14:textFill>
                  <w14:solidFill>
                    <w14:schemeClr w14:val="tx1"/>
                  </w14:solidFill>
                </w14:textFill>
              </w:rPr>
              <w:t>6</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）施工过程中，加强施工管理，控制施工活动范围，严格控制施工车辆、机械及施工人员活动范围，应根据各种施工作业的要求和环境保护要求，确定场地的占地面积控制标准。</w:t>
            </w:r>
          </w:p>
          <w:p>
            <w:pPr>
              <w:pStyle w:val="2"/>
              <w:spacing w:line="360" w:lineRule="auto"/>
              <w:ind w:firstLine="480" w:firstLineChars="200"/>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根据</w:t>
            </w:r>
            <w:r>
              <w:rPr>
                <w:rFonts w:hint="eastAsia" w:ascii="宋体" w:hAnsi="宋体" w:eastAsia="宋体" w:cs="宋体"/>
                <w:color w:val="000000" w:themeColor="text1"/>
                <w:lang w:eastAsia="zh-CN"/>
                <w14:textFill>
                  <w14:solidFill>
                    <w14:schemeClr w14:val="tx1"/>
                  </w14:solidFill>
                </w14:textFill>
              </w:rPr>
              <w:t>防洪要求及</w:t>
            </w:r>
            <w:r>
              <w:rPr>
                <w:rFonts w:hint="eastAsia" w:ascii="宋体" w:hAnsi="宋体" w:eastAsia="宋体" w:cs="宋体"/>
                <w:color w:val="000000" w:themeColor="text1"/>
                <w14:textFill>
                  <w14:solidFill>
                    <w14:schemeClr w14:val="tx1"/>
                  </w14:solidFill>
                </w14:textFill>
              </w:rPr>
              <w:t>地表植被特征，因地制宜地选择施工季节，尽可能避开植物生长期</w:t>
            </w:r>
            <w:r>
              <w:rPr>
                <w:rFonts w:hint="eastAsia" w:ascii="宋体" w:hAnsi="宋体" w:eastAsia="宋体" w:cs="宋体"/>
                <w:color w:val="000000" w:themeColor="text1"/>
                <w:lang w:eastAsia="zh-CN"/>
                <w14:textFill>
                  <w14:solidFill>
                    <w14:schemeClr w14:val="tx1"/>
                  </w14:solidFill>
                </w14:textFill>
              </w:rPr>
              <w:t>和排洪期</w:t>
            </w:r>
            <w:r>
              <w:rPr>
                <w:rFonts w:hint="eastAsia" w:ascii="宋体" w:hAnsi="宋体" w:eastAsia="宋体" w:cs="宋体"/>
                <w:color w:val="000000" w:themeColor="text1"/>
                <w14:textFill>
                  <w14:solidFill>
                    <w14:schemeClr w14:val="tx1"/>
                  </w14:solidFill>
                </w14:textFill>
              </w:rPr>
              <w:t>，以对生态环境的影响较少到最小</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w:t>
            </w:r>
          </w:p>
          <w:p>
            <w:pPr>
              <w:pStyle w:val="2"/>
              <w:spacing w:line="360" w:lineRule="auto"/>
              <w:ind w:firstLine="480" w:firstLineChars="200"/>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t>减缓生态破坏措施</w:t>
            </w:r>
          </w:p>
          <w:p>
            <w:pPr>
              <w:pStyle w:val="5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根据本工程施工总体布局、水土流失特点等因素，将本工程划分为施工场地防治区和临时堆料场两个防治分区分别采取防治措施。</w:t>
            </w:r>
          </w:p>
          <w:p>
            <w:pPr>
              <w:pStyle w:val="5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1）施工场地防治区：施工场地应布置临时排水沟和沉砂池，以拦截径流减少对地表的冲刷。施工结束后，对施工场地进行植被恢复。</w:t>
            </w:r>
          </w:p>
          <w:p>
            <w:pPr>
              <w:pStyle w:val="5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①排水沟：在施工场地周边布设临时排水沟，防止外部雨水、径流的冲刷，造成严重的水土流失，雨水沿排水沟排入地势低洼处。</w:t>
            </w:r>
          </w:p>
          <w:p>
            <w:pPr>
              <w:pStyle w:val="5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②植物措施：施工完毕，采用乔灌草相结合的方式进行绿化。</w:t>
            </w:r>
          </w:p>
          <w:p>
            <w:pPr>
              <w:pStyle w:val="5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2）临时堆料场、弃土场防治区：应布置临时拦挡、覆盖、排水及施工完成后的土地整治及绿化措施。</w:t>
            </w:r>
          </w:p>
          <w:p>
            <w:pPr>
              <w:pStyle w:val="55"/>
              <w:bidi w:val="0"/>
              <w:rPr>
                <w:rFonts w:hint="eastAsia"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①编织袋拦挡：为防止临时堆料场物料外泄，在堆料场周边可布设编织袋拦挡，采用直角梯形断面，顶宽0.5m，高1.0m，外边坡坡度为1:1。②排水沟：在临时堆土场周边编织袋拦挡外侧布设临时排水沟，防止外部</w:t>
            </w:r>
            <w:r>
              <w:rPr>
                <w:rFonts w:hint="eastAsia"/>
                <w:color w:val="000000" w:themeColor="text1"/>
                <w:lang w:eastAsia="zh-CN"/>
                <w14:textFill>
                  <w14:solidFill>
                    <w14:schemeClr w14:val="tx1"/>
                  </w14:solidFill>
                </w14:textFill>
              </w:rPr>
              <w:t>雨水径流对临时堆土场的冲刷，造成严重的水土流失，雨水沿排水沟排入地势低洼处。</w:t>
            </w:r>
          </w:p>
          <w:p>
            <w:pPr>
              <w:pStyle w:val="55"/>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③防尘网：临时堆料场堆放过程中，采用防尘网进行覆盖。</w:t>
            </w:r>
          </w:p>
          <w:p>
            <w:pPr>
              <w:pStyle w:val="55"/>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⑤施工完毕土地平整后进行植被恢复，采用乔灌草相结合的方式。总之，需做好堆放场的防护工作，先挡后堆，在堆放场四周设置挡土墙、排水沟。</w:t>
            </w:r>
          </w:p>
          <w:p>
            <w:pPr>
              <w:spacing w:line="360" w:lineRule="auto"/>
              <w:ind w:firstLine="480" w:firstLineChars="200"/>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水土流失防护措施布设应结合工程实际和项目区水土流失现状，因地 制宜、因害设防、总体设计全面布局、科学配置。</w:t>
            </w:r>
          </w:p>
          <w:p>
            <w:pPr>
              <w:spacing w:line="360" w:lineRule="auto"/>
              <w:ind w:firstLine="480" w:firstLineChars="200"/>
              <w:rPr>
                <w:rFonts w:hint="eastAsia"/>
                <w:color w:val="000000" w:themeColor="text1"/>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3</w:t>
            </w:r>
            <w:r>
              <w:rPr>
                <w:rFonts w:hint="eastAsia" w:ascii="Times New Roman" w:hAnsi="Times New Roman" w:eastAsia="宋体" w:cs="宋体"/>
                <w:color w:val="000000" w:themeColor="text1"/>
                <w:sz w:val="24"/>
                <w14:textFill>
                  <w14:solidFill>
                    <w14:schemeClr w14:val="tx1"/>
                  </w14:solidFill>
                </w14:textFill>
              </w:rPr>
              <w:t>）根据本项目的水土流失预测结果、划定的防治责任范围、水土流失防治分区及防治内容，确定不同的防治区采用不同的防治措施及布局，形成本方案的水土流失防治措施体系。</w:t>
            </w:r>
          </w:p>
          <w:p>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4</w:t>
            </w:r>
            <w:r>
              <w:rPr>
                <w:rFonts w:hint="eastAsia" w:ascii="Times New Roman" w:hAnsi="Times New Roman" w:eastAsia="宋体" w:cs="宋体"/>
                <w:color w:val="000000" w:themeColor="text1"/>
                <w:sz w:val="24"/>
                <w14:textFill>
                  <w14:solidFill>
                    <w14:schemeClr w14:val="tx1"/>
                  </w14:solidFill>
                </w14:textFill>
              </w:rPr>
              <w:t>）合理安排施工计划，做好挖填方平衡。合理安排施工单元，减少施工面的裸露时间；</w:t>
            </w:r>
          </w:p>
          <w:p>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5</w:t>
            </w:r>
            <w:r>
              <w:rPr>
                <w:rFonts w:hint="eastAsia" w:ascii="Times New Roman" w:hAnsi="Times New Roman" w:eastAsia="宋体" w:cs="宋体"/>
                <w:color w:val="000000" w:themeColor="text1"/>
                <w:sz w:val="24"/>
                <w14:textFill>
                  <w14:solidFill>
                    <w14:schemeClr w14:val="tx1"/>
                  </w14:solidFill>
                </w14:textFill>
              </w:rPr>
              <w:t>）在满足施工要求的前提下，施工场地要尽量小，不得随意侵占周围土地；</w:t>
            </w:r>
          </w:p>
          <w:p>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6</w:t>
            </w:r>
            <w:r>
              <w:rPr>
                <w:rFonts w:hint="eastAsia" w:ascii="Times New Roman" w:hAnsi="Times New Roman" w:eastAsia="宋体" w:cs="宋体"/>
                <w:color w:val="000000" w:themeColor="text1"/>
                <w:sz w:val="24"/>
                <w14:textFill>
                  <w14:solidFill>
                    <w14:schemeClr w14:val="tx1"/>
                  </w14:solidFill>
                </w14:textFill>
              </w:rPr>
              <w:t>）严格控制施工作业区，不得随意扩大范围，必须减少对附近植被和道路的破坏；</w:t>
            </w:r>
          </w:p>
          <w:p>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7</w:t>
            </w:r>
            <w:r>
              <w:rPr>
                <w:rFonts w:hint="eastAsia" w:ascii="Times New Roman" w:hAnsi="Times New Roman" w:eastAsia="宋体" w:cs="宋体"/>
                <w:color w:val="000000" w:themeColor="text1"/>
                <w:sz w:val="24"/>
                <w14:textFill>
                  <w14:solidFill>
                    <w14:schemeClr w14:val="tx1"/>
                  </w14:solidFill>
                </w14:textFill>
              </w:rPr>
              <w:t>）应采取工程措施与植物措施有机结合，点、线、面水土流失综合防治，充分发挥工程措施的时效性，保证在短期内遏制或减少水土流失；</w:t>
            </w:r>
          </w:p>
          <w:p>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8</w:t>
            </w:r>
            <w:r>
              <w:rPr>
                <w:rFonts w:hint="eastAsia" w:ascii="Times New Roman" w:hAnsi="Times New Roman" w:eastAsia="宋体" w:cs="宋体"/>
                <w:color w:val="000000" w:themeColor="text1"/>
                <w:sz w:val="24"/>
                <w14:textFill>
                  <w14:solidFill>
                    <w14:schemeClr w14:val="tx1"/>
                  </w14:solidFill>
                </w14:textFill>
              </w:rPr>
              <w:t>）根据工期进度和规划分区，修建临时性围墙封闭施工，将水土流失尽量控制在项目区内进行防治，既有利于阻挡水、土外流，又有利于施工管理；</w:t>
            </w:r>
          </w:p>
          <w:p>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9</w:t>
            </w:r>
            <w:r>
              <w:rPr>
                <w:rFonts w:hint="eastAsia" w:ascii="Times New Roman" w:hAnsi="Times New Roman" w:eastAsia="宋体" w:cs="宋体"/>
                <w:color w:val="000000" w:themeColor="text1"/>
                <w:sz w:val="24"/>
                <w14:textFill>
                  <w14:solidFill>
                    <w14:schemeClr w14:val="tx1"/>
                  </w14:solidFill>
                </w14:textFill>
              </w:rPr>
              <w:t>）项目在施工过程中应采取尽量少占地，少破坏植被的原则，尽量缩小施工范围，各种施工活动应严格的控制在施工区域内，并将临时占地面积控制在最低限度，以免造成土壤与植被的不必要破坏。在施工中应执行“分层开挖、分层堆放、分层填埋原则”，施工后及时进行地貌、植被的恢复，减少水土流失。</w:t>
            </w:r>
          </w:p>
          <w:p>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10</w:t>
            </w:r>
            <w:r>
              <w:rPr>
                <w:rFonts w:hint="eastAsia" w:ascii="Times New Roman" w:hAnsi="Times New Roman" w:eastAsia="宋体" w:cs="宋体"/>
                <w:color w:val="000000" w:themeColor="text1"/>
                <w:sz w:val="24"/>
                <w14:textFill>
                  <w14:solidFill>
                    <w14:schemeClr w14:val="tx1"/>
                  </w14:solidFill>
                </w14:textFill>
              </w:rPr>
              <w:t>）做好项目挖、填方的合理调配工作，临时弃土堆放点应采取防护措施，避免在降雨期间挖填土方，以防造成水土流失和水体污染。</w:t>
            </w:r>
          </w:p>
          <w:p>
            <w:pPr>
              <w:spacing w:line="360" w:lineRule="auto"/>
              <w:ind w:firstLine="480" w:firstLineChars="200"/>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11</w:t>
            </w:r>
            <w:r>
              <w:rPr>
                <w:rFonts w:hint="eastAsia" w:ascii="Times New Roman" w:hAnsi="Times New Roman" w:eastAsia="宋体" w:cs="宋体"/>
                <w:color w:val="000000" w:themeColor="text1"/>
                <w:sz w:val="24"/>
                <w14:textFill>
                  <w14:solidFill>
                    <w14:schemeClr w14:val="tx1"/>
                  </w14:solidFill>
                </w14:textFill>
              </w:rPr>
              <w:t>）强化建设期生态保护意识，制定并落实生态环境与恢复的监督管理措施，指定专门人员负责建设期生态环境监督与管理工作；</w:t>
            </w:r>
          </w:p>
          <w:p>
            <w:pPr>
              <w:pStyle w:val="47"/>
              <w:spacing w:line="360" w:lineRule="auto"/>
              <w:ind w:right="-1" w:firstLine="480" w:firstLineChars="200"/>
              <w:contextualSpacing/>
              <w:outlineLvl w:val="2"/>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12）护岸工程做到一次开挖、修建，集中堆放开挖松土；施工过程中一旦遇到大雨或暴雨，应采用塑料薄膜覆盖裸露的破面，以减少水土流失。护岸开挖土方量集中堆放在临时弃渣场内，并采取临时保护措施防止养分流失，表土周边利用袋装土临时拦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2"/>
                <w:lang w:eastAsia="zh-CN"/>
                <w14:textFill>
                  <w14:solidFill>
                    <w14:schemeClr w14:val="tx1"/>
                  </w14:solidFill>
                </w14:textFill>
              </w:rPr>
            </w:pPr>
            <w:r>
              <w:rPr>
                <w:rFonts w:hint="eastAsia"/>
                <w:color w:val="000000" w:themeColor="text1"/>
                <w:sz w:val="24"/>
                <w:szCs w:val="22"/>
                <w:lang w:eastAsia="zh-CN"/>
                <w14:textFill>
                  <w14:solidFill>
                    <w14:schemeClr w14:val="tx1"/>
                  </w14:solidFill>
                </w14:textFill>
              </w:rPr>
              <w:t>（</w:t>
            </w:r>
            <w:r>
              <w:rPr>
                <w:rFonts w:hint="eastAsia"/>
                <w:color w:val="000000" w:themeColor="text1"/>
                <w:sz w:val="24"/>
                <w:szCs w:val="22"/>
                <w:lang w:val="en-US" w:eastAsia="zh-CN"/>
                <w14:textFill>
                  <w14:solidFill>
                    <w14:schemeClr w14:val="tx1"/>
                  </w14:solidFill>
                </w14:textFill>
              </w:rPr>
              <w:t>3</w:t>
            </w:r>
            <w:r>
              <w:rPr>
                <w:rFonts w:hint="eastAsia"/>
                <w:color w:val="000000" w:themeColor="text1"/>
                <w:sz w:val="24"/>
                <w:szCs w:val="22"/>
                <w:lang w:eastAsia="zh-CN"/>
                <w14:textFill>
                  <w14:solidFill>
                    <w14:schemeClr w14:val="tx1"/>
                  </w14:solidFill>
                </w14:textFill>
              </w:rPr>
              <w:t>）湘乐川保护措施</w:t>
            </w:r>
          </w:p>
          <w:p>
            <w:pPr>
              <w:keepNext w:val="0"/>
              <w:keepLines w:val="0"/>
              <w:pageBreakBefore w:val="0"/>
              <w:widowControl w:val="0"/>
              <w:tabs>
                <w:tab w:val="left" w:pos="3408"/>
                <w:tab w:val="center" w:pos="4648"/>
              </w:tabs>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2"/>
                <w:lang w:eastAsia="zh-CN"/>
                <w14:textFill>
                  <w14:solidFill>
                    <w14:schemeClr w14:val="tx1"/>
                  </w14:solidFill>
                </w14:textFill>
              </w:rPr>
              <w:t>①城北河是马莲河二级支流，河道常流量小，汛期洪水量大。根据水文资料，交口河流域洪水主要由暴雨形成，一般发生在每年6至9月间，以7至8月份洪水量为最大。平、枯水时段每年10月初至次年5月底。护岸工程计划在汛后3月中旬动工至来年11月中旬完成（汛期前停工），本护岸工程为5级建筑物，即导流建筑物级别为5级，相应洪水标准为5年一遇洪水，由水文计算知工程区5年一遇洪水洪峰流量为 163.0m</w:t>
            </w:r>
            <w:r>
              <w:rPr>
                <w:rFonts w:hint="eastAsia"/>
                <w:color w:val="000000" w:themeColor="text1"/>
                <w:sz w:val="24"/>
                <w:szCs w:val="22"/>
                <w:vertAlign w:val="superscript"/>
                <w:lang w:eastAsia="zh-CN"/>
                <w14:textFill>
                  <w14:solidFill>
                    <w14:schemeClr w14:val="tx1"/>
                  </w14:solidFill>
                </w14:textFill>
              </w:rPr>
              <w:t>3</w:t>
            </w:r>
            <w:r>
              <w:rPr>
                <w:rFonts w:hint="eastAsia"/>
                <w:color w:val="000000" w:themeColor="text1"/>
                <w:sz w:val="24"/>
                <w:szCs w:val="22"/>
                <w:lang w:eastAsia="zh-CN"/>
                <w14:textFill>
                  <w14:solidFill>
                    <w14:schemeClr w14:val="tx1"/>
                  </w14:solidFill>
                </w14:textFill>
              </w:rPr>
              <w:t>/s。经计算导流围堰高1.5m，顶宽2m，迎水坡坡比1:2.0，背水坡坡比1:1.5，用河床砾质土填筑，压实系数不小于 0.9。设计修建的护岸如在改河段的滩地上，开挖2.5m深，底40m宽，顶50m宽的导流槽。考虑到减少对原河道的束窄度及围堰拆除方便，纵向、横向围堰型式选择就地取材</w:t>
            </w:r>
            <w:r>
              <w:rPr>
                <w:rFonts w:hint="eastAsia"/>
                <w:color w:val="000000" w:themeColor="text1"/>
                <w:sz w:val="24"/>
                <w:szCs w:val="24"/>
                <w:lang w:eastAsia="zh-CN"/>
                <w14:textFill>
                  <w14:solidFill>
                    <w14:schemeClr w14:val="tx1"/>
                  </w14:solidFill>
                </w14:textFill>
              </w:rPr>
              <w:t>。由于护岸线路短，结合实际左右施工，进行设置围堰进行导流，汛期施工要注意施工安全，随时了解观测天气情况，流域内有大暴雨，施工人员和机诫要及时撤离施工场地，以免造成人员伤亡和经济损失。</w:t>
            </w:r>
          </w:p>
          <w:p>
            <w:pPr>
              <w:keepNext w:val="0"/>
              <w:keepLines w:val="0"/>
              <w:pageBreakBefore w:val="0"/>
              <w:widowControl w:val="0"/>
              <w:tabs>
                <w:tab w:val="left" w:pos="3408"/>
                <w:tab w:val="center" w:pos="4648"/>
              </w:tabs>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②为避免施工废水污染周围的地表水体，施工单位不在施工现场设置施工营地，不进行设备机械维修活动。</w:t>
            </w:r>
          </w:p>
          <w:p>
            <w:pPr>
              <w:keepNext w:val="0"/>
              <w:keepLines w:val="0"/>
              <w:pageBreakBefore w:val="0"/>
              <w:widowControl w:val="0"/>
              <w:tabs>
                <w:tab w:val="left" w:pos="3408"/>
                <w:tab w:val="center" w:pos="4648"/>
              </w:tabs>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③由于排放量较小，且施工线路长、点分散，对施工人员的生活洗漱废水可以洒泼抑尘，对环境影响较小，不需做深化处理为了保护环境，禁止施工人员将各类垃圾投入河道内。</w:t>
            </w:r>
          </w:p>
          <w:p>
            <w:pPr>
              <w:pStyle w:val="47"/>
              <w:spacing w:line="360" w:lineRule="auto"/>
              <w:ind w:right="-1" w:firstLine="480" w:firstLineChars="200"/>
              <w:contextualSpacing/>
              <w:outlineLvl w:val="2"/>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施工期经采取上述措施后，对生态环境影响较小。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FF0000"/>
                <w:sz w:val="24"/>
              </w:rPr>
            </w:pPr>
            <w:r>
              <w:rPr>
                <w:rFonts w:hint="eastAsia"/>
                <w:color w:val="FF0000"/>
                <w:sz w:val="24"/>
                <w:lang w:eastAsia="zh-CN"/>
              </w:rPr>
              <w:t>（</w:t>
            </w:r>
            <w:r>
              <w:rPr>
                <w:rFonts w:hint="eastAsia"/>
                <w:color w:val="FF0000"/>
                <w:sz w:val="24"/>
                <w:lang w:val="en-US" w:eastAsia="zh-CN"/>
              </w:rPr>
              <w:t>4</w:t>
            </w:r>
            <w:r>
              <w:rPr>
                <w:rFonts w:hint="eastAsia"/>
                <w:color w:val="FF0000"/>
                <w:sz w:val="24"/>
                <w:lang w:eastAsia="zh-CN"/>
              </w:rPr>
              <w:t>）</w:t>
            </w:r>
            <w:r>
              <w:rPr>
                <w:rFonts w:hint="eastAsia"/>
                <w:color w:val="FF0000"/>
                <w:sz w:val="24"/>
              </w:rPr>
              <w:t>水土流失预防措施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FF0000"/>
                <w:sz w:val="24"/>
              </w:rPr>
            </w:pPr>
            <w:r>
              <w:rPr>
                <w:rFonts w:hint="eastAsia"/>
                <w:color w:val="FF0000"/>
                <w:sz w:val="24"/>
              </w:rPr>
              <w:t>按照水土保持方案编制原则和指导思想，在实际调查基础上，根据地形地貌、水土流失强度以及项目建设的施工特点来划分水土流失防治分区，确定各分区的防治任务，因地制宜，因害设防，分区分类布设水土流失防治措施，分区应本着地形地貌类型相似、立地条件大致相同的原则进行；各分区内造成土壤侵蚀或水土流失的主导因子相近或相似；分区结果对防治措施总体布局具有指导作用，有利于分类实施防治措施；应具有控制性、整体性、全局性，各分区具有关联性和系统性。工程区设计的水土保持防治措施主要包括工程措施、植物措施和临时防护措施三大类，工程措施有排水工程、固沙工程、拦挡工程、土地整治、砂砾压盖等，植物措施有植树种草等，临时措施有临时拦挡、洒水等措施。</w:t>
            </w:r>
          </w:p>
          <w:p>
            <w:pPr>
              <w:pStyle w:val="47"/>
              <w:spacing w:line="360" w:lineRule="auto"/>
              <w:ind w:right="-1" w:firstLine="480" w:firstLineChars="200"/>
              <w:contextualSpacing/>
              <w:outlineLvl w:val="2"/>
              <w:rPr>
                <w:rFonts w:hint="eastAsia"/>
                <w:color w:val="FF0000"/>
                <w:sz w:val="24"/>
                <w:lang w:val="en-US" w:eastAsia="zh-CN"/>
              </w:rPr>
            </w:pPr>
            <w:r>
              <w:rPr>
                <w:rFonts w:hint="eastAsia"/>
                <w:color w:val="FF0000"/>
                <w:sz w:val="24"/>
              </w:rPr>
              <w:t>上述地质灾害防护措施在技术和经济上均可行，可有效防治地质灾害造成破坏。</w:t>
            </w:r>
          </w:p>
          <w:p>
            <w:pPr>
              <w:pStyle w:val="47"/>
              <w:spacing w:line="360" w:lineRule="auto"/>
              <w:ind w:right="-1" w:firstLine="0" w:firstLineChars="0"/>
              <w:contextualSpacing/>
              <w:outlineLvl w:val="2"/>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2、</w:t>
            </w:r>
            <w:r>
              <w:rPr>
                <w:rFonts w:ascii="Times New Roman" w:hAnsi="Times New Roman" w:eastAsia="宋体"/>
                <w:b/>
                <w:color w:val="000000" w:themeColor="text1"/>
                <w:sz w:val="24"/>
                <w:szCs w:val="24"/>
                <w14:textFill>
                  <w14:solidFill>
                    <w14:schemeClr w14:val="tx1"/>
                  </w14:solidFill>
                </w14:textFill>
              </w:rPr>
              <w:t>大气污染防治措施</w:t>
            </w:r>
          </w:p>
          <w:p>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1"/>
                <w:lang w:bidi="ar"/>
                <w14:textFill>
                  <w14:solidFill>
                    <w14:schemeClr w14:val="tx1"/>
                  </w14:solidFill>
                </w14:textFill>
              </w:rPr>
              <w:t>施工过程中产生的扬尘等废气会对周围环境带来不利的影响，为有效防治扬尘及尾气污染，施工单位在施工期应严格执行</w:t>
            </w:r>
            <w:r>
              <w:rPr>
                <w:rFonts w:hint="eastAsia" w:ascii="Times New Roman" w:hAnsi="Times New Roman" w:eastAsia="宋体" w:cs="Times New Roman"/>
                <w:color w:val="000000" w:themeColor="text1"/>
                <w:sz w:val="24"/>
                <w:szCs w:val="21"/>
                <w:lang w:bidi="ar"/>
                <w14:textFill>
                  <w14:solidFill>
                    <w14:schemeClr w14:val="tx1"/>
                  </w14:solidFill>
                </w14:textFill>
              </w:rPr>
              <w:t>《甘肃省住房城乡建设系统建筑工地施工扬尘专项治理工作实施方案》（甘建工〔2017〕139号）</w:t>
            </w:r>
            <w:r>
              <w:rPr>
                <w:rFonts w:hint="eastAsia" w:eastAsia="宋体" w:cs="Times New Roman"/>
                <w:color w:val="000000" w:themeColor="text1"/>
                <w:sz w:val="24"/>
                <w:szCs w:val="21"/>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1"/>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1"/>
                <w:lang w:val="en-US" w:eastAsia="zh-CN" w:bidi="ar"/>
                <w14:textFill>
                  <w14:solidFill>
                    <w14:schemeClr w14:val="tx1"/>
                  </w14:solidFill>
                </w14:textFill>
              </w:rPr>
              <w:t>2018年庆阳市大气污染防治攻坚行动方案</w:t>
            </w:r>
            <w:r>
              <w:rPr>
                <w:rFonts w:hint="eastAsia" w:ascii="Times New Roman" w:hAnsi="Times New Roman" w:eastAsia="宋体" w:cs="Times New Roman"/>
                <w:color w:val="000000" w:themeColor="text1"/>
                <w:sz w:val="24"/>
                <w:szCs w:val="21"/>
                <w:lang w:eastAsia="zh-CN" w:bidi="ar"/>
                <w14:textFill>
                  <w14:solidFill>
                    <w14:schemeClr w14:val="tx1"/>
                  </w14:solidFill>
                </w14:textFill>
              </w:rPr>
              <w:t>》</w:t>
            </w:r>
            <w:r>
              <w:rPr>
                <w:rFonts w:hint="eastAsia" w:eastAsia="宋体" w:cs="Times New Roman"/>
                <w:color w:val="000000" w:themeColor="text1"/>
                <w:sz w:val="24"/>
                <w:szCs w:val="21"/>
                <w:lang w:eastAsia="zh-CN" w:bidi="ar"/>
                <w14:textFill>
                  <w14:solidFill>
                    <w14:schemeClr w14:val="tx1"/>
                  </w14:solidFill>
                </w14:textFill>
              </w:rPr>
              <w:t>和《宁县大气污染防治方案》</w:t>
            </w:r>
            <w:r>
              <w:rPr>
                <w:rFonts w:hint="eastAsia" w:ascii="Times New Roman" w:hAnsi="Times New Roman" w:eastAsia="宋体" w:cs="Times New Roman"/>
                <w:color w:val="000000" w:themeColor="text1"/>
                <w:sz w:val="24"/>
                <w:szCs w:val="21"/>
                <w:lang w:eastAsia="zh-CN" w:bidi="ar"/>
                <w14:textFill>
                  <w14:solidFill>
                    <w14:schemeClr w14:val="tx1"/>
                  </w14:solidFill>
                </w14:textFill>
              </w:rPr>
              <w:t>的要求</w:t>
            </w:r>
            <w:r>
              <w:rPr>
                <w:rFonts w:hint="default" w:ascii="Times New Roman" w:hAnsi="Times New Roman" w:eastAsia="宋体" w:cs="Times New Roman"/>
                <w:color w:val="000000" w:themeColor="text1"/>
                <w:sz w:val="24"/>
                <w:szCs w:val="21"/>
                <w:lang w:bidi="ar"/>
                <w14:textFill>
                  <w14:solidFill>
                    <w14:schemeClr w14:val="tx1"/>
                  </w14:solidFill>
                </w14:textFill>
              </w:rPr>
              <w:t>，</w:t>
            </w:r>
            <w:r>
              <w:rPr>
                <w:rFonts w:hint="eastAsia" w:ascii="Times New Roman" w:hAnsi="Times New Roman" w:eastAsia="宋体" w:cs="Times New Roman"/>
                <w:color w:val="000000" w:themeColor="text1"/>
                <w:sz w:val="24"/>
                <w:szCs w:val="21"/>
                <w:lang w:eastAsia="zh-CN" w:bidi="ar"/>
                <w14:textFill>
                  <w14:solidFill>
                    <w14:schemeClr w14:val="tx1"/>
                  </w14:solidFill>
                </w14:textFill>
              </w:rPr>
              <w:t>“.减轻四级及以上大风天气扬尘污染。四级及以上大风天气城区道路实施机械化清扫，人工清扫必须先洒水后清扫，减轻扬尘污染。落实大风天气建筑施工地裸露地面洒水措施，四级及以上大风天气大风来临前，建筑施工地裸露地面全部洒水，渣土运输车辆停止运输，防止尘土飞扬；施工场地建筑施工场地扬尘管控“7个100%”措施</w:t>
            </w:r>
            <w:r>
              <w:rPr>
                <w:rFonts w:hint="eastAsia" w:eastAsia="宋体" w:cs="Times New Roman"/>
                <w:color w:val="000000" w:themeColor="text1"/>
                <w:sz w:val="24"/>
                <w:szCs w:val="21"/>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1"/>
                <w:lang w:eastAsia="zh-CN" w:bidi="ar"/>
                <w14:textFill>
                  <w14:solidFill>
                    <w14:schemeClr w14:val="tx1"/>
                  </w14:solidFill>
                </w14:textFill>
              </w:rPr>
              <w:t>城市拆迁施工工程全面落实申报备案、会商研判、会商反馈、规范作业、综合处理“五步工作法”，确保各类开发和建设活动产生的扬尘污染得到有效管控。建筑垃圾清运车辆全部实现密闭运输。”</w:t>
            </w:r>
            <w:r>
              <w:rPr>
                <w:rFonts w:hint="default" w:ascii="Times New Roman" w:hAnsi="Times New Roman" w:eastAsia="宋体" w:cs="Times New Roman"/>
                <w:color w:val="000000" w:themeColor="text1"/>
                <w:sz w:val="24"/>
                <w:szCs w:val="21"/>
                <w:lang w:bidi="ar"/>
                <w14:textFill>
                  <w14:solidFill>
                    <w14:schemeClr w14:val="tx1"/>
                  </w14:solidFill>
                </w14:textFill>
              </w:rPr>
              <w:t>切实加强涉及大气污染建设项目审批工作的通知中的相关规定。针对工程特点应采取如下防治措施</w:t>
            </w:r>
            <w:r>
              <w:rPr>
                <w:rFonts w:hint="eastAsia" w:ascii="Times New Roman" w:hAnsi="Times New Roman" w:eastAsia="宋体" w:cs="宋体"/>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1</w:t>
            </w:r>
            <w:r>
              <w:rPr>
                <w:rFonts w:hint="eastAsia" w:ascii="Times New Roman" w:hAnsi="Times New Roman" w:eastAsia="宋体" w:cs="宋体"/>
                <w:color w:val="000000" w:themeColor="text1"/>
                <w:sz w:val="24"/>
                <w:szCs w:val="24"/>
                <w14:textFill>
                  <w14:solidFill>
                    <w14:schemeClr w14:val="tx1"/>
                  </w14:solidFill>
                </w14:textFill>
              </w:rPr>
              <w:t>）强化施工期环境管理，提高施工人员环保意识宣传和教育，制定合理的施工计划，缩短工期，采取集中力量逐项施工方法，坚决杜绝粗放式施工现象发生。</w:t>
            </w:r>
          </w:p>
          <w:p>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2</w:t>
            </w:r>
            <w:r>
              <w:rPr>
                <w:rFonts w:hint="eastAsia" w:ascii="Times New Roman" w:hAnsi="Times New Roman" w:eastAsia="宋体" w:cs="宋体"/>
                <w:color w:val="000000" w:themeColor="text1"/>
                <w:sz w:val="24"/>
                <w:szCs w:val="24"/>
                <w14:textFill>
                  <w14:solidFill>
                    <w14:schemeClr w14:val="tx1"/>
                  </w14:solidFill>
                </w14:textFill>
              </w:rPr>
              <w:t>）建设单位应定时洒水、对裸露土方进行覆盖等防尘措施，定期对围挡落尘进行清洗，保证施工工地周围环境整洁。</w:t>
            </w:r>
          </w:p>
          <w:p>
            <w:pPr>
              <w:spacing w:line="360" w:lineRule="auto"/>
              <w:ind w:firstLine="480" w:firstLineChars="200"/>
              <w:rPr>
                <w:rFonts w:ascii="Times New Roman" w:hAnsi="Times New Roman" w:eastAsia="宋体" w:cs="宋体"/>
                <w:color w:val="000000" w:themeColor="text1"/>
                <w:sz w:val="24"/>
                <w:szCs w:val="21"/>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3</w:t>
            </w:r>
            <w:r>
              <w:rPr>
                <w:rFonts w:hint="eastAsia" w:ascii="Times New Roman" w:hAnsi="Times New Roman" w:eastAsia="宋体" w:cs="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1"/>
                <w:highlight w:val="none"/>
                <w:lang w:eastAsia="zh-CN"/>
                <w14:textFill>
                  <w14:solidFill>
                    <w14:schemeClr w14:val="tx1"/>
                  </w14:solidFill>
                </w14:textFill>
              </w:rPr>
              <w:t>基础开挖</w:t>
            </w:r>
            <w:r>
              <w:rPr>
                <w:rFonts w:hint="eastAsia" w:ascii="Times New Roman" w:hAnsi="Times New Roman" w:eastAsia="宋体" w:cs="宋体"/>
                <w:color w:val="000000" w:themeColor="text1"/>
                <w:sz w:val="24"/>
                <w:szCs w:val="21"/>
                <w:highlight w:val="none"/>
                <w14:textFill>
                  <w14:solidFill>
                    <w14:schemeClr w14:val="tx1"/>
                  </w14:solidFill>
                </w14:textFill>
              </w:rPr>
              <w:t>时，应辅以洒水降尘，尽量缩短起尘操作时间。对于土方开挖、回填，临时堆土产生的扬尘，有条件的尽量在施工周围连续设置硬质围挡，主要施工段围挡高度不低于2.5m，一般施工段的围挡不低于1.8m，将施工区与外环境隔离，减少施工扬尘对外环境的不利影响。遇到四级或以上大风天气应停止</w:t>
            </w:r>
            <w:r>
              <w:rPr>
                <w:rFonts w:hint="eastAsia" w:ascii="Times New Roman" w:hAnsi="Times New Roman" w:eastAsia="宋体" w:cs="宋体"/>
                <w:color w:val="000000" w:themeColor="text1"/>
                <w:sz w:val="24"/>
                <w:szCs w:val="21"/>
                <w14:textFill>
                  <w14:solidFill>
                    <w14:schemeClr w14:val="tx1"/>
                  </w14:solidFill>
                </w14:textFill>
              </w:rPr>
              <w:t>土方作业，作业时应覆以防尘网，减轻施工扬尘对外环境造成影响。</w:t>
            </w:r>
          </w:p>
          <w:p>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4</w:t>
            </w:r>
            <w:r>
              <w:rPr>
                <w:rFonts w:hint="eastAsia" w:ascii="Times New Roman" w:hAnsi="Times New Roman" w:eastAsia="宋体" w:cs="宋体"/>
                <w:color w:val="000000" w:themeColor="text1"/>
                <w:sz w:val="24"/>
                <w:szCs w:val="24"/>
                <w14:textFill>
                  <w14:solidFill>
                    <w14:schemeClr w14:val="tx1"/>
                  </w14:solidFill>
                </w14:textFill>
              </w:rPr>
              <w:t>）施工期还要注意减少土方、物料运输过程产生二次扬尘，在土方、物料运输时应加盖蓬布以防尘土扬撒。</w:t>
            </w:r>
          </w:p>
          <w:p>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5</w:t>
            </w:r>
            <w:r>
              <w:rPr>
                <w:rFonts w:hint="eastAsia" w:ascii="Times New Roman" w:hAnsi="Times New Roman" w:eastAsia="宋体" w:cs="宋体"/>
                <w:color w:val="000000" w:themeColor="text1"/>
                <w:sz w:val="24"/>
                <w:szCs w:val="24"/>
                <w14:textFill>
                  <w14:solidFill>
                    <w14:schemeClr w14:val="tx1"/>
                  </w14:solidFill>
                </w14:textFill>
              </w:rPr>
              <w:t>）对施工过程中产生的弃料、建筑垃圾等及时清运，若在工地内堆放超过一周的，须采取加盖防尘网并定期喷洒水等防尘措施。</w:t>
            </w:r>
          </w:p>
          <w:p>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6</w:t>
            </w:r>
            <w:r>
              <w:rPr>
                <w:rFonts w:hint="eastAsia" w:ascii="Times New Roman" w:hAnsi="Times New Roman" w:eastAsia="宋体" w:cs="宋体"/>
                <w:color w:val="000000" w:themeColor="text1"/>
                <w:sz w:val="24"/>
                <w:szCs w:val="24"/>
                <w14:textFill>
                  <w14:solidFill>
                    <w14:schemeClr w14:val="tx1"/>
                  </w14:solidFill>
                </w14:textFill>
              </w:rPr>
              <w:t>）场地车辆出入口道路应硬化及时清扫。</w:t>
            </w:r>
          </w:p>
          <w:p>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7</w:t>
            </w:r>
            <w:r>
              <w:rPr>
                <w:rFonts w:hint="eastAsia" w:ascii="Times New Roman" w:hAnsi="Times New Roman" w:eastAsia="宋体" w:cs="宋体"/>
                <w:color w:val="000000" w:themeColor="text1"/>
                <w:sz w:val="24"/>
                <w:szCs w:val="24"/>
                <w14:textFill>
                  <w14:solidFill>
                    <w14:schemeClr w14:val="tx1"/>
                  </w14:solidFill>
                </w14:textFill>
              </w:rPr>
              <w:t>）施工场地的扬尘大部分来自施工车辆，在同样清洁程度的条件下，车速越慢，扬尘量越小。施工车辆在进入施工场地后，需减速行驶，以减少施工场地扬尘，建议行驶车速不大于</w:t>
            </w:r>
            <w:r>
              <w:rPr>
                <w:rFonts w:ascii="Times New Roman" w:hAnsi="Times New Roman" w:eastAsia="宋体" w:cs="宋体"/>
                <w:color w:val="000000" w:themeColor="text1"/>
                <w:sz w:val="24"/>
                <w:szCs w:val="24"/>
                <w14:textFill>
                  <w14:solidFill>
                    <w14:schemeClr w14:val="tx1"/>
                  </w14:solidFill>
                </w14:textFill>
              </w:rPr>
              <w:t>5km/h</w:t>
            </w:r>
            <w:r>
              <w:rPr>
                <w:rFonts w:hint="eastAsia" w:ascii="Times New Roman" w:hAnsi="Times New Roman" w:eastAsia="宋体" w:cs="宋体"/>
                <w:color w:val="000000" w:themeColor="text1"/>
                <w:sz w:val="24"/>
                <w:szCs w:val="24"/>
                <w14:textFill>
                  <w14:solidFill>
                    <w14:schemeClr w14:val="tx1"/>
                  </w14:solidFill>
                </w14:textFill>
              </w:rPr>
              <w:t>，扬尘量可减少为一般行驶速度</w:t>
            </w:r>
            <w:r>
              <w:rPr>
                <w:rFonts w:ascii="Times New Roman" w:hAnsi="Times New Roman" w:eastAsia="宋体" w:cs="宋体"/>
                <w:color w:val="000000" w:themeColor="text1"/>
                <w:sz w:val="24"/>
                <w:szCs w:val="24"/>
                <w14:textFill>
                  <w14:solidFill>
                    <w14:schemeClr w14:val="tx1"/>
                  </w14:solidFill>
                </w14:textFill>
              </w:rPr>
              <w:t>15</w:t>
            </w: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20km/h</w:t>
            </w:r>
            <w:r>
              <w:rPr>
                <w:rFonts w:hint="eastAsia" w:ascii="Times New Roman" w:hAnsi="Times New Roman" w:eastAsia="宋体" w:cs="宋体"/>
                <w:color w:val="000000" w:themeColor="text1"/>
                <w:sz w:val="24"/>
                <w:szCs w:val="24"/>
                <w14:textFill>
                  <w14:solidFill>
                    <w14:schemeClr w14:val="tx1"/>
                  </w14:solidFill>
                </w14:textFill>
              </w:rPr>
              <w:t>时的三分之一。</w:t>
            </w:r>
          </w:p>
          <w:p>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8</w:t>
            </w:r>
            <w:r>
              <w:rPr>
                <w:rFonts w:hint="eastAsia" w:ascii="Times New Roman" w:hAnsi="Times New Roman" w:eastAsia="宋体" w:cs="宋体"/>
                <w:color w:val="000000" w:themeColor="text1"/>
                <w:sz w:val="24"/>
                <w:szCs w:val="24"/>
                <w14:textFill>
                  <w14:solidFill>
                    <w14:schemeClr w14:val="tx1"/>
                  </w14:solidFill>
                </w14:textFill>
              </w:rPr>
              <w:t>）为了减少施工扬尘，须保持施工场地、进出道路以及施工车辆的清洁，禁止超载、防止洒落等有效措施来保持场地路面的清洁，减少施工扬尘。</w:t>
            </w:r>
          </w:p>
          <w:p>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9</w:t>
            </w:r>
            <w:r>
              <w:rPr>
                <w:rFonts w:hint="eastAsia" w:ascii="Times New Roman" w:hAnsi="Times New Roman" w:eastAsia="宋体" w:cs="宋体"/>
                <w:color w:val="000000" w:themeColor="text1"/>
                <w:sz w:val="24"/>
                <w:szCs w:val="24"/>
                <w14:textFill>
                  <w14:solidFill>
                    <w14:schemeClr w14:val="tx1"/>
                  </w14:solidFill>
                </w14:textFill>
              </w:rPr>
              <w:t>）确保所有机械设备良性运作，减少尾气的排放量。</w:t>
            </w:r>
          </w:p>
          <w:p>
            <w:pPr>
              <w:spacing w:line="360" w:lineRule="auto"/>
              <w:ind w:firstLine="480" w:firstLineChars="200"/>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w:t>
            </w:r>
            <w:r>
              <w:rPr>
                <w:rFonts w:ascii="Times New Roman" w:hAnsi="Times New Roman" w:eastAsia="宋体" w:cs="宋体"/>
                <w:color w:val="000000" w:themeColor="text1"/>
                <w:sz w:val="24"/>
                <w:szCs w:val="24"/>
                <w14:textFill>
                  <w14:solidFill>
                    <w14:schemeClr w14:val="tx1"/>
                  </w14:solidFill>
                </w14:textFill>
              </w:rPr>
              <w:t>10</w:t>
            </w:r>
            <w:r>
              <w:rPr>
                <w:rFonts w:hint="eastAsia" w:ascii="Times New Roman" w:hAnsi="Times New Roman" w:eastAsia="宋体" w:cs="宋体"/>
                <w:color w:val="000000" w:themeColor="text1"/>
                <w:sz w:val="24"/>
                <w:szCs w:val="24"/>
                <w14:textFill>
                  <w14:solidFill>
                    <w14:schemeClr w14:val="tx1"/>
                  </w14:solidFill>
                </w14:textFill>
              </w:rPr>
              <w:t>）场外运输</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①运输方式：运沙、石、水泥等的车辆加盖篷布，防止沿途洒落。</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②车辆限速：建议行驶车速不大于</w:t>
            </w:r>
            <w:r>
              <w:rPr>
                <w:rFonts w:ascii="Times New Roman" w:hAnsi="Times New Roman" w:eastAsia="宋体"/>
                <w:color w:val="000000" w:themeColor="text1"/>
                <w:sz w:val="24"/>
                <w:szCs w:val="24"/>
                <w14:textFill>
                  <w14:solidFill>
                    <w14:schemeClr w14:val="tx1"/>
                  </w14:solidFill>
                </w14:textFill>
              </w:rPr>
              <w:t>50km/h</w:t>
            </w:r>
            <w:r>
              <w:rPr>
                <w:rFonts w:hint="eastAsia" w:ascii="Times New Roman" w:hAnsi="Times New Roman" w:eastAsia="宋体" w:cs="宋体"/>
                <w:color w:val="000000" w:themeColor="text1"/>
                <w:sz w:val="24"/>
                <w:szCs w:val="24"/>
                <w14:textFill>
                  <w14:solidFill>
                    <w14:schemeClr w14:val="tx1"/>
                  </w14:solidFill>
                </w14:textFill>
              </w:rPr>
              <w:t>，据资料显示：此时的扬尘量可减少为一般行驶速度</w:t>
            </w:r>
            <w:r>
              <w:rPr>
                <w:rFonts w:ascii="Times New Roman" w:hAnsi="Times New Roman" w:eastAsia="宋体"/>
                <w:color w:val="000000" w:themeColor="text1"/>
                <w:sz w:val="24"/>
                <w:szCs w:val="24"/>
                <w14:textFill>
                  <w14:solidFill>
                    <w14:schemeClr w14:val="tx1"/>
                  </w14:solidFill>
                </w14:textFill>
              </w:rPr>
              <w:t>(15km/h</w:t>
            </w:r>
            <w:r>
              <w:rPr>
                <w:rFonts w:hint="eastAsia" w:ascii="Times New Roman" w:hAnsi="Times New Roman" w:eastAsia="宋体" w:cs="宋体"/>
                <w:color w:val="000000" w:themeColor="text1"/>
                <w:sz w:val="24"/>
                <w:szCs w:val="24"/>
                <w14:textFill>
                  <w14:solidFill>
                    <w14:schemeClr w14:val="tx1"/>
                  </w14:solidFill>
                </w14:textFill>
              </w:rPr>
              <w:t>计</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情况下的</w:t>
            </w:r>
            <w:r>
              <w:rPr>
                <w:rFonts w:ascii="Times New Roman" w:hAnsi="Times New Roman" w:eastAsia="宋体"/>
                <w:color w:val="000000" w:themeColor="text1"/>
                <w:sz w:val="24"/>
                <w:szCs w:val="24"/>
                <w14:textFill>
                  <w14:solidFill>
                    <w14:schemeClr w14:val="tx1"/>
                  </w14:solidFill>
                </w14:textFill>
              </w:rPr>
              <w:t>1/3</w:t>
            </w:r>
            <w:r>
              <w:rPr>
                <w:rFonts w:hint="eastAsia" w:ascii="Times New Roman" w:hAnsi="Times New Roman" w:eastAsia="宋体" w:cs="宋体"/>
                <w:color w:val="000000" w:themeColor="text1"/>
                <w:sz w:val="24"/>
                <w:szCs w:val="24"/>
                <w14:textFill>
                  <w14:solidFill>
                    <w14:schemeClr w14:val="tx1"/>
                  </w14:solidFill>
                </w14:textFill>
              </w:rPr>
              <w:t>。</w:t>
            </w:r>
          </w:p>
          <w:p>
            <w:pPr>
              <w:spacing w:line="360" w:lineRule="auto"/>
              <w:ind w:firstLine="480" w:firstLineChars="200"/>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③运输时间：选择车流、人流较少的时间，运输时间：上午9：00～1：00，下午：3：30～6：00，晚上：7：30～10：30。</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（11）项目产生的弃渣及时清运，混凝土采用商品混凝土，严禁现场露天搅拌。</w:t>
            </w:r>
          </w:p>
          <w:p>
            <w:pPr>
              <w:spacing w:line="360" w:lineRule="auto"/>
              <w:ind w:firstLine="480" w:firstLineChars="200"/>
              <w:rPr>
                <w:rFonts w:hint="eastAsia"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在采取上述防尘措施后，可有效控制施工场地扬尘对周边环境的影响</w:t>
            </w:r>
            <w:r>
              <w:rPr>
                <w:rFonts w:hint="eastAsia" w:cs="宋体"/>
                <w:color w:val="000000" w:themeColor="text1"/>
                <w:sz w:val="24"/>
                <w:szCs w:val="24"/>
                <w:lang w:eastAsia="zh-CN"/>
                <w14:textFill>
                  <w14:solidFill>
                    <w14:schemeClr w14:val="tx1"/>
                  </w14:solidFill>
                </w14:textFill>
              </w:rPr>
              <w:t>。</w:t>
            </w:r>
          </w:p>
          <w:p>
            <w:pPr>
              <w:pStyle w:val="4"/>
              <w:spacing w:before="0" w:after="0" w:line="360" w:lineRule="auto"/>
              <w:ind w:firstLine="480" w:firstLineChars="200"/>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为减少恶臭影响，施工期拟采取以下措施:</w:t>
            </w:r>
          </w:p>
          <w:p>
            <w:pPr>
              <w:pStyle w:val="4"/>
              <w:spacing w:before="0" w:after="0" w:line="360" w:lineRule="auto"/>
              <w:ind w:firstLine="480" w:firstLineChars="200"/>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①施工工地设置2m高蓝色硬质彩钢板封闭围档，采取封闭施工；</w:t>
            </w:r>
          </w:p>
          <w:p>
            <w:pPr>
              <w:pStyle w:val="4"/>
              <w:spacing w:before="0" w:after="0" w:line="360" w:lineRule="auto"/>
              <w:ind w:firstLine="480" w:firstLineChars="200"/>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②从河道中的清理出来的部分腐蚀性淤泥及水下开挖部分将堆放在河道内靠岸边场地，经过一段时间的沉淀和晾晒之后，再由自卸汽车运输到指定的弃土场堆放；</w:t>
            </w:r>
          </w:p>
          <w:p>
            <w:pPr>
              <w:pStyle w:val="4"/>
              <w:spacing w:before="0" w:after="0" w:line="360" w:lineRule="auto"/>
              <w:ind w:firstLine="480" w:firstLineChars="200"/>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③运输过程中采用专用密封运输车辆，防止淤泥恶臭沿途扩散，严格按照指定的线路行驶，运输路径避让人口集中区域；</w:t>
            </w:r>
          </w:p>
          <w:p>
            <w:pPr>
              <w:pStyle w:val="4"/>
              <w:spacing w:before="0" w:after="0" w:line="360" w:lineRule="auto"/>
              <w:ind w:firstLine="480" w:firstLineChars="200"/>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④渣场区域进行全面围挡，围挡采用不锈钢板围挡，围挡高度 2m，总长度 2000m。</w:t>
            </w:r>
          </w:p>
          <w:p>
            <w:pPr>
              <w:pStyle w:val="47"/>
              <w:spacing w:line="360" w:lineRule="auto"/>
              <w:ind w:right="-1" w:firstLine="0" w:firstLineChars="0"/>
              <w:contextualSpacing/>
              <w:outlineLvl w:val="2"/>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3、</w:t>
            </w:r>
            <w:r>
              <w:rPr>
                <w:rFonts w:ascii="Times New Roman" w:hAnsi="Times New Roman" w:eastAsia="宋体"/>
                <w:b/>
                <w:color w:val="000000" w:themeColor="text1"/>
                <w:sz w:val="24"/>
                <w:szCs w:val="24"/>
                <w14:textFill>
                  <w14:solidFill>
                    <w14:schemeClr w14:val="tx1"/>
                  </w14:solidFill>
                </w14:textFill>
              </w:rPr>
              <w:t>水污染防治措施</w:t>
            </w:r>
          </w:p>
          <w:p>
            <w:pPr>
              <w:spacing w:line="360" w:lineRule="auto"/>
              <w:ind w:firstLine="480" w:firstLineChars="200"/>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本工程施工期产生的废水主要有施工人员生活</w:t>
            </w:r>
            <w:r>
              <w:rPr>
                <w:rFonts w:hint="eastAsia" w:cs="宋体"/>
                <w:bCs/>
                <w:color w:val="000000" w:themeColor="text1"/>
                <w:sz w:val="24"/>
                <w:szCs w:val="24"/>
                <w:lang w:eastAsia="zh-CN"/>
                <w14:textFill>
                  <w14:solidFill>
                    <w14:schemeClr w14:val="tx1"/>
                  </w14:solidFill>
                </w14:textFill>
              </w:rPr>
              <w:t>洗漱废水</w:t>
            </w:r>
            <w:r>
              <w:rPr>
                <w:rFonts w:hint="eastAsia" w:ascii="Times New Roman" w:hAnsi="Times New Roman" w:eastAsia="宋体" w:cs="宋体"/>
                <w:bCs/>
                <w:color w:val="000000" w:themeColor="text1"/>
                <w:sz w:val="24"/>
                <w:szCs w:val="24"/>
                <w14:textFill>
                  <w14:solidFill>
                    <w14:schemeClr w14:val="tx1"/>
                  </w14:solidFill>
                </w14:textFill>
              </w:rPr>
              <w:t>。因此，建议施工期废水做好以下防治措施：</w:t>
            </w:r>
          </w:p>
          <w:p>
            <w:pPr>
              <w:widowControl/>
              <w:spacing w:line="360" w:lineRule="auto"/>
              <w:ind w:firstLine="480" w:firstLineChars="200"/>
              <w:jc w:val="left"/>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（1）加强对施工队伍管理，</w:t>
            </w:r>
            <w:r>
              <w:rPr>
                <w:rFonts w:hint="eastAsia" w:cs="宋体"/>
                <w:color w:val="000000" w:themeColor="text1"/>
                <w:kern w:val="0"/>
                <w:sz w:val="24"/>
                <w:szCs w:val="24"/>
                <w:lang w:eastAsia="zh-CN"/>
                <w14:textFill>
                  <w14:solidFill>
                    <w14:schemeClr w14:val="tx1"/>
                  </w14:solidFill>
                </w14:textFill>
              </w:rPr>
              <w:t>施工人员洗漱废水用以施工场地泼洒抑尘，</w:t>
            </w:r>
            <w:r>
              <w:rPr>
                <w:rFonts w:hint="eastAsia" w:ascii="Times New Roman" w:hAnsi="Times New Roman" w:eastAsia="宋体" w:cs="宋体"/>
                <w:color w:val="000000" w:themeColor="text1"/>
                <w:kern w:val="0"/>
                <w:sz w:val="24"/>
                <w:szCs w:val="24"/>
                <w14:textFill>
                  <w14:solidFill>
                    <w14:schemeClr w14:val="tx1"/>
                  </w14:solidFill>
                </w14:textFill>
              </w:rPr>
              <w:t>生活垃圾要及时清理</w:t>
            </w:r>
            <w:r>
              <w:rPr>
                <w:rFonts w:hint="eastAsia" w:ascii="Times New Roman" w:hAnsi="Times New Roman" w:eastAsia="宋体" w:cs="宋体"/>
                <w:color w:val="000000" w:themeColor="text1"/>
                <w:sz w:val="24"/>
                <w:szCs w:val="24"/>
                <w14:textFill>
                  <w14:solidFill>
                    <w14:schemeClr w14:val="tx1"/>
                  </w14:solidFill>
                </w14:textFill>
              </w:rPr>
              <w:t>，严禁乱排、乱流污染道路、水体；</w:t>
            </w:r>
          </w:p>
          <w:p>
            <w:pPr>
              <w:widowControl/>
              <w:spacing w:line="360" w:lineRule="auto"/>
              <w:ind w:firstLine="480" w:firstLineChars="200"/>
              <w:jc w:val="left"/>
              <w:rPr>
                <w:rFonts w:hint="eastAsia"/>
                <w:color w:val="000000" w:themeColor="text1"/>
                <w:kern w:val="0"/>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（2）雨季施工时，施工场地应设置雨水导排系统，对施工现场形成的雨污水及时疏导，防治</w:t>
            </w:r>
            <w:r>
              <w:rPr>
                <w:rFonts w:hint="eastAsia" w:ascii="Times New Roman" w:hAnsi="Times New Roman" w:cs="宋体"/>
                <w:color w:val="000000" w:themeColor="text1"/>
                <w:sz w:val="24"/>
                <w:szCs w:val="24"/>
                <w:lang w:eastAsia="zh-CN"/>
                <w14:textFill>
                  <w14:solidFill>
                    <w14:schemeClr w14:val="tx1"/>
                  </w14:solidFill>
                </w14:textFill>
              </w:rPr>
              <w:t>施工废水进入河道中</w:t>
            </w:r>
            <w:r>
              <w:rPr>
                <w:rFonts w:hint="eastAsia" w:ascii="Times New Roman" w:hAnsi="Times New Roman" w:eastAsia="宋体" w:cs="宋体"/>
                <w:color w:val="000000" w:themeColor="text1"/>
                <w:sz w:val="24"/>
                <w:szCs w:val="24"/>
                <w14:textFill>
                  <w14:solidFill>
                    <w14:schemeClr w14:val="tx1"/>
                  </w14:solidFill>
                </w14:textFill>
              </w:rPr>
              <w:t>，对</w:t>
            </w:r>
            <w:r>
              <w:rPr>
                <w:rFonts w:hint="eastAsia" w:ascii="Times New Roman" w:hAnsi="Times New Roman" w:cs="宋体"/>
                <w:color w:val="000000" w:themeColor="text1"/>
                <w:sz w:val="24"/>
                <w:szCs w:val="24"/>
                <w:lang w:eastAsia="zh-CN"/>
                <w14:textFill>
                  <w14:solidFill>
                    <w14:schemeClr w14:val="tx1"/>
                  </w14:solidFill>
                </w14:textFill>
              </w:rPr>
              <w:t>河流</w:t>
            </w:r>
            <w:r>
              <w:rPr>
                <w:rFonts w:hint="eastAsia" w:ascii="Times New Roman" w:hAnsi="Times New Roman" w:eastAsia="宋体" w:cs="宋体"/>
                <w:color w:val="000000" w:themeColor="text1"/>
                <w:sz w:val="24"/>
                <w:szCs w:val="24"/>
                <w14:textFill>
                  <w14:solidFill>
                    <w14:schemeClr w14:val="tx1"/>
                  </w14:solidFill>
                </w14:textFill>
              </w:rPr>
              <w:t>造成污染；</w:t>
            </w:r>
            <w:r>
              <w:rPr>
                <w:rFonts w:hint="eastAsia"/>
                <w:color w:val="000000" w:themeColor="text1"/>
                <w:kern w:val="0"/>
                <w:sz w:val="24"/>
                <w:szCs w:val="24"/>
                <w:lang w:eastAsia="zh-CN"/>
                <w14:textFill>
                  <w14:solidFill>
                    <w14:schemeClr w14:val="tx1"/>
                  </w14:solidFill>
                </w14:textFill>
              </w:rPr>
              <w:t>雨天严禁施工。</w:t>
            </w:r>
          </w:p>
          <w:p>
            <w:pPr>
              <w:widowControl/>
              <w:spacing w:line="360" w:lineRule="auto"/>
              <w:ind w:firstLine="480" w:firstLineChars="200"/>
              <w:jc w:val="left"/>
              <w:rPr>
                <w:rFonts w:ascii="Times New Roman" w:hAnsi="Times New Roman" w:eastAsia="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w:t>
            </w:r>
            <w:r>
              <w:rPr>
                <w:rFonts w:ascii="Times New Roman" w:hAnsi="Times New Roman" w:eastAsia="宋体"/>
                <w:color w:val="000000" w:themeColor="text1"/>
                <w:kern w:val="0"/>
                <w:sz w:val="24"/>
                <w:szCs w:val="24"/>
                <w14:textFill>
                  <w14:solidFill>
                    <w14:schemeClr w14:val="tx1"/>
                  </w14:solidFill>
                </w14:textFill>
              </w:rPr>
              <w:t>3</w:t>
            </w:r>
            <w:r>
              <w:rPr>
                <w:rFonts w:hint="eastAsia" w:ascii="Times New Roman" w:hAnsi="Times New Roman" w:eastAsia="宋体" w:cs="宋体"/>
                <w:color w:val="000000" w:themeColor="text1"/>
                <w:kern w:val="0"/>
                <w:sz w:val="24"/>
                <w:szCs w:val="24"/>
                <w14:textFill>
                  <w14:solidFill>
                    <w14:schemeClr w14:val="tx1"/>
                  </w14:solidFill>
                </w14:textFill>
              </w:rPr>
              <w:t>）</w:t>
            </w:r>
            <w:r>
              <w:rPr>
                <w:rFonts w:hint="eastAsia" w:ascii="Times New Roman" w:hAnsi="Times New Roman" w:eastAsia="宋体" w:cs="宋体"/>
                <w:color w:val="000000" w:themeColor="text1"/>
                <w:kern w:val="0"/>
                <w:sz w:val="24"/>
                <w:lang w:eastAsia="zh-CN"/>
                <w14:textFill>
                  <w14:solidFill>
                    <w14:schemeClr w14:val="tx1"/>
                  </w14:solidFill>
                </w14:textFill>
              </w:rPr>
              <w:t>项目</w:t>
            </w:r>
            <w:r>
              <w:rPr>
                <w:rFonts w:hint="eastAsia" w:ascii="Times New Roman" w:hAnsi="Times New Roman" w:eastAsia="宋体" w:cs="宋体"/>
                <w:color w:val="000000" w:themeColor="text1"/>
                <w:kern w:val="0"/>
                <w:sz w:val="24"/>
                <w14:textFill>
                  <w14:solidFill>
                    <w14:schemeClr w14:val="tx1"/>
                  </w14:solidFill>
                </w14:textFill>
              </w:rPr>
              <w:t>施工</w:t>
            </w:r>
            <w:r>
              <w:rPr>
                <w:rFonts w:hint="eastAsia" w:cs="宋体"/>
                <w:color w:val="000000" w:themeColor="text1"/>
                <w:kern w:val="0"/>
                <w:sz w:val="24"/>
                <w:lang w:eastAsia="zh-CN"/>
                <w14:textFill>
                  <w14:solidFill>
                    <w14:schemeClr w14:val="tx1"/>
                  </w14:solidFill>
                </w14:textFill>
              </w:rPr>
              <w:t>现场</w:t>
            </w:r>
            <w:r>
              <w:rPr>
                <w:rFonts w:hint="eastAsia" w:ascii="Times New Roman" w:hAnsi="Times New Roman" w:eastAsia="宋体" w:cs="宋体"/>
                <w:color w:val="000000" w:themeColor="text1"/>
                <w:kern w:val="0"/>
                <w:sz w:val="24"/>
                <w:lang w:eastAsia="zh-CN"/>
                <w14:textFill>
                  <w14:solidFill>
                    <w14:schemeClr w14:val="tx1"/>
                  </w14:solidFill>
                </w14:textFill>
              </w:rPr>
              <w:t>产生的污染物要及时清理</w:t>
            </w:r>
            <w:r>
              <w:rPr>
                <w:rFonts w:hint="eastAsia" w:ascii="Times New Roman" w:hAnsi="Times New Roman" w:eastAsia="宋体" w:cs="宋体"/>
                <w:color w:val="000000" w:themeColor="text1"/>
                <w:kern w:val="0"/>
                <w:sz w:val="24"/>
                <w14:textFill>
                  <w14:solidFill>
                    <w14:schemeClr w14:val="tx1"/>
                  </w14:solidFill>
                </w14:textFill>
              </w:rPr>
              <w:t>，防止生活污水对地表水造成污染；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（4）场地出入道路应硬化且及时清扫、清洗。</w:t>
            </w: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color w:val="000000" w:themeColor="text1"/>
                <w:kern w:val="2"/>
                <w:sz w:val="24"/>
                <w:szCs w:val="24"/>
                <w:lang w:eastAsia="zh-CN"/>
                <w14:textFill>
                  <w14:solidFill>
                    <w14:schemeClr w14:val="tx1"/>
                  </w14:solidFill>
                </w14:textFill>
              </w:rPr>
              <w:t>（</w:t>
            </w:r>
            <w:r>
              <w:rPr>
                <w:rFonts w:hint="eastAsia" w:ascii="Times New Roman" w:hAnsi="Times New Roman"/>
                <w:color w:val="000000" w:themeColor="text1"/>
                <w:kern w:val="2"/>
                <w:sz w:val="24"/>
                <w:szCs w:val="24"/>
                <w:lang w:val="en-US" w:eastAsia="zh-CN"/>
                <w14:textFill>
                  <w14:solidFill>
                    <w14:schemeClr w14:val="tx1"/>
                  </w14:solidFill>
                </w14:textFill>
              </w:rPr>
              <w:t>5</w:t>
            </w:r>
            <w:r>
              <w:rPr>
                <w:rFonts w:hint="eastAsia" w:ascii="Times New Roman" w:hAnsi="Times New Roman"/>
                <w:color w:val="000000" w:themeColor="text1"/>
                <w:kern w:val="2"/>
                <w:sz w:val="24"/>
                <w:szCs w:val="24"/>
                <w:lang w:eastAsia="zh-CN"/>
                <w14:textFill>
                  <w14:solidFill>
                    <w14:schemeClr w14:val="tx1"/>
                  </w14:solidFill>
                </w14:textFill>
              </w:rPr>
              <w:t>）</w:t>
            </w:r>
            <w:r>
              <w:rPr>
                <w:rFonts w:hint="eastAsia" w:ascii="Times New Roman" w:hAnsi="Times New Roman" w:eastAsia="宋体"/>
                <w:color w:val="000000" w:themeColor="text1"/>
                <w:kern w:val="2"/>
                <w:sz w:val="24"/>
                <w:szCs w:val="24"/>
                <w14:textFill>
                  <w14:solidFill>
                    <w14:schemeClr w14:val="tx1"/>
                  </w14:solidFill>
                </w14:textFill>
              </w:rPr>
              <w:t>在河道施工时，应采取围堰施工</w:t>
            </w:r>
            <w:r>
              <w:rPr>
                <w:rFonts w:hint="eastAsia" w:ascii="Times New Roman" w:hAnsi="Times New Roman"/>
                <w:color w:val="000000" w:themeColor="text1"/>
                <w:kern w:val="2"/>
                <w:sz w:val="24"/>
                <w:szCs w:val="24"/>
                <w:lang w:eastAsia="zh-CN"/>
                <w14:textFill>
                  <w14:solidFill>
                    <w14:schemeClr w14:val="tx1"/>
                  </w14:solidFill>
                </w14:textFill>
              </w:rPr>
              <w:t>及施工导流渠</w:t>
            </w:r>
            <w:r>
              <w:rPr>
                <w:rFonts w:hint="eastAsia" w:ascii="Times New Roman" w:hAnsi="Times New Roman" w:eastAsia="宋体"/>
                <w:color w:val="000000" w:themeColor="text1"/>
                <w:kern w:val="2"/>
                <w:sz w:val="24"/>
                <w:szCs w:val="24"/>
                <w14:textFill>
                  <w14:solidFill>
                    <w14:schemeClr w14:val="tx1"/>
                  </w14:solidFill>
                </w14:textFill>
              </w:rPr>
              <w:t>，避免丰水期及雨季。开挖石方尽量不要堆在河流附近，以防造成水体污染。</w:t>
            </w: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（7）在施工期间严禁将废水排入</w:t>
            </w:r>
            <w:r>
              <w:rPr>
                <w:rFonts w:hint="eastAsia" w:ascii="Times New Roman" w:hAnsi="Times New Roman"/>
                <w:color w:val="000000" w:themeColor="text1"/>
                <w:kern w:val="2"/>
                <w:sz w:val="24"/>
                <w:szCs w:val="24"/>
                <w:lang w:eastAsia="zh-CN"/>
                <w14:textFill>
                  <w14:solidFill>
                    <w14:schemeClr w14:val="tx1"/>
                  </w14:solidFill>
                </w14:textFill>
              </w:rPr>
              <w:t>城北河、湘乐川</w:t>
            </w:r>
            <w:r>
              <w:rPr>
                <w:rFonts w:hint="eastAsia" w:ascii="Times New Roman" w:hAnsi="Times New Roman" w:eastAsia="宋体"/>
                <w:color w:val="000000" w:themeColor="text1"/>
                <w:kern w:val="2"/>
                <w:sz w:val="24"/>
                <w:szCs w:val="24"/>
                <w14:textFill>
                  <w14:solidFill>
                    <w14:schemeClr w14:val="tx1"/>
                  </w14:solidFill>
                </w14:textFill>
              </w:rPr>
              <w:t>。</w:t>
            </w: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color w:val="000000" w:themeColor="text1"/>
                <w:kern w:val="2"/>
                <w:sz w:val="24"/>
                <w:szCs w:val="24"/>
                <w:lang w:eastAsia="zh-CN"/>
                <w14:textFill>
                  <w14:solidFill>
                    <w14:schemeClr w14:val="tx1"/>
                  </w14:solidFill>
                </w14:textFill>
              </w:rPr>
            </w:pPr>
            <w:r>
              <w:rPr>
                <w:rFonts w:hint="eastAsia" w:ascii="Times New Roman" w:hAnsi="Times New Roman"/>
                <w:color w:val="000000" w:themeColor="text1"/>
                <w:kern w:val="2"/>
                <w:sz w:val="24"/>
                <w:szCs w:val="24"/>
                <w:lang w:eastAsia="zh-CN"/>
                <w14:textFill>
                  <w14:solidFill>
                    <w14:schemeClr w14:val="tx1"/>
                  </w14:solidFill>
                </w14:textFill>
              </w:rPr>
              <w:t>（</w:t>
            </w:r>
            <w:r>
              <w:rPr>
                <w:rFonts w:hint="eastAsia" w:ascii="Times New Roman" w:hAnsi="Times New Roman"/>
                <w:color w:val="000000" w:themeColor="text1"/>
                <w:kern w:val="2"/>
                <w:sz w:val="24"/>
                <w:szCs w:val="24"/>
                <w:lang w:val="en-US" w:eastAsia="zh-CN"/>
                <w14:textFill>
                  <w14:solidFill>
                    <w14:schemeClr w14:val="tx1"/>
                  </w14:solidFill>
                </w14:textFill>
              </w:rPr>
              <w:t>8</w:t>
            </w:r>
            <w:r>
              <w:rPr>
                <w:rFonts w:hint="eastAsia" w:ascii="Times New Roman" w:hAnsi="Times New Roman"/>
                <w:color w:val="000000" w:themeColor="text1"/>
                <w:kern w:val="2"/>
                <w:sz w:val="24"/>
                <w:szCs w:val="24"/>
                <w:lang w:eastAsia="zh-CN"/>
                <w14:textFill>
                  <w14:solidFill>
                    <w14:schemeClr w14:val="tx1"/>
                  </w14:solidFill>
                </w14:textFill>
              </w:rPr>
              <w:t>）项目在设置弃渣场时，应进行围挡，以确保项目产生的废渣不会进入河流，以防造成水体污染。</w:t>
            </w: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olor w:val="000000" w:themeColor="text1"/>
                <w:kern w:val="2"/>
                <w:sz w:val="24"/>
                <w:szCs w:val="24"/>
                <w:lang w:val="en-US" w:eastAsia="zh-CN"/>
                <w14:textFill>
                  <w14:solidFill>
                    <w14:schemeClr w14:val="tx1"/>
                  </w14:solidFill>
                </w14:textFill>
              </w:rPr>
            </w:pPr>
            <w:r>
              <w:rPr>
                <w:rFonts w:hint="eastAsia" w:ascii="Times New Roman" w:hAnsi="Times New Roman"/>
                <w:color w:val="000000" w:themeColor="text1"/>
                <w:kern w:val="2"/>
                <w:sz w:val="24"/>
                <w:szCs w:val="24"/>
                <w:lang w:val="en-US" w:eastAsia="zh-CN"/>
                <w14:textFill>
                  <w14:solidFill>
                    <w14:schemeClr w14:val="tx1"/>
                  </w14:solidFill>
                </w14:textFill>
              </w:rPr>
              <w:t>（9）项目人员入厕依托附近农户旱厕，洗漱废水收集后用于场内抑尘。不会对周围地表水环境产生影响。</w:t>
            </w:r>
          </w:p>
          <w:p>
            <w:pPr>
              <w:pStyle w:val="17"/>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color w:val="000000" w:themeColor="text1"/>
                <w:kern w:val="2"/>
                <w:sz w:val="24"/>
                <w:szCs w:val="24"/>
                <w:lang w:val="en-US" w:eastAsia="zh-CN"/>
                <w14:textFill>
                  <w14:solidFill>
                    <w14:schemeClr w14:val="tx1"/>
                  </w14:solidFill>
                </w14:textFill>
              </w:rPr>
            </w:pPr>
            <w:r>
              <w:rPr>
                <w:rFonts w:hint="eastAsia" w:ascii="Times New Roman" w:hAnsi="Times New Roman"/>
                <w:color w:val="000000" w:themeColor="text1"/>
                <w:kern w:val="2"/>
                <w:sz w:val="24"/>
                <w:szCs w:val="24"/>
                <w:lang w:val="en-US" w:eastAsia="zh-CN"/>
                <w14:textFill>
                  <w14:solidFill>
                    <w14:schemeClr w14:val="tx1"/>
                  </w14:solidFill>
                </w14:textFill>
              </w:rPr>
              <w:t>（10）</w:t>
            </w:r>
            <w:r>
              <w:rPr>
                <w:rFonts w:hint="eastAsia" w:ascii="Times New Roman" w:hAnsi="Times New Roman" w:eastAsia="宋体"/>
                <w:color w:val="000000" w:themeColor="text1"/>
                <w:sz w:val="24"/>
                <w14:textFill>
                  <w14:solidFill>
                    <w14:schemeClr w14:val="tx1"/>
                  </w14:solidFill>
                </w14:textFill>
              </w:rPr>
              <w:t>监测计划实施 监测重点为水环境质量，根据施工时间，对不同监测点的监测时间进行适当调整。</w:t>
            </w:r>
            <w:r>
              <w:rPr>
                <w:rFonts w:hint="eastAsia" w:ascii="Times New Roman" w:hAnsi="Times New Roman"/>
                <w:color w:val="000000" w:themeColor="text1"/>
                <w:sz w:val="24"/>
                <w:lang w:eastAsia="zh-CN"/>
                <w14:textFill>
                  <w14:solidFill>
                    <w14:schemeClr w14:val="tx1"/>
                  </w14:solidFill>
                </w14:textFill>
              </w:rPr>
              <w:t>具体监测点位见附图</w:t>
            </w:r>
            <w:r>
              <w:rPr>
                <w:rFonts w:hint="eastAsia" w:ascii="Times New Roman" w:hAnsi="Times New Roman"/>
                <w:color w:val="000000" w:themeColor="text1"/>
                <w:sz w:val="24"/>
                <w:lang w:val="en-US" w:eastAsia="zh-CN"/>
                <w14:textFill>
                  <w14:solidFill>
                    <w14:schemeClr w14:val="tx1"/>
                  </w14:solidFill>
                </w14:textFill>
              </w:rPr>
              <w:t>10，</w:t>
            </w:r>
            <w:r>
              <w:rPr>
                <w:rFonts w:hint="eastAsia" w:ascii="Times New Roman" w:hAnsi="Times New Roman" w:eastAsia="宋体"/>
                <w:color w:val="000000" w:themeColor="text1"/>
                <w:sz w:val="24"/>
                <w14:textFill>
                  <w14:solidFill>
                    <w14:schemeClr w14:val="tx1"/>
                  </w14:solidFill>
                </w14:textFill>
              </w:rPr>
              <w:t>具体监测计划见表</w:t>
            </w:r>
            <w:r>
              <w:rPr>
                <w:rFonts w:hint="eastAsia" w:ascii="Times New Roman" w:hAnsi="Times New Roman" w:eastAsia="宋体"/>
                <w:color w:val="000000" w:themeColor="text1"/>
                <w:sz w:val="24"/>
                <w:lang w:val="en-US" w:eastAsia="zh-CN"/>
                <w14:textFill>
                  <w14:solidFill>
                    <w14:schemeClr w14:val="tx1"/>
                  </w14:solidFill>
                </w14:textFill>
              </w:rPr>
              <w:t>5-1</w:t>
            </w:r>
            <w:r>
              <w:rPr>
                <w:rFonts w:hint="eastAsia" w:ascii="Times New Roman" w:hAnsi="Times New Roman" w:eastAsia="宋体"/>
                <w:color w:val="000000" w:themeColor="text1"/>
                <w:sz w:val="24"/>
                <w14:textFill>
                  <w14:solidFill>
                    <w14:schemeClr w14:val="tx1"/>
                  </w14:solidFill>
                </w14:textFill>
              </w:rPr>
              <w:t>。</w:t>
            </w:r>
          </w:p>
          <w:p>
            <w:pPr>
              <w:pStyle w:val="51"/>
              <w:keepNext w:val="0"/>
              <w:keepLines w:val="0"/>
              <w:pageBreakBefore w:val="0"/>
              <w:widowControl w:val="0"/>
              <w:kinsoku/>
              <w:wordWrap/>
              <w:overflowPunct/>
              <w:topLinePunct w:val="0"/>
              <w:autoSpaceDE/>
              <w:autoSpaceDN/>
              <w:bidi w:val="0"/>
              <w:adjustRightInd/>
              <w:snapToGrid/>
              <w:spacing w:after="0" w:line="240" w:lineRule="auto"/>
              <w:ind w:left="0" w:leftChars="0"/>
              <w:textAlignment w:val="auto"/>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表</w:t>
            </w:r>
            <w:r>
              <w:rPr>
                <w:rFonts w:hint="eastAsia"/>
                <w:color w:val="000000" w:themeColor="text1"/>
                <w:lang w:val="en-US" w:eastAsia="zh-CN"/>
                <w14:textFill>
                  <w14:solidFill>
                    <w14:schemeClr w14:val="tx1"/>
                  </w14:solidFill>
                </w14:textFill>
              </w:rPr>
              <w:t>5-1  施工期环境监测一览表</w:t>
            </w:r>
          </w:p>
          <w:tbl>
            <w:tblPr>
              <w:tblStyle w:val="21"/>
              <w:tblW w:w="77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762"/>
              <w:gridCol w:w="2005"/>
              <w:gridCol w:w="1560"/>
              <w:gridCol w:w="8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556" w:type="dxa"/>
                  <w:tcBorders>
                    <w:tl2br w:val="nil"/>
                    <w:tr2bl w:val="nil"/>
                  </w:tcBorders>
                  <w:noWrap w:val="0"/>
                  <w:vAlign w:val="center"/>
                </w:tcPr>
                <w:p>
                  <w:pPr>
                    <w:pStyle w:val="50"/>
                    <w:bidi w:val="0"/>
                    <w:rPr>
                      <w:color w:val="000000" w:themeColor="text1"/>
                      <w14:textFill>
                        <w14:solidFill>
                          <w14:schemeClr w14:val="tx1"/>
                        </w14:solidFill>
                      </w14:textFill>
                    </w:rPr>
                  </w:pPr>
                  <w:r>
                    <w:rPr>
                      <w:color w:val="000000" w:themeColor="text1"/>
                      <w14:textFill>
                        <w14:solidFill>
                          <w14:schemeClr w14:val="tx1"/>
                        </w14:solidFill>
                      </w14:textFill>
                    </w:rPr>
                    <w:t>类   别</w:t>
                  </w:r>
                </w:p>
              </w:tc>
              <w:tc>
                <w:tcPr>
                  <w:tcW w:w="1762" w:type="dxa"/>
                  <w:tcBorders>
                    <w:tl2br w:val="nil"/>
                    <w:tr2bl w:val="nil"/>
                  </w:tcBorders>
                  <w:noWrap w:val="0"/>
                  <w:vAlign w:val="center"/>
                </w:tcPr>
                <w:p>
                  <w:pPr>
                    <w:pStyle w:val="50"/>
                    <w:bidi w:val="0"/>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2005" w:type="dxa"/>
                  <w:tcBorders>
                    <w:tl2br w:val="nil"/>
                    <w:tr2bl w:val="nil"/>
                  </w:tcBorders>
                  <w:noWrap w:val="0"/>
                  <w:vAlign w:val="center"/>
                </w:tcPr>
                <w:p>
                  <w:pPr>
                    <w:pStyle w:val="50"/>
                    <w:bidi w:val="0"/>
                    <w:rPr>
                      <w:color w:val="000000" w:themeColor="text1"/>
                      <w14:textFill>
                        <w14:solidFill>
                          <w14:schemeClr w14:val="tx1"/>
                        </w14:solidFill>
                      </w14:textFill>
                    </w:rPr>
                  </w:pPr>
                  <w:r>
                    <w:rPr>
                      <w:color w:val="000000" w:themeColor="text1"/>
                      <w14:textFill>
                        <w14:solidFill>
                          <w14:schemeClr w14:val="tx1"/>
                        </w14:solidFill>
                      </w14:textFill>
                    </w:rPr>
                    <w:t>监测点位置</w:t>
                  </w:r>
                </w:p>
              </w:tc>
              <w:tc>
                <w:tcPr>
                  <w:tcW w:w="1560" w:type="dxa"/>
                  <w:tcBorders>
                    <w:tl2br w:val="nil"/>
                    <w:tr2bl w:val="nil"/>
                  </w:tcBorders>
                  <w:noWrap w:val="0"/>
                  <w:vAlign w:val="center"/>
                </w:tcPr>
                <w:p>
                  <w:pPr>
                    <w:pStyle w:val="50"/>
                    <w:bidi w:val="0"/>
                    <w:rPr>
                      <w:color w:val="000000" w:themeColor="text1"/>
                      <w14:textFill>
                        <w14:solidFill>
                          <w14:schemeClr w14:val="tx1"/>
                        </w14:solidFill>
                      </w14:textFill>
                    </w:rPr>
                  </w:pPr>
                  <w:r>
                    <w:rPr>
                      <w:color w:val="000000" w:themeColor="text1"/>
                      <w14:textFill>
                        <w14:solidFill>
                          <w14:schemeClr w14:val="tx1"/>
                        </w14:solidFill>
                      </w14:textFill>
                    </w:rPr>
                    <w:t>监测频率</w:t>
                  </w:r>
                </w:p>
              </w:tc>
              <w:tc>
                <w:tcPr>
                  <w:tcW w:w="874" w:type="dxa"/>
                  <w:tcBorders>
                    <w:tl2br w:val="nil"/>
                    <w:tr2bl w:val="nil"/>
                  </w:tcBorders>
                  <w:noWrap w:val="0"/>
                  <w:vAlign w:val="center"/>
                </w:tcPr>
                <w:p>
                  <w:pPr>
                    <w:pStyle w:val="50"/>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1556" w:type="dxa"/>
                  <w:tcBorders>
                    <w:tl2br w:val="nil"/>
                    <w:tr2bl w:val="nil"/>
                  </w:tcBorders>
                  <w:noWrap w:val="0"/>
                  <w:vAlign w:val="center"/>
                </w:tcPr>
                <w:p>
                  <w:pPr>
                    <w:pStyle w:val="50"/>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水环境</w:t>
                  </w:r>
                </w:p>
              </w:tc>
              <w:tc>
                <w:tcPr>
                  <w:tcW w:w="1762" w:type="dxa"/>
                  <w:tcBorders>
                    <w:tl2br w:val="nil"/>
                    <w:tr2bl w:val="nil"/>
                  </w:tcBorders>
                  <w:noWrap w:val="0"/>
                  <w:vAlign w:val="center"/>
                </w:tcPr>
                <w:p>
                  <w:pPr>
                    <w:pStyle w:val="50"/>
                    <w:bidi w:val="0"/>
                    <w:rPr>
                      <w:rFonts w:hint="default"/>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pH</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SS</w:t>
                  </w:r>
                  <w:r>
                    <w:rPr>
                      <w:rFonts w:hint="eastAsia"/>
                      <w:color w:val="000000" w:themeColor="text1"/>
                      <w:lang w:val="en-US" w:eastAsia="zh-CN"/>
                      <w14:textFill>
                        <w14:solidFill>
                          <w14:schemeClr w14:val="tx1"/>
                        </w14:solidFill>
                      </w14:textFill>
                    </w:rPr>
                    <w:t>、氨氮、化学需氧量、生化需氧量、总磷、总氮等</w:t>
                  </w:r>
                </w:p>
              </w:tc>
              <w:tc>
                <w:tcPr>
                  <w:tcW w:w="2005" w:type="dxa"/>
                  <w:tcBorders>
                    <w:tl2br w:val="nil"/>
                    <w:tr2bl w:val="nil"/>
                  </w:tcBorders>
                  <w:noWrap w:val="0"/>
                  <w:vAlign w:val="center"/>
                </w:tcPr>
                <w:p>
                  <w:pPr>
                    <w:pStyle w:val="50"/>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本治理河段起点上游</w:t>
                  </w:r>
                  <w:r>
                    <w:rPr>
                      <w:color w:val="000000" w:themeColor="text1"/>
                      <w:lang w:val="en-US" w:eastAsia="zh-CN"/>
                      <w14:textFill>
                        <w14:solidFill>
                          <w14:schemeClr w14:val="tx1"/>
                        </w14:solidFill>
                      </w14:textFill>
                    </w:rPr>
                    <w:t>500m</w:t>
                  </w:r>
                  <w:r>
                    <w:rPr>
                      <w:rFonts w:hint="eastAsia"/>
                      <w:color w:val="000000" w:themeColor="text1"/>
                      <w:lang w:val="en-US" w:eastAsia="zh-CN"/>
                      <w14:textFill>
                        <w14:solidFill>
                          <w14:schemeClr w14:val="tx1"/>
                        </w14:solidFill>
                      </w14:textFill>
                    </w:rPr>
                    <w:t>、治理河段点下游</w:t>
                  </w:r>
                  <w:r>
                    <w:rPr>
                      <w:rFonts w:hint="default"/>
                      <w:color w:val="000000" w:themeColor="text1"/>
                      <w:lang w:val="en-US" w:eastAsia="zh-CN"/>
                      <w14:textFill>
                        <w14:solidFill>
                          <w14:schemeClr w14:val="tx1"/>
                        </w14:solidFill>
                      </w14:textFill>
                    </w:rPr>
                    <w:t>1000m</w:t>
                  </w:r>
                </w:p>
              </w:tc>
              <w:tc>
                <w:tcPr>
                  <w:tcW w:w="1560" w:type="dxa"/>
                  <w:tcBorders>
                    <w:tl2br w:val="nil"/>
                    <w:tr2bl w:val="nil"/>
                  </w:tcBorders>
                  <w:noWrap w:val="0"/>
                  <w:vAlign w:val="center"/>
                </w:tcPr>
                <w:p>
                  <w:pPr>
                    <w:pStyle w:val="50"/>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监测</w:t>
                  </w:r>
                  <w:r>
                    <w:rPr>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期；取样</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次</w:t>
                  </w:r>
                </w:p>
              </w:tc>
              <w:tc>
                <w:tcPr>
                  <w:tcW w:w="874" w:type="dxa"/>
                  <w:tcBorders>
                    <w:tl2br w:val="nil"/>
                    <w:tr2bl w:val="nil"/>
                  </w:tcBorders>
                  <w:noWrap w:val="0"/>
                  <w:vAlign w:val="center"/>
                </w:tcPr>
                <w:p>
                  <w:pPr>
                    <w:pStyle w:val="50"/>
                    <w:bidi w:val="0"/>
                    <w:rPr>
                      <w:color w:val="000000" w:themeColor="text1"/>
                      <w14:textFill>
                        <w14:solidFill>
                          <w14:schemeClr w14:val="tx1"/>
                        </w14:solidFill>
                      </w14:textFill>
                    </w:rPr>
                  </w:pP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在采取上述废水防治措施后，可有效控制施工期废水对周边环境的影响。</w:t>
            </w:r>
          </w:p>
          <w:p>
            <w:pPr>
              <w:pStyle w:val="10"/>
              <w:keepNext w:val="0"/>
              <w:keepLines w:val="0"/>
              <w:pageBreakBefore w:val="0"/>
              <w:widowControl w:val="0"/>
              <w:kinsoku/>
              <w:wordWrap/>
              <w:overflowPunct/>
              <w:topLinePunct w:val="0"/>
              <w:autoSpaceDE/>
              <w:autoSpaceDN/>
              <w:bidi w:val="0"/>
              <w:spacing w:line="360" w:lineRule="auto"/>
              <w:textAlignment w:val="auto"/>
              <w:rPr>
                <w:rFonts w:ascii="Times New Roman" w:hAnsi="Times New Roman" w:eastAsia="宋体"/>
                <w:b/>
                <w:color w:val="000000" w:themeColor="text1"/>
                <w:sz w:val="24"/>
                <w:szCs w:val="24"/>
                <w14:textFill>
                  <w14:solidFill>
                    <w14:schemeClr w14:val="tx1"/>
                  </w14:solidFill>
                </w14:textFill>
              </w:rPr>
            </w:pPr>
            <w:r>
              <w:rPr>
                <w:rFonts w:hint="eastAsia"/>
                <w:b/>
                <w:bCs/>
                <w:color w:val="000000" w:themeColor="text1"/>
                <w:sz w:val="24"/>
                <w:szCs w:val="36"/>
                <w:lang w:val="en-US" w:eastAsia="zh-CN"/>
                <w14:textFill>
                  <w14:solidFill>
                    <w14:schemeClr w14:val="tx1"/>
                  </w14:solidFill>
                </w14:textFill>
              </w:rPr>
              <w:t>4</w:t>
            </w:r>
            <w:r>
              <w:rPr>
                <w:rFonts w:hint="eastAsia"/>
                <w:b/>
                <w:color w:val="000000" w:themeColor="text1"/>
                <w:sz w:val="24"/>
                <w:szCs w:val="24"/>
                <w:lang w:val="en-US" w:eastAsia="zh-CN"/>
                <w14:textFill>
                  <w14:solidFill>
                    <w14:schemeClr w14:val="tx1"/>
                  </w14:solidFill>
                </w14:textFill>
              </w:rPr>
              <w:t>、</w:t>
            </w:r>
            <w:r>
              <w:rPr>
                <w:rFonts w:ascii="Times New Roman" w:hAnsi="Times New Roman" w:eastAsia="宋体"/>
                <w:b/>
                <w:color w:val="000000" w:themeColor="text1"/>
                <w:sz w:val="24"/>
                <w:szCs w:val="24"/>
                <w14:textFill>
                  <w14:solidFill>
                    <w14:schemeClr w14:val="tx1"/>
                  </w14:solidFill>
                </w14:textFill>
              </w:rPr>
              <w:t>固废污染防治措施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拟建项目产生的废渣主要包括施工人员生活垃圾、建筑垃圾、剩余土方等。为妥善处理施工过程产生的固体废弃物，针对项目固体废弃物产生特点，应采取如下措施：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（1）</w:t>
            </w:r>
            <w:r>
              <w:rPr>
                <w:rFonts w:hint="eastAsia" w:ascii="Times New Roman" w:hAnsi="Times New Roman" w:eastAsia="宋体" w:cs="宋体"/>
                <w:bCs/>
                <w:color w:val="000000" w:themeColor="text1"/>
                <w:sz w:val="24"/>
                <w:szCs w:val="24"/>
                <w14:textFill>
                  <w14:solidFill>
                    <w14:schemeClr w14:val="tx1"/>
                  </w14:solidFill>
                </w14:textFill>
              </w:rPr>
              <w:t>生活垃圾应定点堆放，及时清运至</w:t>
            </w:r>
            <w:r>
              <w:rPr>
                <w:rFonts w:hint="eastAsia" w:cs="宋体"/>
                <w:bCs/>
                <w:color w:val="000000" w:themeColor="text1"/>
                <w:sz w:val="24"/>
                <w:szCs w:val="24"/>
                <w:lang w:eastAsia="zh-CN"/>
                <w14:textFill>
                  <w14:solidFill>
                    <w14:schemeClr w14:val="tx1"/>
                  </w14:solidFill>
                </w14:textFill>
              </w:rPr>
              <w:t>附近村庄生活垃圾暂存点</w:t>
            </w:r>
            <w:r>
              <w:rPr>
                <w:rFonts w:hint="eastAsia" w:ascii="Times New Roman" w:hAnsi="Times New Roman" w:eastAsia="宋体" w:cs="宋体"/>
                <w:bCs/>
                <w:color w:val="000000" w:themeColor="text1"/>
                <w:sz w:val="24"/>
                <w:szCs w:val="24"/>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宋体"/>
                <w:bCs/>
                <w:color w:val="000000" w:themeColor="text1"/>
                <w:sz w:val="24"/>
                <w14:textFill>
                  <w14:solidFill>
                    <w14:schemeClr w14:val="tx1"/>
                  </w14:solidFill>
                </w14:textFill>
              </w:rPr>
            </w:pPr>
            <w:r>
              <w:rPr>
                <w:rFonts w:hint="eastAsia" w:ascii="Times New Roman" w:hAnsi="Times New Roman" w:eastAsia="宋体" w:cs="宋体"/>
                <w:bCs/>
                <w:color w:val="000000" w:themeColor="text1"/>
                <w:sz w:val="24"/>
                <w14:textFill>
                  <w14:solidFill>
                    <w14:schemeClr w14:val="tx1"/>
                  </w14:solidFill>
                </w14:textFill>
              </w:rPr>
              <w:t>（2）废弃建筑材料应设置专门临时堆放点，</w:t>
            </w:r>
            <w:r>
              <w:rPr>
                <w:rFonts w:hint="eastAsia" w:ascii="Times New Roman" w:hAnsi="Times New Roman" w:eastAsia="宋体" w:cs="宋体"/>
                <w:bCs/>
                <w:color w:val="000000" w:themeColor="text1"/>
                <w:sz w:val="24"/>
                <w:lang w:eastAsia="zh-CN"/>
                <w14:textFill>
                  <w14:solidFill>
                    <w14:schemeClr w14:val="tx1"/>
                  </w14:solidFill>
                </w14:textFill>
              </w:rPr>
              <w:t>堆放点应设置在远离河道，底部采取塑料布敷设，并</w:t>
            </w:r>
            <w:r>
              <w:rPr>
                <w:rFonts w:hint="eastAsia" w:ascii="Times New Roman" w:hAnsi="Times New Roman" w:eastAsia="宋体" w:cs="宋体"/>
                <w:bCs/>
                <w:color w:val="000000" w:themeColor="text1"/>
                <w:sz w:val="24"/>
                <w14:textFill>
                  <w14:solidFill>
                    <w14:schemeClr w14:val="tx1"/>
                  </w14:solidFill>
                </w14:textFill>
              </w:rPr>
              <w:t>采用防尘、防遗漏车辆及时外运；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（3）</w:t>
            </w:r>
            <w:r>
              <w:rPr>
                <w:rFonts w:hint="eastAsia" w:ascii="Times New Roman" w:hAnsi="Times New Roman" w:eastAsia="宋体" w:cs="宋体"/>
                <w:bCs/>
                <w:color w:val="000000" w:themeColor="text1"/>
                <w:sz w:val="24"/>
                <w:szCs w:val="24"/>
                <w14:textFill>
                  <w14:solidFill>
                    <w14:schemeClr w14:val="tx1"/>
                  </w14:solidFill>
                </w14:textFill>
              </w:rPr>
              <w:t>项目区内建筑垃圾外运时，合理选择路线及运输时段，避免城市交通高峰期，以减轻城市交通压力；</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（4）</w:t>
            </w:r>
            <w:r>
              <w:rPr>
                <w:rFonts w:hint="eastAsia" w:ascii="Times New Roman" w:hAnsi="Times New Roman" w:eastAsia="宋体" w:cs="宋体"/>
                <w:bCs/>
                <w:color w:val="000000" w:themeColor="text1"/>
                <w:sz w:val="24"/>
                <w:szCs w:val="24"/>
                <w14:textFill>
                  <w14:solidFill>
                    <w14:schemeClr w14:val="tx1"/>
                  </w14:solidFill>
                </w14:textFill>
              </w:rPr>
              <w:t>物料临时堆放场所应设置防尘措施，及时清运，避免在施工现场长时间存放，以免雨水冲淋，产生地面污水，对外环境造成污染；</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（5）</w:t>
            </w:r>
            <w:r>
              <w:rPr>
                <w:rFonts w:ascii="Times New Roman" w:hAnsi="Times New Roman" w:eastAsia="宋体"/>
                <w:color w:val="000000" w:themeColor="text1"/>
                <w:sz w:val="24"/>
                <w:szCs w:val="24"/>
                <w14:textFill>
                  <w14:solidFill>
                    <w14:schemeClr w14:val="tx1"/>
                  </w14:solidFill>
                </w14:textFill>
              </w:rPr>
              <w:t>施工土石挖方主要用于</w:t>
            </w:r>
            <w:r>
              <w:rPr>
                <w:rFonts w:hint="eastAsia"/>
                <w:color w:val="000000" w:themeColor="text1"/>
                <w:sz w:val="24"/>
                <w:szCs w:val="24"/>
                <w:lang w:eastAsia="zh-CN"/>
                <w14:textFill>
                  <w14:solidFill>
                    <w14:schemeClr w14:val="tx1"/>
                  </w14:solidFill>
                </w14:textFill>
              </w:rPr>
              <w:t>基础</w:t>
            </w:r>
            <w:r>
              <w:rPr>
                <w:rFonts w:ascii="Times New Roman" w:hAnsi="Times New Roman" w:eastAsia="宋体"/>
                <w:color w:val="000000" w:themeColor="text1"/>
                <w:sz w:val="24"/>
                <w:szCs w:val="24"/>
                <w14:textFill>
                  <w14:solidFill>
                    <w14:schemeClr w14:val="tx1"/>
                  </w14:solidFill>
                </w14:textFill>
              </w:rPr>
              <w:t>回填，少量可用于</w:t>
            </w:r>
            <w:r>
              <w:rPr>
                <w:rFonts w:hint="eastAsia" w:ascii="Times New Roman" w:hAnsi="Times New Roman" w:eastAsia="宋体"/>
                <w:color w:val="000000" w:themeColor="text1"/>
                <w:sz w:val="24"/>
                <w:szCs w:val="24"/>
                <w14:textFill>
                  <w14:solidFill>
                    <w14:schemeClr w14:val="tx1"/>
                  </w14:solidFill>
                </w14:textFill>
              </w:rPr>
              <w:t>周围绿化</w:t>
            </w:r>
            <w:r>
              <w:rPr>
                <w:rFonts w:ascii="Times New Roman" w:hAnsi="Times New Roman" w:eastAsia="宋体"/>
                <w:color w:val="000000" w:themeColor="text1"/>
                <w:sz w:val="24"/>
                <w:szCs w:val="24"/>
                <w14:textFill>
                  <w14:solidFill>
                    <w14:schemeClr w14:val="tx1"/>
                  </w14:solidFill>
                </w14:textFill>
              </w:rPr>
              <w:t>及边坡整治，工程无弃方。</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（6）</w:t>
            </w:r>
            <w:r>
              <w:rPr>
                <w:rFonts w:hint="eastAsia" w:ascii="Times New Roman" w:hAnsi="Times New Roman" w:eastAsia="宋体" w:cs="宋体"/>
                <w:bCs/>
                <w:color w:val="000000" w:themeColor="text1"/>
                <w:sz w:val="24"/>
                <w:szCs w:val="24"/>
                <w14:textFill>
                  <w14:solidFill>
                    <w14:schemeClr w14:val="tx1"/>
                  </w14:solidFill>
                </w14:textFill>
              </w:rPr>
              <w:t>物料运输过程中，应覆盖防尘网布，防止洒落，引发扬尘污染；</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olor w:val="000000" w:themeColor="text1"/>
                <w:kern w:val="0"/>
                <w:sz w:val="24"/>
                <w:szCs w:val="24"/>
                <w14:textFill>
                  <w14:solidFill>
                    <w14:schemeClr w14:val="tx1"/>
                  </w14:solidFill>
                </w14:textFill>
              </w:rPr>
              <w:t>（7）</w:t>
            </w:r>
            <w:r>
              <w:rPr>
                <w:rFonts w:hint="eastAsia" w:ascii="Times New Roman" w:hAnsi="Times New Roman" w:eastAsia="宋体" w:cs="宋体"/>
                <w:bCs/>
                <w:color w:val="000000" w:themeColor="text1"/>
                <w:sz w:val="24"/>
                <w:szCs w:val="24"/>
                <w14:textFill>
                  <w14:solidFill>
                    <w14:schemeClr w14:val="tx1"/>
                  </w14:solidFill>
                </w14:textFill>
              </w:rPr>
              <w:t>加强施工管理，文明施工，提高原料利用率，节约原料，降低固体废弃物产生量。</w:t>
            </w:r>
          </w:p>
          <w:p>
            <w:pPr>
              <w:keepNext w:val="0"/>
              <w:keepLines w:val="0"/>
              <w:pageBreakBefore w:val="0"/>
              <w:widowControl w:val="0"/>
              <w:kinsoku/>
              <w:wordWrap/>
              <w:overflowPunct/>
              <w:topLinePunct w:val="0"/>
              <w:autoSpaceDE/>
              <w:autoSpaceDN/>
              <w:bidi w:val="0"/>
              <w:spacing w:line="360" w:lineRule="auto"/>
              <w:ind w:firstLine="570"/>
              <w:textAlignment w:val="auto"/>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采取上述措施，可有效减小固体废弃物对外环境的影响，则施工产生的固体废弃物对外环境影响较小。</w:t>
            </w:r>
          </w:p>
          <w:p>
            <w:pPr>
              <w:pStyle w:val="47"/>
              <w:spacing w:line="360" w:lineRule="auto"/>
              <w:ind w:right="-1" w:firstLine="0" w:firstLineChars="0"/>
              <w:contextualSpacing/>
              <w:outlineLvl w:val="2"/>
              <w:rPr>
                <w:rFonts w:ascii="Times New Roman" w:hAnsi="Times New Roman" w:eastAsia="宋体"/>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5、</w:t>
            </w:r>
            <w:r>
              <w:rPr>
                <w:rFonts w:ascii="Times New Roman" w:hAnsi="Times New Roman" w:eastAsia="宋体"/>
                <w:b/>
                <w:color w:val="000000" w:themeColor="text1"/>
                <w:sz w:val="24"/>
                <w:szCs w:val="24"/>
                <w14:textFill>
                  <w14:solidFill>
                    <w14:schemeClr w14:val="tx1"/>
                  </w14:solidFill>
                </w14:textFill>
              </w:rPr>
              <w:t>噪声污染防治措施</w:t>
            </w:r>
          </w:p>
          <w:p>
            <w:pPr>
              <w:adjustRightInd w:val="0"/>
              <w:spacing w:line="360" w:lineRule="auto"/>
              <w:ind w:firstLine="482"/>
              <w:contextualSpacing/>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本项目噪声声源主要是施工设备产生的机械噪声和运输车辆，施工设备有电焊机、电钻机及运输车辆等。为有效降低噪声排放强度，需采取以下防治措施：</w:t>
            </w:r>
          </w:p>
          <w:p>
            <w:pPr>
              <w:adjustRightInd w:val="0"/>
              <w:spacing w:line="360" w:lineRule="auto"/>
              <w:ind w:firstLine="482"/>
              <w:contextualSpacing/>
              <w:rPr>
                <w:rFonts w:ascii="Times New Roman" w:hAnsi="Times New Roman" w:eastAsia="宋体"/>
                <w:color w:val="FF0000"/>
                <w:sz w:val="24"/>
                <w:szCs w:val="24"/>
              </w:rPr>
            </w:pPr>
            <w:r>
              <w:rPr>
                <w:rFonts w:hint="eastAsia" w:ascii="Times New Roman" w:hAnsi="Times New Roman" w:eastAsia="宋体"/>
                <w:bCs/>
                <w:color w:val="FF0000"/>
                <w:sz w:val="24"/>
                <w:szCs w:val="24"/>
              </w:rPr>
              <w:t>（1）</w:t>
            </w:r>
            <w:r>
              <w:rPr>
                <w:rFonts w:ascii="Times New Roman" w:hAnsi="Times New Roman" w:eastAsia="宋体"/>
                <w:color w:val="FF0000"/>
                <w:sz w:val="24"/>
                <w:szCs w:val="24"/>
              </w:rPr>
              <w:t>施工过程中对机械噪声加强管理，使用低噪声、先进的设备</w:t>
            </w:r>
            <w:r>
              <w:rPr>
                <w:rFonts w:hint="eastAsia" w:ascii="Times New Roman" w:hAnsi="Times New Roman" w:eastAsia="宋体"/>
                <w:color w:val="FF0000"/>
                <w:sz w:val="24"/>
                <w:szCs w:val="24"/>
              </w:rPr>
              <w:t>；</w:t>
            </w:r>
          </w:p>
          <w:p>
            <w:pPr>
              <w:adjustRightInd w:val="0"/>
              <w:spacing w:line="360" w:lineRule="auto"/>
              <w:ind w:firstLine="482"/>
              <w:contextualSpacing/>
              <w:rPr>
                <w:rFonts w:ascii="Times New Roman" w:hAnsi="Times New Roman" w:eastAsia="宋体"/>
                <w:color w:val="FF0000"/>
                <w:sz w:val="24"/>
                <w:szCs w:val="24"/>
              </w:rPr>
            </w:pPr>
            <w:r>
              <w:rPr>
                <w:rFonts w:hint="eastAsia" w:ascii="Times New Roman" w:hAnsi="Times New Roman" w:eastAsia="宋体"/>
                <w:bCs/>
                <w:color w:val="FF0000"/>
                <w:sz w:val="24"/>
                <w:szCs w:val="24"/>
              </w:rPr>
              <w:t>（2）</w:t>
            </w:r>
            <w:r>
              <w:rPr>
                <w:rFonts w:ascii="Times New Roman" w:hAnsi="Times New Roman" w:eastAsia="宋体"/>
                <w:color w:val="FF0000"/>
                <w:sz w:val="24"/>
                <w:szCs w:val="24"/>
              </w:rPr>
              <w:t>定期对</w:t>
            </w:r>
            <w:r>
              <w:rPr>
                <w:rFonts w:hint="eastAsia" w:ascii="Times New Roman" w:hAnsi="Times New Roman" w:eastAsia="宋体"/>
                <w:color w:val="FF0000"/>
                <w:sz w:val="24"/>
                <w:szCs w:val="24"/>
              </w:rPr>
              <w:t>施工设备等</w:t>
            </w:r>
            <w:r>
              <w:rPr>
                <w:rFonts w:ascii="Times New Roman" w:hAnsi="Times New Roman" w:eastAsia="宋体"/>
                <w:color w:val="FF0000"/>
                <w:sz w:val="24"/>
                <w:szCs w:val="24"/>
              </w:rPr>
              <w:t>进行维护，确保设备良性工作，并采取必要的噪声控制措施；</w:t>
            </w:r>
          </w:p>
          <w:p>
            <w:pPr>
              <w:adjustRightInd w:val="0"/>
              <w:spacing w:line="360" w:lineRule="auto"/>
              <w:ind w:firstLine="482"/>
              <w:contextualSpacing/>
              <w:rPr>
                <w:rFonts w:ascii="Times New Roman" w:hAnsi="Times New Roman" w:eastAsia="宋体"/>
                <w:color w:val="FF0000"/>
                <w:sz w:val="24"/>
                <w:szCs w:val="24"/>
              </w:rPr>
            </w:pPr>
            <w:r>
              <w:rPr>
                <w:rFonts w:hint="eastAsia" w:ascii="Times New Roman" w:hAnsi="Times New Roman" w:eastAsia="宋体"/>
                <w:color w:val="FF0000"/>
                <w:sz w:val="24"/>
                <w:szCs w:val="24"/>
              </w:rPr>
              <w:t>（3）</w:t>
            </w:r>
            <w:r>
              <w:rPr>
                <w:rFonts w:ascii="Times New Roman" w:hAnsi="Times New Roman" w:eastAsia="宋体"/>
                <w:color w:val="FF0000"/>
                <w:sz w:val="24"/>
                <w:szCs w:val="24"/>
              </w:rPr>
              <w:t>施工过程应合理安排施工工段，避免高噪声设备在同一作业面同时施工，增加噪声局部排放强度；</w:t>
            </w:r>
          </w:p>
          <w:p>
            <w:pPr>
              <w:spacing w:line="360" w:lineRule="auto"/>
              <w:ind w:firstLine="482"/>
              <w:contextualSpacing/>
              <w:rPr>
                <w:rFonts w:ascii="Times New Roman" w:hAnsi="Times New Roman" w:eastAsia="宋体"/>
                <w:color w:val="FF0000"/>
                <w:sz w:val="24"/>
                <w:szCs w:val="24"/>
              </w:rPr>
            </w:pPr>
            <w:r>
              <w:rPr>
                <w:rFonts w:hint="eastAsia" w:ascii="Times New Roman" w:hAnsi="Times New Roman" w:eastAsia="宋体"/>
                <w:color w:val="FF0000"/>
                <w:sz w:val="24"/>
                <w:szCs w:val="24"/>
              </w:rPr>
              <w:t>（4）</w:t>
            </w:r>
            <w:r>
              <w:rPr>
                <w:rFonts w:ascii="Times New Roman" w:hAnsi="Times New Roman" w:eastAsia="宋体"/>
                <w:color w:val="FF0000"/>
                <w:sz w:val="24"/>
                <w:szCs w:val="24"/>
              </w:rPr>
              <w:t>应加强施工现场的环境管理，严格执行《建筑施工场界环境噪声排放标准》(GB12523-2011)要求，确保噪声达标排放</w:t>
            </w:r>
            <w:r>
              <w:rPr>
                <w:rFonts w:hint="eastAsia" w:ascii="Times New Roman" w:hAnsi="Times New Roman" w:eastAsia="宋体"/>
                <w:color w:val="FF0000"/>
                <w:sz w:val="24"/>
                <w:szCs w:val="24"/>
              </w:rPr>
              <w:t>；</w:t>
            </w:r>
          </w:p>
          <w:p>
            <w:pPr>
              <w:spacing w:line="360" w:lineRule="auto"/>
              <w:ind w:right="-1" w:firstLine="482"/>
              <w:contextualSpacing/>
              <w:rPr>
                <w:rFonts w:ascii="Times New Roman" w:hAnsi="Times New Roman" w:eastAsia="宋体"/>
                <w:color w:val="FF0000"/>
                <w:sz w:val="24"/>
                <w:szCs w:val="24"/>
              </w:rPr>
            </w:pPr>
            <w:r>
              <w:rPr>
                <w:rFonts w:hint="eastAsia" w:ascii="Times New Roman" w:hAnsi="Times New Roman" w:eastAsia="宋体"/>
                <w:color w:val="FF0000"/>
                <w:sz w:val="24"/>
                <w:szCs w:val="24"/>
              </w:rPr>
              <w:t>（5）</w:t>
            </w:r>
            <w:r>
              <w:rPr>
                <w:rFonts w:hint="eastAsia"/>
                <w:color w:val="FF0000"/>
                <w:sz w:val="24"/>
                <w:szCs w:val="24"/>
                <w:lang w:eastAsia="zh-CN"/>
              </w:rPr>
              <w:t>治理段</w:t>
            </w:r>
            <w:r>
              <w:rPr>
                <w:rFonts w:ascii="Times New Roman" w:hAnsi="Times New Roman" w:eastAsia="宋体"/>
                <w:color w:val="FF0000"/>
                <w:sz w:val="24"/>
                <w:szCs w:val="24"/>
              </w:rPr>
              <w:t>两侧</w:t>
            </w:r>
            <w:r>
              <w:rPr>
                <w:rFonts w:hint="eastAsia" w:ascii="Times New Roman" w:hAnsi="Times New Roman" w:eastAsia="宋体"/>
                <w:color w:val="FF0000"/>
                <w:sz w:val="24"/>
                <w:szCs w:val="24"/>
              </w:rPr>
              <w:t>200</w:t>
            </w:r>
            <w:r>
              <w:rPr>
                <w:rFonts w:ascii="Times New Roman" w:hAnsi="Times New Roman" w:eastAsia="宋体"/>
                <w:color w:val="FF0000"/>
                <w:sz w:val="24"/>
                <w:szCs w:val="24"/>
              </w:rPr>
              <w:t>m范围内分布有噪声敏感点的地段，应合理安排施工时间，尽量避开午休时间</w:t>
            </w:r>
            <w:r>
              <w:rPr>
                <w:rFonts w:hint="eastAsia" w:ascii="Times New Roman" w:hAnsi="Times New Roman" w:eastAsia="宋体"/>
                <w:color w:val="FF0000"/>
                <w:sz w:val="24"/>
                <w:szCs w:val="24"/>
              </w:rPr>
              <w:t>；</w:t>
            </w:r>
          </w:p>
          <w:p>
            <w:pPr>
              <w:spacing w:line="360" w:lineRule="auto"/>
              <w:ind w:right="-1" w:firstLine="482"/>
              <w:contextualSpacing/>
              <w:rPr>
                <w:rFonts w:ascii="Times New Roman" w:hAnsi="Times New Roman" w:eastAsia="宋体"/>
                <w:color w:val="FF0000"/>
                <w:sz w:val="24"/>
                <w:szCs w:val="24"/>
              </w:rPr>
            </w:pPr>
            <w:r>
              <w:rPr>
                <w:rFonts w:hint="eastAsia" w:ascii="Times New Roman" w:hAnsi="Times New Roman" w:eastAsia="宋体"/>
                <w:color w:val="FF0000"/>
                <w:sz w:val="24"/>
                <w:szCs w:val="24"/>
              </w:rPr>
              <w:t>（6）</w:t>
            </w:r>
            <w:r>
              <w:rPr>
                <w:rFonts w:ascii="Times New Roman" w:hAnsi="Times New Roman" w:eastAsia="宋体"/>
                <w:color w:val="FF0000"/>
                <w:sz w:val="24"/>
                <w:szCs w:val="24"/>
              </w:rPr>
              <w:t>要求对施工机械及时进行维护和保养，加强施工管理，文明施工</w:t>
            </w:r>
            <w:r>
              <w:rPr>
                <w:rFonts w:hint="eastAsia" w:ascii="Times New Roman" w:hAnsi="Times New Roman" w:eastAsia="宋体"/>
                <w:color w:val="FF0000"/>
                <w:sz w:val="24"/>
                <w:szCs w:val="24"/>
              </w:rPr>
              <w:t>；</w:t>
            </w:r>
          </w:p>
          <w:p>
            <w:pPr>
              <w:spacing w:line="360" w:lineRule="auto"/>
              <w:ind w:right="-1" w:firstLine="482"/>
              <w:contextualSpacing/>
              <w:rPr>
                <w:rFonts w:ascii="Times New Roman" w:hAnsi="Times New Roman" w:eastAsia="宋体"/>
                <w:color w:val="FF0000"/>
                <w:sz w:val="24"/>
                <w:szCs w:val="24"/>
              </w:rPr>
            </w:pPr>
            <w:r>
              <w:rPr>
                <w:rFonts w:hint="eastAsia" w:ascii="Times New Roman" w:hAnsi="Times New Roman" w:eastAsia="宋体"/>
                <w:color w:val="FF0000"/>
                <w:sz w:val="24"/>
                <w:szCs w:val="24"/>
              </w:rPr>
              <w:t>（7）尽量</w:t>
            </w:r>
            <w:r>
              <w:rPr>
                <w:rFonts w:ascii="Times New Roman" w:hAnsi="Times New Roman" w:eastAsia="宋体"/>
                <w:color w:val="FF0000"/>
                <w:sz w:val="24"/>
                <w:szCs w:val="24"/>
              </w:rPr>
              <w:t>缩短工期，减少施工噪声对周围居民日常生活影响</w:t>
            </w:r>
            <w:r>
              <w:rPr>
                <w:rFonts w:hint="eastAsia" w:ascii="Times New Roman" w:hAnsi="Times New Roman" w:eastAsia="宋体"/>
                <w:color w:val="FF0000"/>
                <w:sz w:val="24"/>
                <w:szCs w:val="24"/>
              </w:rPr>
              <w:t>。</w:t>
            </w:r>
          </w:p>
          <w:p>
            <w:pPr>
              <w:spacing w:line="360" w:lineRule="auto"/>
              <w:ind w:right="-1" w:firstLine="482"/>
              <w:contextualSpacing/>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（8）噪声监测计划</w:t>
            </w:r>
          </w:p>
          <w:p>
            <w:pPr>
              <w:pStyle w:val="51"/>
              <w:keepNext w:val="0"/>
              <w:keepLines w:val="0"/>
              <w:pageBreakBefore w:val="0"/>
              <w:widowControl w:val="0"/>
              <w:kinsoku/>
              <w:wordWrap/>
              <w:overflowPunct/>
              <w:topLinePunct w:val="0"/>
              <w:autoSpaceDE/>
              <w:autoSpaceDN/>
              <w:bidi w:val="0"/>
              <w:adjustRightInd/>
              <w:snapToGrid/>
              <w:spacing w:after="0" w:line="240" w:lineRule="auto"/>
              <w:ind w:left="0" w:leftChars="0"/>
              <w:textAlignment w:val="auto"/>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表</w:t>
            </w:r>
            <w:r>
              <w:rPr>
                <w:rFonts w:hint="eastAsia"/>
                <w:color w:val="000000" w:themeColor="text1"/>
                <w:lang w:val="en-US" w:eastAsia="zh-CN"/>
                <w14:textFill>
                  <w14:solidFill>
                    <w14:schemeClr w14:val="tx1"/>
                  </w14:solidFill>
                </w14:textFill>
              </w:rPr>
              <w:t>5-2  施工期环境监测一览表</w:t>
            </w:r>
          </w:p>
          <w:tbl>
            <w:tblPr>
              <w:tblStyle w:val="21"/>
              <w:tblW w:w="7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798"/>
              <w:gridCol w:w="2047"/>
              <w:gridCol w:w="1593"/>
              <w:gridCol w:w="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88" w:type="dxa"/>
                  <w:tcBorders>
                    <w:tl2br w:val="nil"/>
                    <w:tr2bl w:val="nil"/>
                  </w:tcBorders>
                  <w:noWrap w:val="0"/>
                  <w:vAlign w:val="center"/>
                </w:tcPr>
                <w:p>
                  <w:pPr>
                    <w:pStyle w:val="50"/>
                    <w:bidi w:val="0"/>
                    <w:rPr>
                      <w:color w:val="000000" w:themeColor="text1"/>
                      <w14:textFill>
                        <w14:solidFill>
                          <w14:schemeClr w14:val="tx1"/>
                        </w14:solidFill>
                      </w14:textFill>
                    </w:rPr>
                  </w:pPr>
                  <w:r>
                    <w:rPr>
                      <w:color w:val="000000" w:themeColor="text1"/>
                      <w14:textFill>
                        <w14:solidFill>
                          <w14:schemeClr w14:val="tx1"/>
                        </w14:solidFill>
                      </w14:textFill>
                    </w:rPr>
                    <w:t>类   别</w:t>
                  </w:r>
                </w:p>
              </w:tc>
              <w:tc>
                <w:tcPr>
                  <w:tcW w:w="1798" w:type="dxa"/>
                  <w:tcBorders>
                    <w:tl2br w:val="nil"/>
                    <w:tr2bl w:val="nil"/>
                  </w:tcBorders>
                  <w:noWrap w:val="0"/>
                  <w:vAlign w:val="center"/>
                </w:tcPr>
                <w:p>
                  <w:pPr>
                    <w:pStyle w:val="50"/>
                    <w:bidi w:val="0"/>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2047" w:type="dxa"/>
                  <w:tcBorders>
                    <w:tl2br w:val="nil"/>
                    <w:tr2bl w:val="nil"/>
                  </w:tcBorders>
                  <w:noWrap w:val="0"/>
                  <w:vAlign w:val="center"/>
                </w:tcPr>
                <w:p>
                  <w:pPr>
                    <w:pStyle w:val="50"/>
                    <w:bidi w:val="0"/>
                    <w:rPr>
                      <w:color w:val="000000" w:themeColor="text1"/>
                      <w14:textFill>
                        <w14:solidFill>
                          <w14:schemeClr w14:val="tx1"/>
                        </w14:solidFill>
                      </w14:textFill>
                    </w:rPr>
                  </w:pPr>
                  <w:r>
                    <w:rPr>
                      <w:color w:val="000000" w:themeColor="text1"/>
                      <w14:textFill>
                        <w14:solidFill>
                          <w14:schemeClr w14:val="tx1"/>
                        </w14:solidFill>
                      </w14:textFill>
                    </w:rPr>
                    <w:t>监测点位置</w:t>
                  </w:r>
                </w:p>
              </w:tc>
              <w:tc>
                <w:tcPr>
                  <w:tcW w:w="1593" w:type="dxa"/>
                  <w:tcBorders>
                    <w:tl2br w:val="nil"/>
                    <w:tr2bl w:val="nil"/>
                  </w:tcBorders>
                  <w:noWrap w:val="0"/>
                  <w:vAlign w:val="center"/>
                </w:tcPr>
                <w:p>
                  <w:pPr>
                    <w:pStyle w:val="50"/>
                    <w:bidi w:val="0"/>
                    <w:rPr>
                      <w:color w:val="000000" w:themeColor="text1"/>
                      <w14:textFill>
                        <w14:solidFill>
                          <w14:schemeClr w14:val="tx1"/>
                        </w14:solidFill>
                      </w14:textFill>
                    </w:rPr>
                  </w:pPr>
                  <w:r>
                    <w:rPr>
                      <w:color w:val="000000" w:themeColor="text1"/>
                      <w14:textFill>
                        <w14:solidFill>
                          <w14:schemeClr w14:val="tx1"/>
                        </w14:solidFill>
                      </w14:textFill>
                    </w:rPr>
                    <w:t>监测频率</w:t>
                  </w:r>
                </w:p>
              </w:tc>
              <w:tc>
                <w:tcPr>
                  <w:tcW w:w="892" w:type="dxa"/>
                  <w:tcBorders>
                    <w:tl2br w:val="nil"/>
                    <w:tr2bl w:val="nil"/>
                  </w:tcBorders>
                  <w:noWrap w:val="0"/>
                  <w:vAlign w:val="center"/>
                </w:tcPr>
                <w:p>
                  <w:pPr>
                    <w:pStyle w:val="50"/>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41" w:hRule="atLeast"/>
                <w:jc w:val="center"/>
              </w:trPr>
              <w:tc>
                <w:tcPr>
                  <w:tcW w:w="1588" w:type="dxa"/>
                  <w:tcBorders>
                    <w:tl2br w:val="nil"/>
                    <w:tr2bl w:val="nil"/>
                  </w:tcBorders>
                  <w:noWrap w:val="0"/>
                  <w:vAlign w:val="center"/>
                </w:tcPr>
                <w:p>
                  <w:pPr>
                    <w:pStyle w:val="50"/>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声环境</w:t>
                  </w:r>
                </w:p>
              </w:tc>
              <w:tc>
                <w:tcPr>
                  <w:tcW w:w="1798" w:type="dxa"/>
                  <w:tcBorders>
                    <w:tl2br w:val="nil"/>
                    <w:tr2bl w:val="nil"/>
                  </w:tcBorders>
                  <w:noWrap w:val="0"/>
                  <w:vAlign w:val="center"/>
                </w:tcPr>
                <w:p>
                  <w:pPr>
                    <w:pStyle w:val="50"/>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等效连续 </w:t>
                  </w:r>
                  <w:r>
                    <w:rPr>
                      <w:color w:val="000000" w:themeColor="text1"/>
                      <w:lang w:val="en-US" w:eastAsia="zh-CN"/>
                      <w14:textFill>
                        <w14:solidFill>
                          <w14:schemeClr w14:val="tx1"/>
                        </w14:solidFill>
                      </w14:textFill>
                    </w:rPr>
                    <w:t xml:space="preserve">A </w:t>
                  </w:r>
                  <w:r>
                    <w:rPr>
                      <w:rFonts w:hint="eastAsia"/>
                      <w:color w:val="000000" w:themeColor="text1"/>
                      <w:lang w:val="en-US" w:eastAsia="zh-CN"/>
                      <w14:textFill>
                        <w14:solidFill>
                          <w14:schemeClr w14:val="tx1"/>
                        </w14:solidFill>
                      </w14:textFill>
                    </w:rPr>
                    <w:t xml:space="preserve">声级 </w:t>
                  </w:r>
                  <w:r>
                    <w:rPr>
                      <w:rFonts w:hint="default"/>
                      <w:color w:val="000000" w:themeColor="text1"/>
                      <w:lang w:val="en-US" w:eastAsia="zh-CN"/>
                      <w14:textFill>
                        <w14:solidFill>
                          <w14:schemeClr w14:val="tx1"/>
                        </w14:solidFill>
                      </w14:textFill>
                    </w:rPr>
                    <w:t>LAeq</w:t>
                  </w:r>
                </w:p>
              </w:tc>
              <w:tc>
                <w:tcPr>
                  <w:tcW w:w="2047" w:type="dxa"/>
                  <w:tcBorders>
                    <w:tl2br w:val="nil"/>
                    <w:tr2bl w:val="nil"/>
                  </w:tcBorders>
                  <w:noWrap w:val="0"/>
                  <w:vAlign w:val="center"/>
                </w:tcPr>
                <w:p>
                  <w:pPr>
                    <w:pStyle w:val="50"/>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张家庄、庞家川、高庙和焦家湾</w:t>
                  </w:r>
                </w:p>
              </w:tc>
              <w:tc>
                <w:tcPr>
                  <w:tcW w:w="1593" w:type="dxa"/>
                  <w:tcBorders>
                    <w:tl2br w:val="nil"/>
                    <w:tr2bl w:val="nil"/>
                  </w:tcBorders>
                  <w:noWrap w:val="0"/>
                  <w:vAlign w:val="center"/>
                </w:tcPr>
                <w:p>
                  <w:pPr>
                    <w:pStyle w:val="50"/>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监测</w:t>
                  </w:r>
                  <w:r>
                    <w:rPr>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期；昼夜各监测</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次</w:t>
                  </w:r>
                </w:p>
                <w:p>
                  <w:pPr>
                    <w:rPr>
                      <w:color w:val="000000" w:themeColor="text1"/>
                      <w14:textFill>
                        <w14:solidFill>
                          <w14:schemeClr w14:val="tx1"/>
                        </w14:solidFill>
                      </w14:textFill>
                    </w:rPr>
                  </w:pPr>
                </w:p>
              </w:tc>
              <w:tc>
                <w:tcPr>
                  <w:tcW w:w="892" w:type="dxa"/>
                  <w:tcBorders>
                    <w:tl2br w:val="nil"/>
                    <w:tr2bl w:val="nil"/>
                  </w:tcBorders>
                  <w:noWrap w:val="0"/>
                  <w:vAlign w:val="center"/>
                </w:tcPr>
                <w:p>
                  <w:pPr>
                    <w:pStyle w:val="50"/>
                    <w:bidi w:val="0"/>
                    <w:rPr>
                      <w:color w:val="000000" w:themeColor="text1"/>
                      <w14:textFill>
                        <w14:solidFill>
                          <w14:schemeClr w14:val="tx1"/>
                        </w14:solidFill>
                      </w14:textFill>
                    </w:rPr>
                  </w:pPr>
                </w:p>
              </w:tc>
            </w:tr>
          </w:tbl>
          <w:p>
            <w:pPr>
              <w:pStyle w:val="2"/>
              <w:spacing w:line="360" w:lineRule="auto"/>
              <w:ind w:firstLine="480" w:firstLineChars="200"/>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753" w:type="dxa"/>
            <w:noWrap w:val="0"/>
            <w:tcMar>
              <w:left w:w="28" w:type="dxa"/>
              <w:right w:w="28" w:type="dxa"/>
            </w:tcMar>
            <w:vAlign w:val="center"/>
          </w:tcPr>
          <w:p>
            <w:pPr>
              <w:adjustRightInd w:val="0"/>
              <w:snapToGrid w:val="0"/>
              <w:jc w:val="center"/>
              <w:rPr>
                <w:rFonts w:ascii="宋体" w:hAnsi="宋体" w:cs="宋体"/>
                <w:bCs/>
                <w:color w:val="000000" w:themeColor="text1"/>
                <w:spacing w:val="10"/>
                <w:sz w:val="24"/>
                <w:szCs w:val="24"/>
                <w14:textFill>
                  <w14:solidFill>
                    <w14:schemeClr w14:val="tx1"/>
                  </w14:solidFill>
                </w14:textFill>
              </w:rPr>
            </w:pPr>
            <w:r>
              <w:rPr>
                <w:rFonts w:hint="eastAsia" w:ascii="宋体" w:hAnsi="宋体" w:cs="宋体"/>
                <w:bCs/>
                <w:color w:val="000000" w:themeColor="text1"/>
                <w:spacing w:val="10"/>
                <w:sz w:val="24"/>
                <w:szCs w:val="24"/>
                <w14:textFill>
                  <w14:solidFill>
                    <w14:schemeClr w14:val="tx1"/>
                  </w14:solidFill>
                </w14:textFill>
              </w:rPr>
              <w:t>运营期生态环境保护措施</w:t>
            </w:r>
          </w:p>
        </w:tc>
        <w:tc>
          <w:tcPr>
            <w:tcW w:w="8457" w:type="dxa"/>
            <w:noWrap w:val="0"/>
            <w:vAlign w:val="top"/>
          </w:tcPr>
          <w:p>
            <w:pPr>
              <w:spacing w:line="360" w:lineRule="auto"/>
              <w:ind w:firstLine="480" w:firstLineChars="200"/>
              <w:rPr>
                <w:rFonts w:ascii="宋体" w:hAnsi="宋体" w:cs="宋体"/>
                <w:bCs/>
                <w:color w:val="000000" w:themeColor="text1"/>
                <w:spacing w:val="10"/>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本项目为</w:t>
            </w:r>
            <w:r>
              <w:rPr>
                <w:rFonts w:hint="eastAsia" w:ascii="Times New Roman" w:hAnsi="Times New Roman"/>
                <w:color w:val="000000" w:themeColor="text1"/>
                <w:sz w:val="24"/>
                <w:szCs w:val="24"/>
                <w:lang w:eastAsia="zh-CN"/>
                <w14:textFill>
                  <w14:solidFill>
                    <w14:schemeClr w14:val="tx1"/>
                  </w14:solidFill>
                </w14:textFill>
              </w:rPr>
              <w:t>河道</w:t>
            </w:r>
            <w:r>
              <w:rPr>
                <w:rFonts w:hint="eastAsia" w:ascii="Times New Roman" w:hAnsi="Times New Roman" w:eastAsia="宋体"/>
                <w:color w:val="000000" w:themeColor="text1"/>
                <w:sz w:val="24"/>
                <w:szCs w:val="24"/>
                <w14:textFill>
                  <w14:solidFill>
                    <w14:schemeClr w14:val="tx1"/>
                  </w14:solidFill>
                </w14:textFill>
              </w:rPr>
              <w:t>整治工程，工程建成后</w:t>
            </w:r>
            <w:r>
              <w:rPr>
                <w:rFonts w:hint="eastAsia" w:ascii="Times New Roman" w:hAnsi="Times New Roman"/>
                <w:color w:val="000000" w:themeColor="text1"/>
                <w:sz w:val="24"/>
                <w:szCs w:val="24"/>
                <w:lang w:eastAsia="zh-CN"/>
                <w14:textFill>
                  <w14:solidFill>
                    <w14:schemeClr w14:val="tx1"/>
                  </w14:solidFill>
                </w14:textFill>
              </w:rPr>
              <w:t>河流防洪级别可达</w:t>
            </w:r>
            <w:r>
              <w:rPr>
                <w:rFonts w:hint="eastAsia" w:ascii="Times New Roman" w:hAnsi="Times New Roman" w:eastAsia="宋体"/>
                <w:color w:val="000000" w:themeColor="text1"/>
                <w:sz w:val="24"/>
                <w:szCs w:val="24"/>
                <w14:textFill>
                  <w14:solidFill>
                    <w14:schemeClr w14:val="tx1"/>
                  </w14:solidFill>
                </w14:textFill>
              </w:rPr>
              <w:t>到</w:t>
            </w:r>
            <w:r>
              <w:rPr>
                <w:rFonts w:hint="eastAsia" w:ascii="Times New Roman" w:hAnsi="Times New Roman"/>
                <w:color w:val="000000" w:themeColor="text1"/>
                <w:sz w:val="24"/>
                <w:szCs w:val="24"/>
                <w:lang w:val="en-US" w:eastAsia="zh-CN"/>
                <w14:textFill>
                  <w14:solidFill>
                    <w14:schemeClr w14:val="tx1"/>
                  </w14:solidFill>
                </w14:textFill>
              </w:rPr>
              <w:t>10</w:t>
            </w:r>
            <w:r>
              <w:rPr>
                <w:rFonts w:hint="eastAsia" w:ascii="Times New Roman" w:hAnsi="Times New Roman" w:eastAsia="宋体"/>
                <w:color w:val="000000" w:themeColor="text1"/>
                <w:sz w:val="24"/>
                <w:szCs w:val="24"/>
                <w14:textFill>
                  <w14:solidFill>
                    <w14:schemeClr w14:val="tx1"/>
                  </w14:solidFill>
                </w14:textFill>
              </w:rPr>
              <w:t>年一遇，有利于改善河道防洪现状，提高河道行洪能力，保护区域</w:t>
            </w:r>
            <w:r>
              <w:rPr>
                <w:rFonts w:hint="eastAsia" w:ascii="Times New Roman" w:hAnsi="Times New Roman"/>
                <w:color w:val="000000" w:themeColor="text1"/>
                <w:sz w:val="24"/>
                <w:szCs w:val="24"/>
                <w:lang w:eastAsia="zh-CN"/>
                <w14:textFill>
                  <w14:solidFill>
                    <w14:schemeClr w14:val="tx1"/>
                  </w14:solidFill>
                </w14:textFill>
              </w:rPr>
              <w:t>农田</w:t>
            </w:r>
            <w:r>
              <w:rPr>
                <w:rFonts w:hint="eastAsia" w:ascii="Times New Roman" w:hAnsi="Times New Roman" w:eastAsia="宋体"/>
                <w:color w:val="000000" w:themeColor="text1"/>
                <w:sz w:val="24"/>
                <w:szCs w:val="24"/>
                <w14:textFill>
                  <w14:solidFill>
                    <w14:schemeClr w14:val="tx1"/>
                  </w14:solidFill>
                </w14:textFill>
              </w:rPr>
              <w:t>安全。此外</w:t>
            </w:r>
            <w:r>
              <w:rPr>
                <w:rFonts w:hint="eastAsia" w:ascii="Times New Roman" w:hAnsi="Times New Roman"/>
                <w:color w:val="000000" w:themeColor="text1"/>
                <w:sz w:val="24"/>
                <w:szCs w:val="24"/>
                <w:lang w:eastAsia="zh-CN"/>
                <w14:textFill>
                  <w14:solidFill>
                    <w14:schemeClr w14:val="tx1"/>
                  </w14:solidFill>
                </w14:textFill>
              </w:rPr>
              <w:t>，项目</w:t>
            </w:r>
            <w:r>
              <w:rPr>
                <w:rFonts w:ascii="Times New Roman" w:hAnsi="Times New Roman" w:cs="Times New Roman"/>
                <w:color w:val="000000" w:themeColor="text1"/>
                <w:sz w:val="24"/>
                <w:szCs w:val="24"/>
                <w14:textFill>
                  <w14:solidFill>
                    <w14:schemeClr w14:val="tx1"/>
                  </w14:solidFill>
                </w14:textFill>
              </w:rPr>
              <w:t>运营期不向外界排放污染物</w:t>
            </w:r>
            <w:r>
              <w:rPr>
                <w:rFonts w:hint="eastAsia" w:ascii="Times New Roman" w:hAnsi="Times New Roman" w:cs="Times New Roman"/>
                <w:color w:val="000000" w:themeColor="text1"/>
                <w:sz w:val="24"/>
                <w:szCs w:val="24"/>
                <w:lang w:eastAsia="zh-CN"/>
                <w14:textFill>
                  <w14:solidFill>
                    <w14:schemeClr w14:val="tx1"/>
                  </w14:solidFill>
                </w14:textFill>
              </w:rPr>
              <w:t>，因此运营期无三废的产生。运营期加强巡查管护工作，确保行洪安全。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noWrap w:val="0"/>
            <w:vAlign w:val="center"/>
          </w:tcPr>
          <w:p>
            <w:pPr>
              <w:adjustRightInd w:val="0"/>
              <w:snapToGrid w:val="0"/>
              <w:jc w:val="center"/>
              <w:rPr>
                <w:rFonts w:ascii="宋体" w:hAnsi="宋体" w:cs="宋体"/>
                <w:bCs/>
                <w:color w:val="000000" w:themeColor="text1"/>
                <w:spacing w:val="10"/>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其他</w:t>
            </w:r>
          </w:p>
        </w:tc>
        <w:tc>
          <w:tcPr>
            <w:tcW w:w="8457" w:type="dxa"/>
            <w:noWrap w:val="0"/>
            <w:vAlign w:val="top"/>
          </w:tcPr>
          <w:p>
            <w:pPr>
              <w:adjustRightInd w:val="0"/>
              <w:snapToGrid w:val="0"/>
              <w:rPr>
                <w:rFonts w:hint="eastAsia" w:ascii="宋体" w:hAnsi="宋体" w:eastAsia="宋体" w:cs="宋体"/>
                <w:bCs/>
                <w:color w:val="000000" w:themeColor="text1"/>
                <w:spacing w:val="10"/>
                <w:sz w:val="24"/>
                <w:szCs w:val="24"/>
                <w:lang w:eastAsia="zh-CN"/>
                <w14:textFill>
                  <w14:solidFill>
                    <w14:schemeClr w14:val="tx1"/>
                  </w14:solidFill>
                </w14:textFill>
              </w:rPr>
            </w:pPr>
            <w:r>
              <w:rPr>
                <w:rFonts w:hint="eastAsia" w:ascii="宋体" w:hAnsi="宋体" w:cs="宋体"/>
                <w:bCs/>
                <w:color w:val="000000" w:themeColor="text1"/>
                <w:spacing w:val="10"/>
                <w:sz w:val="24"/>
                <w:szCs w:val="24"/>
                <w:lang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2" w:hRule="atLeast"/>
          <w:jc w:val="center"/>
        </w:trPr>
        <w:tc>
          <w:tcPr>
            <w:tcW w:w="753" w:type="dxa"/>
            <w:noWrap w:val="0"/>
            <w:vAlign w:val="center"/>
          </w:tcPr>
          <w:p>
            <w:pPr>
              <w:adjustRightInd w:val="0"/>
              <w:snapToGrid w:val="0"/>
              <w:jc w:val="center"/>
              <w:rPr>
                <w:rFonts w:ascii="宋体" w:hAnsi="宋体" w:cs="宋体"/>
                <w:bCs/>
                <w:color w:val="000000" w:themeColor="text1"/>
                <w:spacing w:val="10"/>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环保投资</w:t>
            </w:r>
          </w:p>
        </w:tc>
        <w:tc>
          <w:tcPr>
            <w:tcW w:w="8457" w:type="dxa"/>
            <w:noWrap w:val="0"/>
            <w:vAlign w:val="top"/>
          </w:tcPr>
          <w:p>
            <w:pPr>
              <w:spacing w:line="360" w:lineRule="auto"/>
              <w:ind w:firstLine="480" w:firstLineChars="200"/>
              <w:contextualSpacing/>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本项目环保投资主要用于水土保持、</w:t>
            </w:r>
            <w:r>
              <w:rPr>
                <w:rFonts w:hint="eastAsia"/>
                <w:color w:val="000000" w:themeColor="text1"/>
                <w:sz w:val="24"/>
                <w:szCs w:val="24"/>
                <w:lang w:eastAsia="zh-CN"/>
                <w14:textFill>
                  <w14:solidFill>
                    <w14:schemeClr w14:val="tx1"/>
                  </w14:solidFill>
                </w14:textFill>
              </w:rPr>
              <w:t>场地平整</w:t>
            </w:r>
            <w:r>
              <w:rPr>
                <w:rFonts w:ascii="Times New Roman" w:hAnsi="Times New Roman" w:eastAsia="宋体"/>
                <w:color w:val="000000" w:themeColor="text1"/>
                <w:sz w:val="24"/>
                <w:szCs w:val="24"/>
                <w14:textFill>
                  <w14:solidFill>
                    <w14:schemeClr w14:val="tx1"/>
                  </w14:solidFill>
                </w14:textFill>
              </w:rPr>
              <w:t>恢复、绿化等方面。本项目总投资为</w:t>
            </w:r>
            <w:r>
              <w:rPr>
                <w:rFonts w:hint="eastAsia"/>
                <w:color w:val="000000" w:themeColor="text1"/>
                <w:sz w:val="24"/>
                <w:szCs w:val="24"/>
                <w:lang w:eastAsia="zh-CN"/>
                <w14:textFill>
                  <w14:solidFill>
                    <w14:schemeClr w14:val="tx1"/>
                  </w14:solidFill>
                </w14:textFill>
              </w:rPr>
              <w:t>993</w:t>
            </w:r>
            <w:r>
              <w:rPr>
                <w:rFonts w:hint="eastAsia"/>
                <w:color w:val="000000" w:themeColor="text1"/>
                <w:sz w:val="24"/>
                <w:szCs w:val="24"/>
                <w:lang w:val="en-US" w:eastAsia="zh-CN"/>
                <w14:textFill>
                  <w14:solidFill>
                    <w14:schemeClr w14:val="tx1"/>
                  </w14:solidFill>
                </w14:textFill>
              </w:rPr>
              <w:t>0.00</w:t>
            </w:r>
            <w:r>
              <w:rPr>
                <w:rFonts w:ascii="Times New Roman" w:hAnsi="Times New Roman" w:eastAsia="宋体"/>
                <w:color w:val="000000" w:themeColor="text1"/>
                <w:sz w:val="24"/>
                <w:szCs w:val="24"/>
                <w14:textFill>
                  <w14:solidFill>
                    <w14:schemeClr w14:val="tx1"/>
                  </w14:solidFill>
                </w14:textFill>
              </w:rPr>
              <w:t>万元，其中环保投资为</w:t>
            </w:r>
            <w:r>
              <w:rPr>
                <w:rFonts w:hint="eastAsia"/>
                <w:color w:val="000000" w:themeColor="text1"/>
                <w:sz w:val="24"/>
                <w:szCs w:val="24"/>
                <w:lang w:val="en-US" w:eastAsia="zh-CN"/>
                <w14:textFill>
                  <w14:solidFill>
                    <w14:schemeClr w14:val="tx1"/>
                  </w14:solidFill>
                </w14:textFill>
              </w:rPr>
              <w:t>53.6</w:t>
            </w:r>
            <w:r>
              <w:rPr>
                <w:rFonts w:ascii="Times New Roman" w:hAnsi="Times New Roman" w:eastAsia="宋体"/>
                <w:color w:val="000000" w:themeColor="text1"/>
                <w:sz w:val="24"/>
                <w:szCs w:val="24"/>
                <w14:textFill>
                  <w14:solidFill>
                    <w14:schemeClr w14:val="tx1"/>
                  </w14:solidFill>
                </w14:textFill>
              </w:rPr>
              <w:t>万元，占工程总投资的</w:t>
            </w:r>
            <w:r>
              <w:rPr>
                <w:rFonts w:hint="eastAsia"/>
                <w:color w:val="000000" w:themeColor="text1"/>
                <w:sz w:val="24"/>
                <w:szCs w:val="24"/>
                <w:lang w:val="en-US" w:eastAsia="zh-CN"/>
                <w14:textFill>
                  <w14:solidFill>
                    <w14:schemeClr w14:val="tx1"/>
                  </w14:solidFill>
                </w14:textFill>
              </w:rPr>
              <w:t>0.54</w:t>
            </w:r>
            <w:r>
              <w:rPr>
                <w:rFonts w:hint="eastAsia"/>
                <w:color w:val="000000" w:themeColor="text1"/>
                <w:sz w:val="24"/>
                <w:szCs w:val="24"/>
                <w:lang w:eastAsia="zh-CN"/>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。各项环保投资概算详见表</w:t>
            </w:r>
            <w:r>
              <w:rPr>
                <w:rFonts w:hint="eastAsia"/>
                <w:color w:val="000000" w:themeColor="text1"/>
                <w:sz w:val="24"/>
                <w:szCs w:val="24"/>
                <w:lang w:val="en-US" w:eastAsia="zh-CN"/>
                <w14:textFill>
                  <w14:solidFill>
                    <w14:schemeClr w14:val="tx1"/>
                  </w14:solidFill>
                </w14:textFill>
              </w:rPr>
              <w:t>5-3</w:t>
            </w:r>
            <w:r>
              <w:rPr>
                <w:rFonts w:ascii="Times New Roman" w:hAnsi="Times New Roman" w:eastAsia="宋体"/>
                <w:color w:val="000000" w:themeColor="text1"/>
                <w:sz w:val="24"/>
                <w:szCs w:val="24"/>
                <w14:textFill>
                  <w14:solidFill>
                    <w14:schemeClr w14:val="tx1"/>
                  </w14:solidFill>
                </w14:textFill>
              </w:rPr>
              <w:t xml:space="preserve">。 </w:t>
            </w:r>
          </w:p>
          <w:p>
            <w:pPr>
              <w:pStyle w:val="51"/>
              <w:keepNext w:val="0"/>
              <w:keepLines w:val="0"/>
              <w:pageBreakBefore w:val="0"/>
              <w:widowControl w:val="0"/>
              <w:kinsoku/>
              <w:wordWrap/>
              <w:overflowPunct/>
              <w:topLinePunct w:val="0"/>
              <w:autoSpaceDE/>
              <w:autoSpaceDN/>
              <w:bidi w:val="0"/>
              <w:adjustRightInd/>
              <w:snapToGrid/>
              <w:spacing w:after="0" w:line="240" w:lineRule="auto"/>
              <w:ind w:left="0" w:leftChars="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表</w:t>
            </w:r>
            <w:r>
              <w:rPr>
                <w:rFonts w:hint="eastAsia"/>
                <w:color w:val="000000" w:themeColor="text1"/>
                <w:lang w:val="en-US" w:eastAsia="zh-CN"/>
                <w14:textFill>
                  <w14:solidFill>
                    <w14:schemeClr w14:val="tx1"/>
                  </w14:solidFill>
                </w14:textFill>
              </w:rPr>
              <w:t>5-3</w:t>
            </w:r>
            <w:r>
              <w:rPr>
                <w:rFonts w:hint="eastAsia"/>
                <w:color w:val="000000" w:themeColor="text1"/>
                <w:lang w:eastAsia="zh-CN"/>
                <w14:textFill>
                  <w14:solidFill>
                    <w14:schemeClr w14:val="tx1"/>
                  </w14:solidFill>
                </w14:textFill>
              </w:rPr>
              <w:t xml:space="preserve">    环保投资一览表     单位：万元</w:t>
            </w:r>
          </w:p>
          <w:tbl>
            <w:tblPr>
              <w:tblStyle w:val="21"/>
              <w:tblW w:w="7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0"/>
              <w:gridCol w:w="1905"/>
              <w:gridCol w:w="3409"/>
              <w:gridCol w:w="1066"/>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76"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阶段</w:t>
                  </w:r>
                </w:p>
              </w:tc>
              <w:tc>
                <w:tcPr>
                  <w:tcW w:w="1215"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名称</w:t>
                  </w:r>
                </w:p>
              </w:tc>
              <w:tc>
                <w:tcPr>
                  <w:tcW w:w="2174"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环保项目</w:t>
                  </w:r>
                </w:p>
              </w:tc>
              <w:tc>
                <w:tcPr>
                  <w:tcW w:w="680"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投资估算</w:t>
                  </w:r>
                </w:p>
              </w:tc>
              <w:tc>
                <w:tcPr>
                  <w:tcW w:w="553"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376" w:type="pct"/>
                  <w:vMerge w:val="restar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施</w:t>
                  </w:r>
                </w:p>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工</w:t>
                  </w:r>
                </w:p>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期</w:t>
                  </w:r>
                </w:p>
              </w:tc>
              <w:tc>
                <w:tcPr>
                  <w:tcW w:w="1215" w:type="pct"/>
                  <w:shd w:val="clear" w:color="auto" w:fill="auto"/>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扬尘污染防治措施</w:t>
                  </w:r>
                </w:p>
              </w:tc>
              <w:tc>
                <w:tcPr>
                  <w:tcW w:w="2174" w:type="pct"/>
                  <w:vAlign w:val="center"/>
                </w:tcPr>
                <w:p>
                  <w:pPr>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洒水降尘、围挡设施</w:t>
                  </w:r>
                  <w:r>
                    <w:rPr>
                      <w:rFonts w:hint="eastAsia" w:ascii="Times New Roman" w:hAnsi="Times New Roman" w:eastAsia="宋体"/>
                      <w:color w:val="000000" w:themeColor="text1"/>
                      <w:sz w:val="21"/>
                      <w:szCs w:val="21"/>
                      <w14:textFill>
                        <w14:solidFill>
                          <w14:schemeClr w14:val="tx1"/>
                        </w14:solidFill>
                      </w14:textFill>
                    </w:rPr>
                    <w:t>、遮盖布</w:t>
                  </w:r>
                </w:p>
              </w:tc>
              <w:tc>
                <w:tcPr>
                  <w:tcW w:w="680"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rFonts w:hint="eastAsia" w:ascii="Times New Roman" w:hAnsi="Times New Roman" w:eastAsia="宋体"/>
                      <w:color w:val="000000" w:themeColor="text1"/>
                      <w:sz w:val="21"/>
                      <w:szCs w:val="21"/>
                      <w14:textFill>
                        <w14:solidFill>
                          <w14:schemeClr w14:val="tx1"/>
                        </w14:solidFill>
                      </w14:textFill>
                    </w:rPr>
                    <w:t>.0</w:t>
                  </w:r>
                </w:p>
              </w:tc>
              <w:tc>
                <w:tcPr>
                  <w:tcW w:w="553"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376" w:type="pct"/>
                  <w:vMerge w:val="continue"/>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shd w:val="clear" w:color="auto" w:fill="auto"/>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噪声污染防治措施</w:t>
                  </w:r>
                </w:p>
              </w:tc>
              <w:tc>
                <w:tcPr>
                  <w:tcW w:w="2174" w:type="pct"/>
                  <w:vAlign w:val="center"/>
                </w:tcPr>
                <w:p>
                  <w:pPr>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夜间禁止施工</w:t>
                  </w:r>
                  <w:r>
                    <w:rPr>
                      <w:rFonts w:hint="eastAsia" w:ascii="Times New Roman" w:hAnsi="Times New Roman" w:eastAsia="宋体"/>
                      <w:color w:val="000000" w:themeColor="text1"/>
                      <w:sz w:val="21"/>
                      <w:szCs w:val="21"/>
                      <w14:textFill>
                        <w14:solidFill>
                          <w14:schemeClr w14:val="tx1"/>
                        </w14:solidFill>
                      </w14:textFill>
                    </w:rPr>
                    <w:t>、围挡</w:t>
                  </w:r>
                  <w:r>
                    <w:rPr>
                      <w:rFonts w:ascii="Times New Roman" w:hAnsi="Times New Roman" w:eastAsia="宋体"/>
                      <w:color w:val="000000" w:themeColor="text1"/>
                      <w:sz w:val="21"/>
                      <w:szCs w:val="21"/>
                      <w14:textFill>
                        <w14:solidFill>
                          <w14:schemeClr w14:val="tx1"/>
                        </w14:solidFill>
                      </w14:textFill>
                    </w:rPr>
                    <w:t>等</w:t>
                  </w:r>
                </w:p>
              </w:tc>
              <w:tc>
                <w:tcPr>
                  <w:tcW w:w="680"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3</w:t>
                  </w:r>
                  <w:r>
                    <w:rPr>
                      <w:rFonts w:hint="eastAsia" w:ascii="Times New Roman" w:hAnsi="Times New Roman" w:eastAsia="宋体"/>
                      <w:color w:val="000000" w:themeColor="text1"/>
                      <w:sz w:val="21"/>
                      <w:szCs w:val="21"/>
                      <w14:textFill>
                        <w14:solidFill>
                          <w14:schemeClr w14:val="tx1"/>
                        </w14:solidFill>
                      </w14:textFill>
                    </w:rPr>
                    <w:t>.0</w:t>
                  </w:r>
                </w:p>
              </w:tc>
              <w:tc>
                <w:tcPr>
                  <w:tcW w:w="553"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4" w:hRule="atLeast"/>
                <w:jc w:val="center"/>
              </w:trPr>
              <w:tc>
                <w:tcPr>
                  <w:tcW w:w="376" w:type="pct"/>
                  <w:vMerge w:val="continue"/>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vMerge w:val="restart"/>
                  <w:shd w:val="clear" w:color="auto" w:fill="auto"/>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废水污染防治措施</w:t>
                  </w:r>
                </w:p>
              </w:tc>
              <w:tc>
                <w:tcPr>
                  <w:tcW w:w="2174" w:type="pct"/>
                  <w:vAlign w:val="center"/>
                </w:tcPr>
                <w:p>
                  <w:pPr>
                    <w:tabs>
                      <w:tab w:val="left" w:pos="1021"/>
                    </w:tabs>
                    <w:spacing w:line="240" w:lineRule="exact"/>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排水渠</w:t>
                  </w:r>
                  <w:r>
                    <w:rPr>
                      <w:rFonts w:hint="eastAsia" w:ascii="Times New Roman" w:hAnsi="Times New Roman" w:eastAsia="宋体"/>
                      <w:color w:val="000000" w:themeColor="text1"/>
                      <w:sz w:val="21"/>
                      <w:szCs w:val="21"/>
                      <w:lang w:eastAsia="zh-CN"/>
                      <w14:textFill>
                        <w14:solidFill>
                          <w14:schemeClr w14:val="tx1"/>
                        </w14:solidFill>
                      </w14:textFill>
                    </w:rPr>
                    <w:t>、围堰</w:t>
                  </w:r>
                </w:p>
              </w:tc>
              <w:tc>
                <w:tcPr>
                  <w:tcW w:w="680"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r>
                    <w:rPr>
                      <w:rFonts w:hint="eastAsia" w:ascii="Times New Roman" w:hAnsi="Times New Roman" w:eastAsia="宋体"/>
                      <w:color w:val="000000" w:themeColor="text1"/>
                      <w:sz w:val="21"/>
                      <w:szCs w:val="21"/>
                      <w14:textFill>
                        <w14:solidFill>
                          <w14:schemeClr w14:val="tx1"/>
                        </w14:solidFill>
                      </w14:textFill>
                    </w:rPr>
                    <w:t>.0</w:t>
                  </w:r>
                </w:p>
              </w:tc>
              <w:tc>
                <w:tcPr>
                  <w:tcW w:w="553"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76" w:type="pct"/>
                  <w:vMerge w:val="continue"/>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vMerge w:val="restart"/>
                  <w:shd w:val="clear" w:color="auto" w:fill="auto"/>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固废处置措施</w:t>
                  </w:r>
                </w:p>
              </w:tc>
              <w:tc>
                <w:tcPr>
                  <w:tcW w:w="2174"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修建临时堆场</w:t>
                  </w:r>
                </w:p>
              </w:tc>
              <w:tc>
                <w:tcPr>
                  <w:tcW w:w="680" w:type="pct"/>
                  <w:vAlign w:val="center"/>
                </w:tcPr>
                <w:p>
                  <w:pPr>
                    <w:tabs>
                      <w:tab w:val="left" w:pos="1021"/>
                    </w:tabs>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w:t>
                  </w:r>
                </w:p>
              </w:tc>
              <w:tc>
                <w:tcPr>
                  <w:tcW w:w="553"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76" w:type="pct"/>
                  <w:vMerge w:val="continue"/>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vMerge w:val="continue"/>
                  <w:shd w:val="clear" w:color="auto" w:fill="auto"/>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2174"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分类垃圾桶</w:t>
                  </w:r>
                </w:p>
              </w:tc>
              <w:tc>
                <w:tcPr>
                  <w:tcW w:w="680"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w:t>
                  </w:r>
                </w:p>
              </w:tc>
              <w:tc>
                <w:tcPr>
                  <w:tcW w:w="553"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376" w:type="pct"/>
                  <w:vMerge w:val="continue"/>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shd w:val="clear" w:color="auto" w:fill="auto"/>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水土保持措施</w:t>
                  </w:r>
                </w:p>
              </w:tc>
              <w:tc>
                <w:tcPr>
                  <w:tcW w:w="2174"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防护、</w:t>
                  </w:r>
                  <w:r>
                    <w:rPr>
                      <w:rFonts w:hint="eastAsia"/>
                      <w:color w:val="000000" w:themeColor="text1"/>
                      <w:sz w:val="21"/>
                      <w:szCs w:val="21"/>
                      <w:lang w:eastAsia="zh-CN"/>
                      <w14:textFill>
                        <w14:solidFill>
                          <w14:schemeClr w14:val="tx1"/>
                        </w14:solidFill>
                      </w14:textFill>
                    </w:rPr>
                    <w:t>平整</w:t>
                  </w:r>
                  <w:r>
                    <w:rPr>
                      <w:rFonts w:ascii="Times New Roman" w:hAnsi="Times New Roman" w:eastAsia="宋体"/>
                      <w:color w:val="000000" w:themeColor="text1"/>
                      <w:sz w:val="21"/>
                      <w:szCs w:val="21"/>
                      <w14:textFill>
                        <w14:solidFill>
                          <w14:schemeClr w14:val="tx1"/>
                        </w14:solidFill>
                      </w14:textFill>
                    </w:rPr>
                    <w:t>复垦及绿化等措施</w:t>
                  </w:r>
                </w:p>
              </w:tc>
              <w:tc>
                <w:tcPr>
                  <w:tcW w:w="680"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r>
                    <w:rPr>
                      <w:rFonts w:hint="eastAsia" w:ascii="Times New Roman" w:hAnsi="Times New Roman" w:eastAsia="宋体"/>
                      <w:color w:val="000000" w:themeColor="text1"/>
                      <w:sz w:val="21"/>
                      <w:szCs w:val="21"/>
                      <w14:textFill>
                        <w14:solidFill>
                          <w14:schemeClr w14:val="tx1"/>
                        </w14:solidFill>
                      </w14:textFill>
                    </w:rPr>
                    <w:t>.0</w:t>
                  </w:r>
                </w:p>
              </w:tc>
              <w:tc>
                <w:tcPr>
                  <w:tcW w:w="553"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376" w:type="pct"/>
                  <w:vMerge w:val="continue"/>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shd w:val="clear" w:color="auto" w:fill="auto"/>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临时占地恢复措施</w:t>
                  </w:r>
                </w:p>
              </w:tc>
              <w:tc>
                <w:tcPr>
                  <w:tcW w:w="2174"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熟土层分层堆放，分层回填，恢复为原状</w:t>
                  </w:r>
                </w:p>
              </w:tc>
              <w:tc>
                <w:tcPr>
                  <w:tcW w:w="680"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r>
                    <w:rPr>
                      <w:rFonts w:hint="eastAsia" w:ascii="Times New Roman" w:hAnsi="Times New Roman" w:eastAsia="宋体"/>
                      <w:color w:val="000000" w:themeColor="text1"/>
                      <w:sz w:val="21"/>
                      <w:szCs w:val="21"/>
                      <w14:textFill>
                        <w14:solidFill>
                          <w14:schemeClr w14:val="tx1"/>
                        </w14:solidFill>
                      </w14:textFill>
                    </w:rPr>
                    <w:t>.0</w:t>
                  </w:r>
                </w:p>
              </w:tc>
              <w:tc>
                <w:tcPr>
                  <w:tcW w:w="553"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376" w:type="pct"/>
                  <w:vMerge w:val="continue"/>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环境管理</w:t>
                  </w:r>
                </w:p>
              </w:tc>
              <w:tc>
                <w:tcPr>
                  <w:tcW w:w="2174"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制定环境管理规章制度等</w:t>
                  </w:r>
                </w:p>
              </w:tc>
              <w:tc>
                <w:tcPr>
                  <w:tcW w:w="680"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2.0</w:t>
                  </w:r>
                </w:p>
              </w:tc>
              <w:tc>
                <w:tcPr>
                  <w:tcW w:w="553"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76" w:type="pct"/>
                  <w:vMerge w:val="continue"/>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1215" w:type="pct"/>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环境监测</w:t>
                  </w:r>
                </w:p>
              </w:tc>
              <w:tc>
                <w:tcPr>
                  <w:tcW w:w="2174" w:type="pct"/>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地表水、噪声的监测</w:t>
                  </w:r>
                </w:p>
              </w:tc>
              <w:tc>
                <w:tcPr>
                  <w:tcW w:w="680" w:type="pct"/>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c>
                <w:tcPr>
                  <w:tcW w:w="553"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4" w:hRule="atLeast"/>
                <w:jc w:val="center"/>
              </w:trPr>
              <w:tc>
                <w:tcPr>
                  <w:tcW w:w="1591" w:type="pct"/>
                  <w:gridSpan w:val="2"/>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总环保投资</w:t>
                  </w:r>
                </w:p>
              </w:tc>
              <w:tc>
                <w:tcPr>
                  <w:tcW w:w="2174" w:type="pct"/>
                  <w:vAlign w:val="center"/>
                </w:tcPr>
                <w:p>
                  <w:pPr>
                    <w:tabs>
                      <w:tab w:val="left" w:pos="1021"/>
                    </w:tabs>
                    <w:spacing w:line="240" w:lineRule="exact"/>
                    <w:jc w:val="center"/>
                    <w:rPr>
                      <w:rFonts w:ascii="Times New Roman" w:hAnsi="Times New Roman" w:eastAsia="宋体"/>
                      <w:color w:val="000000" w:themeColor="text1"/>
                      <w:sz w:val="21"/>
                      <w:szCs w:val="21"/>
                      <w14:textFill>
                        <w14:solidFill>
                          <w14:schemeClr w14:val="tx1"/>
                        </w14:solidFill>
                      </w14:textFill>
                    </w:rPr>
                  </w:pPr>
                </w:p>
              </w:tc>
              <w:tc>
                <w:tcPr>
                  <w:tcW w:w="680" w:type="pct"/>
                  <w:vAlign w:val="center"/>
                </w:tcPr>
                <w:p>
                  <w:pPr>
                    <w:tabs>
                      <w:tab w:val="left" w:pos="1021"/>
                    </w:tabs>
                    <w:spacing w:line="240" w:lineRule="exact"/>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53.6</w:t>
                  </w:r>
                </w:p>
              </w:tc>
              <w:tc>
                <w:tcPr>
                  <w:tcW w:w="553" w:type="pct"/>
                  <w:vAlign w:val="center"/>
                </w:tcPr>
                <w:p>
                  <w:pPr>
                    <w:tabs>
                      <w:tab w:val="left" w:pos="1021"/>
                    </w:tabs>
                    <w:spacing w:line="240" w:lineRule="exact"/>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占</w:t>
                  </w:r>
                  <w:r>
                    <w:rPr>
                      <w:rFonts w:hint="eastAsia"/>
                      <w:color w:val="000000" w:themeColor="text1"/>
                      <w:sz w:val="21"/>
                      <w:szCs w:val="21"/>
                      <w:highlight w:val="none"/>
                      <w:lang w:val="en-US" w:eastAsia="zh-CN"/>
                      <w14:textFill>
                        <w14:solidFill>
                          <w14:schemeClr w14:val="tx1"/>
                        </w14:solidFill>
                      </w14:textFill>
                    </w:rPr>
                    <w:t>0.54</w:t>
                  </w:r>
                  <w:r>
                    <w:rPr>
                      <w:rFonts w:hint="eastAsia"/>
                      <w:color w:val="000000" w:themeColor="text1"/>
                      <w:sz w:val="21"/>
                      <w:szCs w:val="21"/>
                      <w:highlight w:val="none"/>
                      <w:lang w:eastAsia="zh-CN"/>
                      <w14:textFill>
                        <w14:solidFill>
                          <w14:schemeClr w14:val="tx1"/>
                        </w14:solidFill>
                      </w14:textFill>
                    </w:rPr>
                    <w:t>%</w:t>
                  </w:r>
                </w:p>
              </w:tc>
            </w:tr>
          </w:tbl>
          <w:p>
            <w:pPr>
              <w:adjustRightInd w:val="0"/>
              <w:snapToGrid w:val="0"/>
              <w:rPr>
                <w:rFonts w:ascii="宋体" w:hAnsi="宋体" w:cs="宋体"/>
                <w:bCs/>
                <w:color w:val="000000" w:themeColor="text1"/>
                <w:spacing w:val="10"/>
                <w:sz w:val="24"/>
                <w:szCs w:val="24"/>
                <w14:textFill>
                  <w14:solidFill>
                    <w14:schemeClr w14:val="tx1"/>
                  </w14:solidFill>
                </w14:textFill>
              </w:rPr>
            </w:pPr>
          </w:p>
        </w:tc>
      </w:tr>
    </w:tbl>
    <w:p>
      <w:pPr>
        <w:rPr>
          <w:color w:val="000000" w:themeColor="text1"/>
          <w14:textFill>
            <w14:solidFill>
              <w14:schemeClr w14:val="tx1"/>
            </w14:solidFill>
          </w14:textFill>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425" w:num="1"/>
          <w:docGrid w:linePitch="312" w:charSpace="0"/>
        </w:sectPr>
      </w:pPr>
    </w:p>
    <w:p>
      <w:pPr>
        <w:pStyle w:val="17"/>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六、生态环境保护措施监督检查清单</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3008"/>
        <w:gridCol w:w="2376"/>
        <w:gridCol w:w="983"/>
        <w:gridCol w:w="8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vMerge w:val="restart"/>
            <w:tcBorders>
              <w:tl2br w:val="single" w:color="auto" w:sz="4" w:space="0"/>
            </w:tcBorders>
            <w:noWrap w:val="0"/>
            <w:vAlign w:val="top"/>
          </w:tcPr>
          <w:p>
            <w:pPr>
              <w:pStyle w:val="17"/>
              <w:adjustRightInd w:val="0"/>
              <w:snapToGrid w:val="0"/>
              <w:spacing w:before="72" w:beforeLines="30" w:beforeAutospacing="0" w:after="0" w:afterAutospacing="0"/>
              <w:jc w:val="center"/>
              <w:outlineLvl w:val="0"/>
              <w:rPr>
                <w:rFonts w:hint="eastAsia"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 xml:space="preserve">       </w:t>
            </w:r>
          </w:p>
          <w:p>
            <w:pPr>
              <w:pStyle w:val="17"/>
              <w:adjustRightInd w:val="0"/>
              <w:snapToGrid w:val="0"/>
              <w:spacing w:before="72" w:beforeLines="3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 xml:space="preserve">     内容        </w:t>
            </w:r>
          </w:p>
          <w:p>
            <w:pPr>
              <w:pStyle w:val="17"/>
              <w:adjustRightInd w:val="0"/>
              <w:snapToGrid w:val="0"/>
              <w:spacing w:before="0" w:beforeAutospacing="0" w:after="0" w:afterAutospacing="0" w:line="14" w:lineRule="auto"/>
              <w:outlineLvl w:val="0"/>
              <w:rPr>
                <w:rFonts w:hint="eastAsia"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 xml:space="preserve">  </w:t>
            </w:r>
          </w:p>
          <w:p>
            <w:pPr>
              <w:pStyle w:val="17"/>
              <w:adjustRightInd w:val="0"/>
              <w:snapToGrid w:val="0"/>
              <w:spacing w:before="0" w:beforeAutospacing="0" w:after="0" w:afterAutospacing="0"/>
              <w:outlineLvl w:val="0"/>
              <w:rPr>
                <w:rFonts w:hint="eastAsia"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要素</w:t>
            </w:r>
          </w:p>
        </w:tc>
        <w:tc>
          <w:tcPr>
            <w:tcW w:w="3045" w:type="pct"/>
            <w:gridSpan w:val="2"/>
            <w:noWrap w:val="0"/>
            <w:vAlign w:val="center"/>
          </w:tcPr>
          <w:p>
            <w:pPr>
              <w:pStyle w:val="17"/>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施工期</w:t>
            </w:r>
          </w:p>
        </w:tc>
        <w:tc>
          <w:tcPr>
            <w:tcW w:w="1145" w:type="pct"/>
            <w:gridSpan w:val="2"/>
            <w:noWrap w:val="0"/>
            <w:vAlign w:val="center"/>
          </w:tcPr>
          <w:p>
            <w:pPr>
              <w:pStyle w:val="17"/>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vMerge w:val="continue"/>
            <w:noWrap w:val="0"/>
            <w:vAlign w:val="top"/>
          </w:tcPr>
          <w:p>
            <w:pPr>
              <w:pStyle w:val="17"/>
              <w:adjustRightInd w:val="0"/>
              <w:snapToGrid w:val="0"/>
              <w:spacing w:before="0" w:beforeAutospacing="0" w:after="0" w:afterAutospacing="0"/>
              <w:ind w:firstLine="840"/>
              <w:jc w:val="center"/>
              <w:outlineLvl w:val="0"/>
              <w:rPr>
                <w:rFonts w:ascii="黑体" w:hAnsi="黑体" w:eastAsia="黑体" w:cs="宋体"/>
                <w:color w:val="000000" w:themeColor="text1"/>
                <w:kern w:val="2"/>
                <w:sz w:val="24"/>
                <w:szCs w:val="24"/>
                <w14:textFill>
                  <w14:solidFill>
                    <w14:schemeClr w14:val="tx1"/>
                  </w14:solidFill>
                </w14:textFill>
              </w:rPr>
            </w:pPr>
          </w:p>
        </w:tc>
        <w:tc>
          <w:tcPr>
            <w:tcW w:w="1802" w:type="pct"/>
            <w:noWrap w:val="0"/>
            <w:vAlign w:val="center"/>
          </w:tcPr>
          <w:p>
            <w:pPr>
              <w:pStyle w:val="17"/>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环境保护措施</w:t>
            </w:r>
          </w:p>
        </w:tc>
        <w:tc>
          <w:tcPr>
            <w:tcW w:w="1243" w:type="pct"/>
            <w:noWrap w:val="0"/>
            <w:vAlign w:val="center"/>
          </w:tcPr>
          <w:p>
            <w:pPr>
              <w:pStyle w:val="17"/>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验收要求</w:t>
            </w:r>
          </w:p>
        </w:tc>
        <w:tc>
          <w:tcPr>
            <w:tcW w:w="614" w:type="pct"/>
            <w:noWrap w:val="0"/>
            <w:vAlign w:val="center"/>
          </w:tcPr>
          <w:p>
            <w:pPr>
              <w:pStyle w:val="17"/>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环境保护措施</w:t>
            </w:r>
          </w:p>
        </w:tc>
        <w:tc>
          <w:tcPr>
            <w:tcW w:w="530" w:type="pct"/>
            <w:noWrap w:val="0"/>
            <w:vAlign w:val="center"/>
          </w:tcPr>
          <w:p>
            <w:pPr>
              <w:pStyle w:val="17"/>
              <w:adjustRightInd w:val="0"/>
              <w:snapToGrid w:val="0"/>
              <w:spacing w:before="0" w:beforeAutospacing="0" w:after="0" w:afterAutospacing="0"/>
              <w:jc w:val="center"/>
              <w:outlineLvl w:val="0"/>
              <w:rPr>
                <w:rFonts w:ascii="黑体" w:hAnsi="黑体" w:eastAsia="黑体" w:cs="宋体"/>
                <w:color w:val="000000" w:themeColor="text1"/>
                <w:kern w:val="2"/>
                <w:sz w:val="24"/>
                <w:szCs w:val="24"/>
                <w14:textFill>
                  <w14:solidFill>
                    <w14:schemeClr w14:val="tx1"/>
                  </w14:solidFill>
                </w14:textFill>
              </w:rPr>
            </w:pPr>
            <w:r>
              <w:rPr>
                <w:rFonts w:hint="eastAsia" w:ascii="黑体" w:hAnsi="黑体" w:eastAsia="黑体" w:cs="宋体"/>
                <w:color w:val="000000" w:themeColor="text1"/>
                <w:kern w:val="2"/>
                <w:sz w:val="24"/>
                <w:szCs w:val="24"/>
                <w14:textFill>
                  <w14:solidFill>
                    <w14:schemeClr w14:val="tx1"/>
                  </w14:solidFill>
                </w14:textFill>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pPr>
              <w:adjustRightInd w:val="0"/>
              <w:snapToGrid w:val="0"/>
              <w:jc w:val="center"/>
              <w:rPr>
                <w:rFonts w:ascii="宋体" w:hAnsi="宋体" w:cs="宋体"/>
                <w:color w:val="FF0000"/>
                <w:sz w:val="24"/>
                <w:szCs w:val="24"/>
              </w:rPr>
            </w:pPr>
            <w:r>
              <w:rPr>
                <w:rFonts w:hint="eastAsia" w:ascii="宋体" w:hAnsi="宋体" w:cs="宋体"/>
                <w:color w:val="FF0000"/>
                <w:sz w:val="24"/>
                <w:szCs w:val="24"/>
              </w:rPr>
              <w:t>陆生生态</w:t>
            </w:r>
          </w:p>
        </w:tc>
        <w:tc>
          <w:tcPr>
            <w:tcW w:w="1802" w:type="pct"/>
            <w:noWrap w:val="0"/>
            <w:vAlign w:val="center"/>
          </w:tcPr>
          <w:p>
            <w:pPr>
              <w:adjustRightInd w:val="0"/>
              <w:snapToGrid w:val="0"/>
              <w:rPr>
                <w:rFonts w:hint="default" w:ascii="宋体" w:hAnsi="宋体" w:eastAsia="宋体" w:cs="宋体"/>
                <w:color w:val="FF0000"/>
                <w:sz w:val="24"/>
                <w:szCs w:val="24"/>
                <w:highlight w:val="none"/>
                <w:lang w:val="en-US" w:eastAsia="zh-CN"/>
              </w:rPr>
            </w:pPr>
            <w:r>
              <w:rPr>
                <w:rFonts w:hint="eastAsia" w:ascii="宋体" w:hAnsi="宋体" w:cs="宋体"/>
                <w:color w:val="FF0000"/>
                <w:sz w:val="24"/>
                <w:szCs w:val="24"/>
                <w:highlight w:val="none"/>
                <w:lang w:val="en-US" w:eastAsia="zh-CN"/>
              </w:rPr>
              <w:t>临时占地土地复垦并绿化恢复27亩</w:t>
            </w:r>
          </w:p>
        </w:tc>
        <w:tc>
          <w:tcPr>
            <w:tcW w:w="1243" w:type="pct"/>
            <w:noWrap w:val="0"/>
            <w:vAlign w:val="center"/>
          </w:tcPr>
          <w:p>
            <w:pPr>
              <w:adjustRightInd w:val="0"/>
              <w:snapToGrid w:val="0"/>
              <w:jc w:val="center"/>
              <w:rPr>
                <w:rFonts w:hint="default" w:ascii="宋体" w:hAnsi="宋体" w:eastAsia="宋体" w:cs="宋体"/>
                <w:color w:val="FF0000"/>
                <w:sz w:val="24"/>
                <w:szCs w:val="24"/>
                <w:highlight w:val="none"/>
                <w:lang w:val="en-US" w:eastAsia="zh-CN"/>
              </w:rPr>
            </w:pPr>
            <w:r>
              <w:rPr>
                <w:rFonts w:hint="eastAsia" w:ascii="宋体" w:hAnsi="宋体" w:cs="宋体"/>
                <w:color w:val="FF0000"/>
                <w:sz w:val="24"/>
                <w:szCs w:val="24"/>
                <w:highlight w:val="none"/>
                <w:lang w:val="en-US" w:eastAsia="zh-CN"/>
              </w:rPr>
              <w:t>播撒草籽，成活率80%以上</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水生生态</w:t>
            </w:r>
          </w:p>
        </w:tc>
        <w:tc>
          <w:tcPr>
            <w:tcW w:w="1802" w:type="pct"/>
            <w:noWrap w:val="0"/>
            <w:vAlign w:val="center"/>
          </w:tcPr>
          <w:p>
            <w:pPr>
              <w:adjustRightInd w:val="0"/>
              <w:snapToGrid w:val="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FF0000"/>
                <w:sz w:val="24"/>
                <w:szCs w:val="24"/>
                <w:highlight w:val="none"/>
                <w:lang w:val="en-US" w:eastAsia="zh-CN"/>
              </w:rPr>
              <w:t>施工导流围堰0.5m、临时堆料场、表土暂存场周边导排渠</w:t>
            </w:r>
          </w:p>
        </w:tc>
        <w:tc>
          <w:tcPr>
            <w:tcW w:w="1243" w:type="pct"/>
            <w:noWrap w:val="0"/>
            <w:vAlign w:val="center"/>
          </w:tcPr>
          <w:p>
            <w:pPr>
              <w:adjustRightInd w:val="0"/>
              <w:snapToGrid w:val="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弃方就地消化，废弃土方用于场地平整，表层剥离土壤覆盖后进行绿化恢复</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地表水环境</w:t>
            </w:r>
          </w:p>
        </w:tc>
        <w:tc>
          <w:tcPr>
            <w:tcW w:w="1802" w:type="pct"/>
            <w:noWrap w:val="0"/>
            <w:vAlign w:val="center"/>
          </w:tcPr>
          <w:p>
            <w:pPr>
              <w:adjustRightInd w:val="0"/>
              <w:snapToGrid w:val="0"/>
              <w:rPr>
                <w:rFonts w:hint="eastAsia" w:ascii="宋体" w:hAnsi="宋体"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bCs/>
                <w:color w:val="000000" w:themeColor="text1"/>
                <w:sz w:val="24"/>
                <w:szCs w:val="24"/>
                <w:lang w:eastAsia="zh-CN"/>
                <w14:textFill>
                  <w14:solidFill>
                    <w14:schemeClr w14:val="tx1"/>
                  </w14:solidFill>
                </w14:textFill>
              </w:rPr>
              <w:t>施工人员洗漱废水</w:t>
            </w:r>
            <w:r>
              <w:rPr>
                <w:rFonts w:ascii="Times New Roman" w:hAnsi="Times New Roman" w:eastAsia="宋体"/>
                <w:color w:val="000000" w:themeColor="text1"/>
                <w:sz w:val="24"/>
                <w:szCs w:val="24"/>
                <w14:textFill>
                  <w14:solidFill>
                    <w14:schemeClr w14:val="tx1"/>
                  </w14:solidFill>
                </w14:textFill>
              </w:rPr>
              <w:t>用于施工作业面</w:t>
            </w:r>
            <w:r>
              <w:rPr>
                <w:rFonts w:hint="eastAsia" w:ascii="Times New Roman" w:hAnsi="Times New Roman" w:eastAsia="宋体"/>
                <w:color w:val="000000" w:themeColor="text1"/>
                <w:sz w:val="24"/>
                <w:szCs w:val="24"/>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施工</w:t>
            </w:r>
            <w:r>
              <w:rPr>
                <w:rFonts w:hint="eastAsia" w:ascii="Times New Roman" w:hAnsi="Times New Roman" w:eastAsia="宋体"/>
                <w:color w:val="000000" w:themeColor="text1"/>
                <w:sz w:val="24"/>
                <w:szCs w:val="24"/>
                <w14:textFill>
                  <w14:solidFill>
                    <w14:schemeClr w14:val="tx1"/>
                  </w14:solidFill>
                </w14:textFill>
              </w:rPr>
              <w:t>道路的</w:t>
            </w:r>
            <w:r>
              <w:rPr>
                <w:rFonts w:ascii="Times New Roman" w:hAnsi="Times New Roman" w:eastAsia="宋体"/>
                <w:color w:val="000000" w:themeColor="text1"/>
                <w:sz w:val="24"/>
                <w:szCs w:val="24"/>
                <w14:textFill>
                  <w14:solidFill>
                    <w14:schemeClr w14:val="tx1"/>
                  </w14:solidFill>
                </w14:textFill>
              </w:rPr>
              <w:t>泼洒</w:t>
            </w:r>
            <w:r>
              <w:rPr>
                <w:rFonts w:hint="eastAsia" w:ascii="Times New Roman" w:hAnsi="Times New Roman" w:eastAsia="宋体"/>
                <w:color w:val="000000" w:themeColor="text1"/>
                <w:sz w:val="24"/>
                <w:szCs w:val="24"/>
                <w:lang w:eastAsia="zh-CN"/>
                <w14:textFill>
                  <w14:solidFill>
                    <w14:schemeClr w14:val="tx1"/>
                  </w14:solidFill>
                </w14:textFill>
              </w:rPr>
              <w:t>抑尘</w:t>
            </w:r>
          </w:p>
        </w:tc>
        <w:tc>
          <w:tcPr>
            <w:tcW w:w="1243" w:type="pct"/>
            <w:noWrap w:val="0"/>
            <w:vAlign w:val="center"/>
          </w:tcPr>
          <w:p>
            <w:pPr>
              <w:adjustRightInd w:val="0"/>
              <w:snapToGrid w:val="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地下水及土壤环境</w:t>
            </w:r>
          </w:p>
        </w:tc>
        <w:tc>
          <w:tcPr>
            <w:tcW w:w="1802" w:type="pct"/>
            <w:noWrap w:val="0"/>
            <w:vAlign w:val="center"/>
          </w:tcPr>
          <w:p>
            <w:pPr>
              <w:adjustRightInd w:val="0"/>
              <w:snapToGrid w:val="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1243" w:type="pct"/>
            <w:noWrap w:val="0"/>
            <w:vAlign w:val="center"/>
          </w:tcPr>
          <w:p>
            <w:pPr>
              <w:adjustRightInd w:val="0"/>
              <w:snapToGrid w:val="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pPr>
              <w:adjustRightInd w:val="0"/>
              <w:snapToGrid w:val="0"/>
              <w:jc w:val="center"/>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声环境</w:t>
            </w:r>
          </w:p>
        </w:tc>
        <w:tc>
          <w:tcPr>
            <w:tcW w:w="3072" w:type="dxa"/>
            <w:noWrap w:val="0"/>
            <w:vAlign w:val="center"/>
          </w:tcPr>
          <w:p>
            <w:pPr>
              <w:adjustRightInd w:val="0"/>
              <w:snapToGrid w:val="0"/>
              <w:jc w:val="center"/>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采用低噪声施工机械，定期进行维护保养，夜间停止施工作业。</w:t>
            </w:r>
          </w:p>
        </w:tc>
        <w:tc>
          <w:tcPr>
            <w:tcW w:w="2119" w:type="dxa"/>
            <w:noWrap w:val="0"/>
            <w:vAlign w:val="center"/>
          </w:tcPr>
          <w:p>
            <w:pPr>
              <w:adjustRightInd w:val="0"/>
              <w:snapToGrid w:val="0"/>
              <w:jc w:val="center"/>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满足（GB12523-2011）《建筑施工场界环境噪声排放标准》中昼间≤70dB（A），夜间≤55dB（A）</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振动</w:t>
            </w:r>
          </w:p>
        </w:tc>
        <w:tc>
          <w:tcPr>
            <w:tcW w:w="1802" w:type="pct"/>
            <w:noWrap w:val="0"/>
            <w:vAlign w:val="center"/>
          </w:tcPr>
          <w:p>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1243" w:type="pct"/>
            <w:noWrap w:val="0"/>
            <w:vAlign w:val="center"/>
          </w:tcPr>
          <w:p>
            <w:pPr>
              <w:adjustRightInd w:val="0"/>
              <w:snapToGrid w:val="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pPr>
              <w:adjustRightInd w:val="0"/>
              <w:snapToGrid w:val="0"/>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大气环境</w:t>
            </w:r>
          </w:p>
        </w:tc>
        <w:tc>
          <w:tcPr>
            <w:tcW w:w="1802" w:type="pct"/>
            <w:noWrap w:val="0"/>
            <w:vAlign w:val="center"/>
          </w:tcPr>
          <w:p>
            <w:pPr>
              <w:adjustRightInd w:val="0"/>
              <w:snapToGrid w:val="0"/>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sz w:val="24"/>
                <w:szCs w:val="24"/>
                <w14:textFill>
                  <w14:solidFill>
                    <w14:schemeClr w14:val="tx1"/>
                  </w14:solidFill>
                </w14:textFill>
              </w:rPr>
              <w:t>设施工围挡，堆场及运输道路定期洒水抑尘</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弃土、弃料及其他建筑垃圾，应及时清运</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物料、渣土、垃圾运输过程严格采用密闭运输</w:t>
            </w:r>
          </w:p>
        </w:tc>
        <w:tc>
          <w:tcPr>
            <w:tcW w:w="1243" w:type="pct"/>
            <w:noWrap w:val="0"/>
            <w:vAlign w:val="center"/>
          </w:tcPr>
          <w:p>
            <w:pPr>
              <w:adjustRightInd w:val="0"/>
              <w:snapToGrid w:val="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项目施工期扬尘和施工车辆尾气排放执行《大气污染物综合排放标准》（GB16297-1996）中的无组织排放监控浓度限值；施工期是否有环境问题投诉</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pPr>
              <w:adjustRightInd w:val="0"/>
              <w:snapToGrid w:val="0"/>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固体废物</w:t>
            </w:r>
          </w:p>
        </w:tc>
        <w:tc>
          <w:tcPr>
            <w:tcW w:w="1802" w:type="pct"/>
            <w:noWrap w:val="0"/>
            <w:vAlign w:val="center"/>
          </w:tcPr>
          <w:p>
            <w:pPr>
              <w:adjustRightInd w:val="0"/>
              <w:snapToGrid w:val="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生活垃圾</w:t>
            </w:r>
            <w:r>
              <w:rPr>
                <w:rFonts w:ascii="Times New Roman" w:hAnsi="Times New Roman" w:eastAsia="宋体"/>
                <w:color w:val="000000" w:themeColor="text1"/>
                <w:sz w:val="24"/>
                <w:szCs w:val="24"/>
                <w14:textFill>
                  <w14:solidFill>
                    <w14:schemeClr w14:val="tx1"/>
                  </w14:solidFill>
                </w14:textFill>
              </w:rPr>
              <w:t>统一收集后</w:t>
            </w:r>
            <w:r>
              <w:rPr>
                <w:rFonts w:hint="eastAsia"/>
                <w:color w:val="000000" w:themeColor="text1"/>
                <w:sz w:val="24"/>
                <w:szCs w:val="24"/>
                <w:lang w:eastAsia="zh-CN"/>
                <w14:textFill>
                  <w14:solidFill>
                    <w14:schemeClr w14:val="tx1"/>
                  </w14:solidFill>
                </w14:textFill>
              </w:rPr>
              <w:t>交由环卫清理</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对于有利用价值的进行分拣回用，无法利用的</w:t>
            </w:r>
            <w:r>
              <w:rPr>
                <w:rFonts w:hint="eastAsia"/>
                <w:color w:val="000000" w:themeColor="text1"/>
                <w:sz w:val="24"/>
                <w:szCs w:val="24"/>
                <w:lang w:eastAsia="zh-CN"/>
                <w14:textFill>
                  <w14:solidFill>
                    <w14:schemeClr w14:val="tx1"/>
                  </w14:solidFill>
                </w14:textFill>
              </w:rPr>
              <w:t>建筑垃圾</w:t>
            </w:r>
            <w:r>
              <w:rPr>
                <w:rFonts w:hint="eastAsia" w:ascii="Times New Roman" w:hAnsi="Times New Roman" w:eastAsia="宋体"/>
                <w:color w:val="000000" w:themeColor="text1"/>
                <w:sz w:val="24"/>
                <w:szCs w:val="24"/>
                <w14:textFill>
                  <w14:solidFill>
                    <w14:schemeClr w14:val="tx1"/>
                  </w14:solidFill>
                </w14:textFill>
              </w:rPr>
              <w:t>拉运至</w:t>
            </w:r>
            <w:r>
              <w:rPr>
                <w:rFonts w:hint="eastAsia"/>
                <w:color w:val="000000" w:themeColor="text1"/>
                <w:sz w:val="24"/>
                <w:szCs w:val="24"/>
                <w:lang w:eastAsia="zh-CN"/>
                <w14:textFill>
                  <w14:solidFill>
                    <w14:schemeClr w14:val="tx1"/>
                  </w14:solidFill>
                </w14:textFill>
              </w:rPr>
              <w:t>政府指定的建筑垃圾处置场所处置</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剩余土方用于河堤平整及场地平整</w:t>
            </w:r>
            <w:r>
              <w:rPr>
                <w:rFonts w:hint="eastAsia" w:ascii="Times New Roman" w:hAnsi="Times New Roman" w:eastAsia="宋体"/>
                <w:color w:val="000000" w:themeColor="text1"/>
                <w:sz w:val="24"/>
                <w:szCs w:val="24"/>
                <w:lang w:eastAsia="zh-CN"/>
                <w14:textFill>
                  <w14:solidFill>
                    <w14:schemeClr w14:val="tx1"/>
                  </w14:solidFill>
                </w14:textFill>
              </w:rPr>
              <w:t>。</w:t>
            </w:r>
          </w:p>
        </w:tc>
        <w:tc>
          <w:tcPr>
            <w:tcW w:w="1243" w:type="pct"/>
            <w:noWrap w:val="0"/>
            <w:vAlign w:val="center"/>
          </w:tcPr>
          <w:p>
            <w:pPr>
              <w:adjustRightInd w:val="0"/>
              <w:snapToGrid w:val="0"/>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执行《一般工业固体废物贮存和填埋污染控制标准》（GB18599-2020）；建筑垃圾、废弃土方是否处置，现场是否遗留生活垃圾</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电磁环境</w:t>
            </w:r>
          </w:p>
        </w:tc>
        <w:tc>
          <w:tcPr>
            <w:tcW w:w="1802" w:type="pct"/>
            <w:noWrap w:val="0"/>
            <w:vAlign w:val="center"/>
          </w:tcPr>
          <w:p>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1243" w:type="pct"/>
            <w:noWrap w:val="0"/>
            <w:vAlign w:val="center"/>
          </w:tcPr>
          <w:p>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环境风险</w:t>
            </w:r>
          </w:p>
        </w:tc>
        <w:tc>
          <w:tcPr>
            <w:tcW w:w="1802" w:type="pct"/>
            <w:noWrap w:val="0"/>
            <w:vAlign w:val="center"/>
          </w:tcPr>
          <w:p>
            <w:pPr>
              <w:adjustRightInd w:val="0"/>
              <w:snapToGrid w:val="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p>
        </w:tc>
        <w:tc>
          <w:tcPr>
            <w:tcW w:w="1243" w:type="pct"/>
            <w:noWrap w:val="0"/>
            <w:vAlign w:val="center"/>
          </w:tcPr>
          <w:p>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pct"/>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环境监测</w:t>
            </w:r>
          </w:p>
        </w:tc>
        <w:tc>
          <w:tcPr>
            <w:tcW w:w="1802" w:type="pct"/>
            <w:noWrap w:val="0"/>
            <w:vAlign w:val="center"/>
          </w:tcPr>
          <w:p>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1243" w:type="pct"/>
            <w:noWrap w:val="0"/>
            <w:vAlign w:val="center"/>
          </w:tcPr>
          <w:p>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530"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24" w:hRule="atLeast"/>
          <w:jc w:val="center"/>
        </w:trPr>
        <w:tc>
          <w:tcPr>
            <w:tcW w:w="809" w:type="pct"/>
            <w:noWrap w:val="0"/>
            <w:vAlign w:val="center"/>
          </w:tcPr>
          <w:p>
            <w:pPr>
              <w:adjustRightInd w:val="0"/>
              <w:snapToGrid w:val="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其他</w:t>
            </w:r>
          </w:p>
        </w:tc>
        <w:tc>
          <w:tcPr>
            <w:tcW w:w="1802" w:type="pct"/>
            <w:noWrap w:val="0"/>
            <w:vAlign w:val="center"/>
          </w:tcPr>
          <w:p>
            <w:pPr>
              <w:adjustRightInd w:val="0"/>
              <w:snapToGrid w:val="0"/>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施工前应作详细计划，尽量减少开挖面，以减少植被的破坏；平整场地时尽量使用开挖土，对于多余土尽量回用或合理堆放，减少水土流失。</w:t>
            </w:r>
          </w:p>
          <w:p>
            <w:pPr>
              <w:adjustRightInd w:val="0"/>
              <w:snapToGrid w:val="0"/>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建设单位及施工单位应当重视施工过程的环境保护，加强对施工人员的环保培训，尽量减少土地的开挖量，减少对土地的占用，将对陆生生态影响降到最低。项目堤防加固、堤防护坡，可将项目区植被覆盖率有所提高，改善区域生态环境。施工完毕后应及时对临时占地区域进行复耕</w:t>
            </w:r>
            <w:r>
              <w:rPr>
                <w:rFonts w:hint="eastAsia" w:ascii="Times New Roman" w:hAnsi="Times New Roman" w:eastAsia="宋体" w:cs="Times New Roman"/>
                <w:color w:val="000000" w:themeColor="text1"/>
                <w:sz w:val="24"/>
                <w:szCs w:val="24"/>
                <w:lang w:eastAsia="zh-CN"/>
                <w14:textFill>
                  <w14:solidFill>
                    <w14:schemeClr w14:val="tx1"/>
                  </w14:solidFill>
                </w14:textFill>
              </w:rPr>
              <w:t>平整恢复</w:t>
            </w:r>
            <w:r>
              <w:rPr>
                <w:rFonts w:hint="eastAsia" w:ascii="Times New Roman" w:hAnsi="Times New Roman" w:eastAsia="宋体" w:cs="Times New Roman"/>
                <w:color w:val="000000" w:themeColor="text1"/>
                <w:sz w:val="24"/>
                <w:szCs w:val="24"/>
                <w14:textFill>
                  <w14:solidFill>
                    <w14:schemeClr w14:val="tx1"/>
                  </w14:solidFill>
                </w14:textFill>
              </w:rPr>
              <w:t>。</w:t>
            </w:r>
          </w:p>
          <w:p>
            <w:pPr>
              <w:adjustRightInd w:val="0"/>
              <w:snapToGrid w:val="0"/>
              <w:ind w:firstLine="480" w:firstLineChars="200"/>
              <w:rPr>
                <w:rFonts w:ascii="宋体" w:hAnsi="宋体" w:cs="宋体"/>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应加强宣传、教育，强化其保护环境的意识，文明施工，达到工程建设和环境保护的同步发展。</w:t>
            </w:r>
          </w:p>
        </w:tc>
        <w:tc>
          <w:tcPr>
            <w:tcW w:w="1243" w:type="pct"/>
            <w:noWrap w:val="0"/>
            <w:vAlign w:val="center"/>
          </w:tcPr>
          <w:p>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c>
          <w:tcPr>
            <w:tcW w:w="614" w:type="pct"/>
            <w:noWrap w:val="0"/>
            <w:vAlign w:val="center"/>
          </w:tcPr>
          <w:p>
            <w:pPr>
              <w:adjustRightInd w:val="0"/>
              <w:snapToGrid w:val="0"/>
              <w:rPr>
                <w:rFonts w:ascii="宋体" w:hAnsi="宋体" w:cs="宋体"/>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运营期加强巡查管护工作</w:t>
            </w:r>
          </w:p>
        </w:tc>
        <w:tc>
          <w:tcPr>
            <w:tcW w:w="530" w:type="pct"/>
            <w:noWrap w:val="0"/>
            <w:vAlign w:val="center"/>
          </w:tcPr>
          <w:p>
            <w:pPr>
              <w:adjustRightInd w:val="0"/>
              <w:snapToGrid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bl>
    <w:p>
      <w:pPr>
        <w:bidi w:val="0"/>
        <w:rPr>
          <w:rFonts w:hint="eastAsia"/>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17"/>
        <w:spacing w:before="192" w:beforeLines="80" w:beforeAutospacing="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七、结论</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4" w:hRule="atLeast"/>
          <w:jc w:val="center"/>
        </w:trPr>
        <w:tc>
          <w:tcPr>
            <w:tcW w:w="9289" w:type="dxa"/>
            <w:noWrap w:val="0"/>
            <w:vAlign w:val="top"/>
          </w:tcPr>
          <w:p>
            <w:pPr>
              <w:pStyle w:val="55"/>
              <w:bidi w:val="0"/>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符合国家和地方产业政策，工程施工期间，环境影响较小，在采取一定的环境保护措施可以得到有效恢复和减缓，且施工期较为短暂，不会对区域环境产生明显影响。工程建设后，能够进一步完善防洪体系，保障区域人民生命财产安全、经济社会发展及区域生态稳定均具有深远的意义。项目在严格落实设计和环评提出的各项污染防治措施、生态保护措施后，可实现各项污染物的达标排放，对环境的影响总体较小。从环保角度分析，项目建设可行。</w:t>
            </w:r>
          </w:p>
        </w:tc>
      </w:tr>
    </w:tbl>
    <w:p>
      <w:pPr>
        <w:widowControl/>
        <w:adjustRightInd w:val="0"/>
        <w:snapToGrid w:val="0"/>
        <w:spacing w:before="192" w:beforeLines="80"/>
        <w:jc w:val="left"/>
        <w:rPr>
          <w:rFonts w:ascii="宋体"/>
          <w:color w:val="000000" w:themeColor="text1"/>
          <w14:textFill>
            <w14:solidFill>
              <w14:schemeClr w14:val="tx1"/>
            </w14:solidFill>
          </w14:textFill>
        </w:rPr>
      </w:pPr>
    </w:p>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4"/>
      </w:rPr>
    </w:pPr>
    <w:r>
      <w:rPr>
        <w:rStyle w:val="24"/>
      </w:rPr>
      <w:fldChar w:fldCharType="begin"/>
    </w:r>
    <w:r>
      <w:rPr>
        <w:rStyle w:val="24"/>
      </w:rPr>
      <w:instrText xml:space="preserve">PAGE  </w:instrText>
    </w:r>
    <w:r>
      <w:rPr>
        <w:rStyle w:val="24"/>
      </w:rP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4BAAE"/>
    <w:multiLevelType w:val="singleLevel"/>
    <w:tmpl w:val="8E04BAAE"/>
    <w:lvl w:ilvl="0" w:tentative="0">
      <w:start w:val="5"/>
      <w:numFmt w:val="decimal"/>
      <w:suff w:val="nothing"/>
      <w:lvlText w:val="（%1）"/>
      <w:lvlJc w:val="left"/>
      <w:pPr>
        <w:ind w:left="-60"/>
      </w:pPr>
    </w:lvl>
  </w:abstractNum>
  <w:abstractNum w:abstractNumId="1">
    <w:nsid w:val="B0D56701"/>
    <w:multiLevelType w:val="singleLevel"/>
    <w:tmpl w:val="B0D56701"/>
    <w:lvl w:ilvl="0" w:tentative="0">
      <w:start w:val="2"/>
      <w:numFmt w:val="decimal"/>
      <w:suff w:val="nothing"/>
      <w:lvlText w:val="（%1）"/>
      <w:lvlJc w:val="left"/>
    </w:lvl>
  </w:abstractNum>
  <w:abstractNum w:abstractNumId="2">
    <w:nsid w:val="F1F75841"/>
    <w:multiLevelType w:val="singleLevel"/>
    <w:tmpl w:val="F1F75841"/>
    <w:lvl w:ilvl="0" w:tentative="0">
      <w:start w:val="4"/>
      <w:numFmt w:val="decimal"/>
      <w:suff w:val="nothing"/>
      <w:lvlText w:val="%1）"/>
      <w:lvlJc w:val="left"/>
    </w:lvl>
  </w:abstractNum>
  <w:abstractNum w:abstractNumId="3">
    <w:nsid w:val="044A124B"/>
    <w:multiLevelType w:val="singleLevel"/>
    <w:tmpl w:val="044A124B"/>
    <w:lvl w:ilvl="0" w:tentative="0">
      <w:start w:val="2"/>
      <w:numFmt w:val="decimal"/>
      <w:suff w:val="nothing"/>
      <w:lvlText w:val="（%1）"/>
      <w:lvlJc w:val="left"/>
    </w:lvl>
  </w:abstractNum>
  <w:abstractNum w:abstractNumId="4">
    <w:nsid w:val="0CEC2729"/>
    <w:multiLevelType w:val="singleLevel"/>
    <w:tmpl w:val="0CEC2729"/>
    <w:lvl w:ilvl="0" w:tentative="0">
      <w:start w:val="1"/>
      <w:numFmt w:val="decimal"/>
      <w:suff w:val="nothing"/>
      <w:lvlText w:val="（%1）"/>
      <w:lvlJc w:val="left"/>
    </w:lvl>
  </w:abstractNum>
  <w:abstractNum w:abstractNumId="5">
    <w:nsid w:val="2750373B"/>
    <w:multiLevelType w:val="singleLevel"/>
    <w:tmpl w:val="2750373B"/>
    <w:lvl w:ilvl="0" w:tentative="0">
      <w:start w:val="1"/>
      <w:numFmt w:val="decimal"/>
      <w:lvlText w:val="%1)"/>
      <w:lvlJc w:val="left"/>
      <w:pPr>
        <w:tabs>
          <w:tab w:val="left" w:pos="312"/>
        </w:tabs>
      </w:pPr>
    </w:lvl>
  </w:abstractNum>
  <w:abstractNum w:abstractNumId="6">
    <w:nsid w:val="65B78370"/>
    <w:multiLevelType w:val="singleLevel"/>
    <w:tmpl w:val="65B78370"/>
    <w:lvl w:ilvl="0" w:tentative="0">
      <w:start w:val="4"/>
      <w:numFmt w:val="decimal"/>
      <w:suff w:val="nothing"/>
      <w:lvlText w:val="%1、"/>
      <w:lvlJc w:val="left"/>
    </w:lvl>
  </w:abstractNum>
  <w:num w:numId="1">
    <w:abstractNumId w:val="6"/>
  </w:num>
  <w:num w:numId="2">
    <w:abstractNumId w:val="4"/>
  </w:num>
  <w:num w:numId="3">
    <w:abstractNumId w:val="1"/>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xNDliZTNiNDUzMzZmOTVmNWNmNDBhNjMyMTE1ZDE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4CE2"/>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23CCF"/>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8B3"/>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08CE"/>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16E"/>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0A4834"/>
    <w:rsid w:val="0172659B"/>
    <w:rsid w:val="01970E7A"/>
    <w:rsid w:val="01C048F5"/>
    <w:rsid w:val="01CE34AC"/>
    <w:rsid w:val="02177FA5"/>
    <w:rsid w:val="024A6D2D"/>
    <w:rsid w:val="02681FD5"/>
    <w:rsid w:val="028413A1"/>
    <w:rsid w:val="032951C5"/>
    <w:rsid w:val="03D565B3"/>
    <w:rsid w:val="047149BB"/>
    <w:rsid w:val="04EA0F49"/>
    <w:rsid w:val="056C0A85"/>
    <w:rsid w:val="05742AC8"/>
    <w:rsid w:val="05863727"/>
    <w:rsid w:val="058F2B91"/>
    <w:rsid w:val="059E7E8F"/>
    <w:rsid w:val="05A465DE"/>
    <w:rsid w:val="05A469AC"/>
    <w:rsid w:val="05FE6E52"/>
    <w:rsid w:val="06352F05"/>
    <w:rsid w:val="06363491"/>
    <w:rsid w:val="063E7D85"/>
    <w:rsid w:val="065A5226"/>
    <w:rsid w:val="0660077F"/>
    <w:rsid w:val="06772CA9"/>
    <w:rsid w:val="06D77FB8"/>
    <w:rsid w:val="06FB2DD4"/>
    <w:rsid w:val="070875E0"/>
    <w:rsid w:val="071D06F9"/>
    <w:rsid w:val="07293586"/>
    <w:rsid w:val="07295285"/>
    <w:rsid w:val="072A1C14"/>
    <w:rsid w:val="075E0D09"/>
    <w:rsid w:val="07770C56"/>
    <w:rsid w:val="08A04B9D"/>
    <w:rsid w:val="092217DD"/>
    <w:rsid w:val="09373662"/>
    <w:rsid w:val="093A7294"/>
    <w:rsid w:val="094B3351"/>
    <w:rsid w:val="09C06197"/>
    <w:rsid w:val="09D90901"/>
    <w:rsid w:val="09F83373"/>
    <w:rsid w:val="0A1417B4"/>
    <w:rsid w:val="0A373969"/>
    <w:rsid w:val="0A734278"/>
    <w:rsid w:val="0ACC2130"/>
    <w:rsid w:val="0B03422D"/>
    <w:rsid w:val="0BD27BF6"/>
    <w:rsid w:val="0C064986"/>
    <w:rsid w:val="0C233EFD"/>
    <w:rsid w:val="0C25393F"/>
    <w:rsid w:val="0D241270"/>
    <w:rsid w:val="0D3E6633"/>
    <w:rsid w:val="0D5B2BE2"/>
    <w:rsid w:val="0D945637"/>
    <w:rsid w:val="0DBC3EB7"/>
    <w:rsid w:val="0E110D06"/>
    <w:rsid w:val="0E226F56"/>
    <w:rsid w:val="0E8206CA"/>
    <w:rsid w:val="0EA4062C"/>
    <w:rsid w:val="0F0C4218"/>
    <w:rsid w:val="0F13775A"/>
    <w:rsid w:val="0F47557A"/>
    <w:rsid w:val="0F4B7889"/>
    <w:rsid w:val="0F502AA8"/>
    <w:rsid w:val="0F5E07BF"/>
    <w:rsid w:val="0F9A112B"/>
    <w:rsid w:val="0FB67BDC"/>
    <w:rsid w:val="10473284"/>
    <w:rsid w:val="105314CD"/>
    <w:rsid w:val="10617DEC"/>
    <w:rsid w:val="106D2F64"/>
    <w:rsid w:val="10A71F97"/>
    <w:rsid w:val="10B63710"/>
    <w:rsid w:val="10DC0953"/>
    <w:rsid w:val="111C2F7A"/>
    <w:rsid w:val="11234A36"/>
    <w:rsid w:val="113013DE"/>
    <w:rsid w:val="114F7998"/>
    <w:rsid w:val="11566175"/>
    <w:rsid w:val="11902C5A"/>
    <w:rsid w:val="11915504"/>
    <w:rsid w:val="11922747"/>
    <w:rsid w:val="11A70F13"/>
    <w:rsid w:val="11C5744F"/>
    <w:rsid w:val="11EE5A02"/>
    <w:rsid w:val="12055F07"/>
    <w:rsid w:val="122B06C2"/>
    <w:rsid w:val="123A5B38"/>
    <w:rsid w:val="124A5B95"/>
    <w:rsid w:val="124B5C5D"/>
    <w:rsid w:val="12FC4D92"/>
    <w:rsid w:val="132F192A"/>
    <w:rsid w:val="133409FD"/>
    <w:rsid w:val="13752631"/>
    <w:rsid w:val="13854903"/>
    <w:rsid w:val="13951726"/>
    <w:rsid w:val="14396509"/>
    <w:rsid w:val="1447165C"/>
    <w:rsid w:val="1597796B"/>
    <w:rsid w:val="15AD4C2E"/>
    <w:rsid w:val="15BC1D94"/>
    <w:rsid w:val="15C154B8"/>
    <w:rsid w:val="15E50787"/>
    <w:rsid w:val="16873133"/>
    <w:rsid w:val="16AA4012"/>
    <w:rsid w:val="174476D4"/>
    <w:rsid w:val="175B2D65"/>
    <w:rsid w:val="17735226"/>
    <w:rsid w:val="17E4403F"/>
    <w:rsid w:val="17FB7A6B"/>
    <w:rsid w:val="182548EF"/>
    <w:rsid w:val="189974C6"/>
    <w:rsid w:val="18A14D71"/>
    <w:rsid w:val="18E24317"/>
    <w:rsid w:val="18EE7F7B"/>
    <w:rsid w:val="195E3CD9"/>
    <w:rsid w:val="19647362"/>
    <w:rsid w:val="197E21C1"/>
    <w:rsid w:val="1A1C66C0"/>
    <w:rsid w:val="1A1F0AEC"/>
    <w:rsid w:val="1A42393B"/>
    <w:rsid w:val="1A864FDA"/>
    <w:rsid w:val="1B046F80"/>
    <w:rsid w:val="1B3267B5"/>
    <w:rsid w:val="1B550A0F"/>
    <w:rsid w:val="1B9B6573"/>
    <w:rsid w:val="1BC25DC8"/>
    <w:rsid w:val="1BEC7221"/>
    <w:rsid w:val="1C1B3917"/>
    <w:rsid w:val="1C344C67"/>
    <w:rsid w:val="1C3E5A3A"/>
    <w:rsid w:val="1C5E7925"/>
    <w:rsid w:val="1C887FC8"/>
    <w:rsid w:val="1CC72FDC"/>
    <w:rsid w:val="1CD65CA3"/>
    <w:rsid w:val="1D055E82"/>
    <w:rsid w:val="1D1036BE"/>
    <w:rsid w:val="1D182912"/>
    <w:rsid w:val="1D36528E"/>
    <w:rsid w:val="1D5F6196"/>
    <w:rsid w:val="1D6132A5"/>
    <w:rsid w:val="1D8E56D5"/>
    <w:rsid w:val="1D9305F4"/>
    <w:rsid w:val="1DC77703"/>
    <w:rsid w:val="1E441B78"/>
    <w:rsid w:val="1E553A53"/>
    <w:rsid w:val="1E7A43DA"/>
    <w:rsid w:val="1EB277FE"/>
    <w:rsid w:val="1F0A480F"/>
    <w:rsid w:val="1F206C3D"/>
    <w:rsid w:val="1F261684"/>
    <w:rsid w:val="1F5076B0"/>
    <w:rsid w:val="1F8C5FD7"/>
    <w:rsid w:val="1FCC28BE"/>
    <w:rsid w:val="1FE7539E"/>
    <w:rsid w:val="20004EDA"/>
    <w:rsid w:val="20055A53"/>
    <w:rsid w:val="20963CB8"/>
    <w:rsid w:val="20B07FB6"/>
    <w:rsid w:val="20D34EB3"/>
    <w:rsid w:val="21174F3A"/>
    <w:rsid w:val="212B03F9"/>
    <w:rsid w:val="213B74B1"/>
    <w:rsid w:val="215A2310"/>
    <w:rsid w:val="21DE318A"/>
    <w:rsid w:val="21EF5B80"/>
    <w:rsid w:val="21F11165"/>
    <w:rsid w:val="2250317F"/>
    <w:rsid w:val="22576990"/>
    <w:rsid w:val="22655454"/>
    <w:rsid w:val="22664126"/>
    <w:rsid w:val="22961DA2"/>
    <w:rsid w:val="229C4EAB"/>
    <w:rsid w:val="22C7568D"/>
    <w:rsid w:val="22E21D97"/>
    <w:rsid w:val="237256A6"/>
    <w:rsid w:val="23AC31E4"/>
    <w:rsid w:val="243049F2"/>
    <w:rsid w:val="24955C18"/>
    <w:rsid w:val="24B379D8"/>
    <w:rsid w:val="24E45965"/>
    <w:rsid w:val="24F90AE0"/>
    <w:rsid w:val="252D53FE"/>
    <w:rsid w:val="25645AF1"/>
    <w:rsid w:val="258D6A6D"/>
    <w:rsid w:val="25961C08"/>
    <w:rsid w:val="25AC00BC"/>
    <w:rsid w:val="25EC2D81"/>
    <w:rsid w:val="25F52934"/>
    <w:rsid w:val="26042AA7"/>
    <w:rsid w:val="2610540B"/>
    <w:rsid w:val="264528BD"/>
    <w:rsid w:val="26461CE8"/>
    <w:rsid w:val="264F19D4"/>
    <w:rsid w:val="26856771"/>
    <w:rsid w:val="26865D97"/>
    <w:rsid w:val="26DB6595"/>
    <w:rsid w:val="27B34DE8"/>
    <w:rsid w:val="27D15DD1"/>
    <w:rsid w:val="28263B9B"/>
    <w:rsid w:val="289D2BE0"/>
    <w:rsid w:val="28A76295"/>
    <w:rsid w:val="28E8343D"/>
    <w:rsid w:val="29081487"/>
    <w:rsid w:val="2910731E"/>
    <w:rsid w:val="29206EB8"/>
    <w:rsid w:val="29584BD7"/>
    <w:rsid w:val="29B02E43"/>
    <w:rsid w:val="29CB3381"/>
    <w:rsid w:val="29D83CC1"/>
    <w:rsid w:val="29E325E0"/>
    <w:rsid w:val="2A452503"/>
    <w:rsid w:val="2AAF6672"/>
    <w:rsid w:val="2ACD2A8E"/>
    <w:rsid w:val="2AF2047F"/>
    <w:rsid w:val="2BA936A8"/>
    <w:rsid w:val="2BF1120B"/>
    <w:rsid w:val="2C315A5A"/>
    <w:rsid w:val="2C750F81"/>
    <w:rsid w:val="2C9A462D"/>
    <w:rsid w:val="2CB362FA"/>
    <w:rsid w:val="2D077ECE"/>
    <w:rsid w:val="2D1273E2"/>
    <w:rsid w:val="2D1B39E7"/>
    <w:rsid w:val="2D28628E"/>
    <w:rsid w:val="2D293AF5"/>
    <w:rsid w:val="2D3D3DD8"/>
    <w:rsid w:val="2D495CCA"/>
    <w:rsid w:val="2D9E56F5"/>
    <w:rsid w:val="2DCA6274"/>
    <w:rsid w:val="2E0B10B5"/>
    <w:rsid w:val="2E3525CE"/>
    <w:rsid w:val="2E503150"/>
    <w:rsid w:val="2E667F96"/>
    <w:rsid w:val="2E8226AB"/>
    <w:rsid w:val="2EB022BA"/>
    <w:rsid w:val="2EF60F49"/>
    <w:rsid w:val="2F832C79"/>
    <w:rsid w:val="2FBB7087"/>
    <w:rsid w:val="2FEF2D58"/>
    <w:rsid w:val="2FFE24BB"/>
    <w:rsid w:val="301520CD"/>
    <w:rsid w:val="3050190A"/>
    <w:rsid w:val="30580BC9"/>
    <w:rsid w:val="30890D44"/>
    <w:rsid w:val="30C51E5A"/>
    <w:rsid w:val="30FC3CBF"/>
    <w:rsid w:val="311E2ED7"/>
    <w:rsid w:val="315C449C"/>
    <w:rsid w:val="316976DA"/>
    <w:rsid w:val="317D2C0B"/>
    <w:rsid w:val="31B82709"/>
    <w:rsid w:val="32400B34"/>
    <w:rsid w:val="32862207"/>
    <w:rsid w:val="329E6876"/>
    <w:rsid w:val="32E021D0"/>
    <w:rsid w:val="32E107A3"/>
    <w:rsid w:val="32EE7B8B"/>
    <w:rsid w:val="333B7E36"/>
    <w:rsid w:val="33CA10B3"/>
    <w:rsid w:val="33D934D4"/>
    <w:rsid w:val="33D93C2E"/>
    <w:rsid w:val="33FE2F6A"/>
    <w:rsid w:val="345254B8"/>
    <w:rsid w:val="34687274"/>
    <w:rsid w:val="347802E9"/>
    <w:rsid w:val="34804753"/>
    <w:rsid w:val="34D34E19"/>
    <w:rsid w:val="34EA69CF"/>
    <w:rsid w:val="35B9451C"/>
    <w:rsid w:val="35BE203C"/>
    <w:rsid w:val="35D33FEC"/>
    <w:rsid w:val="35F8020A"/>
    <w:rsid w:val="36074A7F"/>
    <w:rsid w:val="36163D5B"/>
    <w:rsid w:val="36343A97"/>
    <w:rsid w:val="366A09A6"/>
    <w:rsid w:val="36912F20"/>
    <w:rsid w:val="36923549"/>
    <w:rsid w:val="36B75FBF"/>
    <w:rsid w:val="36DD37CC"/>
    <w:rsid w:val="36EC6AED"/>
    <w:rsid w:val="36FB4891"/>
    <w:rsid w:val="371C081F"/>
    <w:rsid w:val="3756429D"/>
    <w:rsid w:val="37594224"/>
    <w:rsid w:val="37A14044"/>
    <w:rsid w:val="37DC51C5"/>
    <w:rsid w:val="38294433"/>
    <w:rsid w:val="388F6C58"/>
    <w:rsid w:val="38F12CD3"/>
    <w:rsid w:val="38F94775"/>
    <w:rsid w:val="392971ED"/>
    <w:rsid w:val="3A0A14BD"/>
    <w:rsid w:val="3A6A089D"/>
    <w:rsid w:val="3A7C0B90"/>
    <w:rsid w:val="3B3763D1"/>
    <w:rsid w:val="3BC97011"/>
    <w:rsid w:val="3C4F7B3A"/>
    <w:rsid w:val="3CDA245A"/>
    <w:rsid w:val="3CDA4281"/>
    <w:rsid w:val="3CEE0A37"/>
    <w:rsid w:val="3CF7026E"/>
    <w:rsid w:val="3D171E1D"/>
    <w:rsid w:val="3D1B275B"/>
    <w:rsid w:val="3D685609"/>
    <w:rsid w:val="3DCA79A6"/>
    <w:rsid w:val="3DCB7DA0"/>
    <w:rsid w:val="3DEC451E"/>
    <w:rsid w:val="3E2F52BC"/>
    <w:rsid w:val="3E4C3D9D"/>
    <w:rsid w:val="3F354E93"/>
    <w:rsid w:val="3F660E74"/>
    <w:rsid w:val="3FFD4B9D"/>
    <w:rsid w:val="40212390"/>
    <w:rsid w:val="404F1A48"/>
    <w:rsid w:val="407A6407"/>
    <w:rsid w:val="40A64953"/>
    <w:rsid w:val="40E44EBD"/>
    <w:rsid w:val="40F148C5"/>
    <w:rsid w:val="40F16FDA"/>
    <w:rsid w:val="413E0EFC"/>
    <w:rsid w:val="414F5582"/>
    <w:rsid w:val="4166016F"/>
    <w:rsid w:val="41A80683"/>
    <w:rsid w:val="41B2368F"/>
    <w:rsid w:val="41F5346F"/>
    <w:rsid w:val="421639E7"/>
    <w:rsid w:val="423A3BCC"/>
    <w:rsid w:val="42880E86"/>
    <w:rsid w:val="429C1EF8"/>
    <w:rsid w:val="42F8326F"/>
    <w:rsid w:val="433A6FE6"/>
    <w:rsid w:val="4350713C"/>
    <w:rsid w:val="436653E0"/>
    <w:rsid w:val="43FD6620"/>
    <w:rsid w:val="44002774"/>
    <w:rsid w:val="442C7AF4"/>
    <w:rsid w:val="442E62A0"/>
    <w:rsid w:val="44641CDB"/>
    <w:rsid w:val="449016E9"/>
    <w:rsid w:val="44BA07F4"/>
    <w:rsid w:val="44C52D9D"/>
    <w:rsid w:val="44CD14E0"/>
    <w:rsid w:val="455F4180"/>
    <w:rsid w:val="45864755"/>
    <w:rsid w:val="45872666"/>
    <w:rsid w:val="458946E9"/>
    <w:rsid w:val="45D14119"/>
    <w:rsid w:val="461D612D"/>
    <w:rsid w:val="463D5EF6"/>
    <w:rsid w:val="463D7AA2"/>
    <w:rsid w:val="466F51F0"/>
    <w:rsid w:val="46C60977"/>
    <w:rsid w:val="46D955A7"/>
    <w:rsid w:val="46DF5698"/>
    <w:rsid w:val="47133957"/>
    <w:rsid w:val="4779329E"/>
    <w:rsid w:val="479E4B7C"/>
    <w:rsid w:val="47A07E0C"/>
    <w:rsid w:val="47A86202"/>
    <w:rsid w:val="47F13551"/>
    <w:rsid w:val="4820418B"/>
    <w:rsid w:val="4826734A"/>
    <w:rsid w:val="486332E9"/>
    <w:rsid w:val="4870272E"/>
    <w:rsid w:val="48FF15BA"/>
    <w:rsid w:val="49554A22"/>
    <w:rsid w:val="49DC7715"/>
    <w:rsid w:val="4A023139"/>
    <w:rsid w:val="4A7B576F"/>
    <w:rsid w:val="4A827004"/>
    <w:rsid w:val="4A982B10"/>
    <w:rsid w:val="4AA038CD"/>
    <w:rsid w:val="4AAF662F"/>
    <w:rsid w:val="4B521C75"/>
    <w:rsid w:val="4B5A699E"/>
    <w:rsid w:val="4BD46691"/>
    <w:rsid w:val="4C021D7E"/>
    <w:rsid w:val="4C494BD8"/>
    <w:rsid w:val="4C4A0649"/>
    <w:rsid w:val="4CE470D3"/>
    <w:rsid w:val="4D49204E"/>
    <w:rsid w:val="4D815520"/>
    <w:rsid w:val="4DBE3AB2"/>
    <w:rsid w:val="4DEC4FB0"/>
    <w:rsid w:val="4E0401AB"/>
    <w:rsid w:val="4E075D8A"/>
    <w:rsid w:val="4E39607A"/>
    <w:rsid w:val="4E8E790E"/>
    <w:rsid w:val="4EF43ECE"/>
    <w:rsid w:val="4FC62A8C"/>
    <w:rsid w:val="4FD274D4"/>
    <w:rsid w:val="4FE20F0D"/>
    <w:rsid w:val="50504C4B"/>
    <w:rsid w:val="506A2DA1"/>
    <w:rsid w:val="509C6E7C"/>
    <w:rsid w:val="50FA4340"/>
    <w:rsid w:val="51430EF9"/>
    <w:rsid w:val="5162104E"/>
    <w:rsid w:val="51D01B6C"/>
    <w:rsid w:val="522F7ACE"/>
    <w:rsid w:val="52E2591C"/>
    <w:rsid w:val="53202ED7"/>
    <w:rsid w:val="5367681F"/>
    <w:rsid w:val="53A039CC"/>
    <w:rsid w:val="53A1505A"/>
    <w:rsid w:val="53A86AFE"/>
    <w:rsid w:val="54063E08"/>
    <w:rsid w:val="541B0A06"/>
    <w:rsid w:val="543437E8"/>
    <w:rsid w:val="54A36CEC"/>
    <w:rsid w:val="553C2734"/>
    <w:rsid w:val="5543733C"/>
    <w:rsid w:val="559B174B"/>
    <w:rsid w:val="55BA0837"/>
    <w:rsid w:val="55BC0118"/>
    <w:rsid w:val="55CE0CF4"/>
    <w:rsid w:val="561B7C77"/>
    <w:rsid w:val="5671179F"/>
    <w:rsid w:val="56B22A9C"/>
    <w:rsid w:val="56EF7DA5"/>
    <w:rsid w:val="57542B58"/>
    <w:rsid w:val="57636CFE"/>
    <w:rsid w:val="57A77135"/>
    <w:rsid w:val="57B72A76"/>
    <w:rsid w:val="57D77679"/>
    <w:rsid w:val="57FD1DA0"/>
    <w:rsid w:val="58F34A11"/>
    <w:rsid w:val="591D4DAA"/>
    <w:rsid w:val="59320348"/>
    <w:rsid w:val="59A77832"/>
    <w:rsid w:val="59B45D11"/>
    <w:rsid w:val="59CB102A"/>
    <w:rsid w:val="5A1070E4"/>
    <w:rsid w:val="5A3C747D"/>
    <w:rsid w:val="5A786C69"/>
    <w:rsid w:val="5AA3689A"/>
    <w:rsid w:val="5ABE2233"/>
    <w:rsid w:val="5AF94E81"/>
    <w:rsid w:val="5B276D18"/>
    <w:rsid w:val="5BCF5F08"/>
    <w:rsid w:val="5BDF5D95"/>
    <w:rsid w:val="5C377FC0"/>
    <w:rsid w:val="5C7F1626"/>
    <w:rsid w:val="5CB313FA"/>
    <w:rsid w:val="5CDA5075"/>
    <w:rsid w:val="5D477E51"/>
    <w:rsid w:val="5D6A43FC"/>
    <w:rsid w:val="5DDB39B6"/>
    <w:rsid w:val="5DF87A0F"/>
    <w:rsid w:val="5E1A1E15"/>
    <w:rsid w:val="5E3753B2"/>
    <w:rsid w:val="5E522C82"/>
    <w:rsid w:val="5E9B0C4F"/>
    <w:rsid w:val="5F1A2B43"/>
    <w:rsid w:val="5F670D1E"/>
    <w:rsid w:val="5F877F30"/>
    <w:rsid w:val="5FB837BB"/>
    <w:rsid w:val="5FC75AA8"/>
    <w:rsid w:val="5FE83335"/>
    <w:rsid w:val="5FED1755"/>
    <w:rsid w:val="604C04B2"/>
    <w:rsid w:val="60562532"/>
    <w:rsid w:val="6083199C"/>
    <w:rsid w:val="61B94A41"/>
    <w:rsid w:val="61D40DBD"/>
    <w:rsid w:val="61D81972"/>
    <w:rsid w:val="6224338E"/>
    <w:rsid w:val="62364782"/>
    <w:rsid w:val="627B698F"/>
    <w:rsid w:val="628E2133"/>
    <w:rsid w:val="62B033F6"/>
    <w:rsid w:val="633017BF"/>
    <w:rsid w:val="63312D96"/>
    <w:rsid w:val="63362C13"/>
    <w:rsid w:val="63482F90"/>
    <w:rsid w:val="63D40BE9"/>
    <w:rsid w:val="63E0211F"/>
    <w:rsid w:val="64685078"/>
    <w:rsid w:val="64BF39A4"/>
    <w:rsid w:val="65373578"/>
    <w:rsid w:val="656F6D34"/>
    <w:rsid w:val="65707231"/>
    <w:rsid w:val="65932238"/>
    <w:rsid w:val="66441962"/>
    <w:rsid w:val="67394586"/>
    <w:rsid w:val="673F2C7A"/>
    <w:rsid w:val="6768731F"/>
    <w:rsid w:val="676C4A66"/>
    <w:rsid w:val="67A411EC"/>
    <w:rsid w:val="680D7DB5"/>
    <w:rsid w:val="681F6961"/>
    <w:rsid w:val="68610A2F"/>
    <w:rsid w:val="68805514"/>
    <w:rsid w:val="69045C66"/>
    <w:rsid w:val="694E2071"/>
    <w:rsid w:val="697A3B33"/>
    <w:rsid w:val="699A0CCE"/>
    <w:rsid w:val="699E2456"/>
    <w:rsid w:val="69FE705B"/>
    <w:rsid w:val="6A6A0BB4"/>
    <w:rsid w:val="6A8C1125"/>
    <w:rsid w:val="6AE80539"/>
    <w:rsid w:val="6B322639"/>
    <w:rsid w:val="6B3A5ACE"/>
    <w:rsid w:val="6B713452"/>
    <w:rsid w:val="6BA10D8E"/>
    <w:rsid w:val="6C2E7FDA"/>
    <w:rsid w:val="6C636C38"/>
    <w:rsid w:val="6C7E71BC"/>
    <w:rsid w:val="6CD94EBF"/>
    <w:rsid w:val="6CF913F9"/>
    <w:rsid w:val="6D6F4734"/>
    <w:rsid w:val="6DA06196"/>
    <w:rsid w:val="6DB34098"/>
    <w:rsid w:val="6DB545B6"/>
    <w:rsid w:val="6E4375A0"/>
    <w:rsid w:val="6E514CED"/>
    <w:rsid w:val="6E581158"/>
    <w:rsid w:val="6E79491A"/>
    <w:rsid w:val="6EB563D5"/>
    <w:rsid w:val="6F225983"/>
    <w:rsid w:val="6F914EDF"/>
    <w:rsid w:val="6F9F588C"/>
    <w:rsid w:val="6FFC5590"/>
    <w:rsid w:val="7018767A"/>
    <w:rsid w:val="70301DA3"/>
    <w:rsid w:val="706D1DD0"/>
    <w:rsid w:val="70856B87"/>
    <w:rsid w:val="709A231C"/>
    <w:rsid w:val="70D04123"/>
    <w:rsid w:val="70D527EE"/>
    <w:rsid w:val="70E179F1"/>
    <w:rsid w:val="70F17827"/>
    <w:rsid w:val="71153587"/>
    <w:rsid w:val="711A29A0"/>
    <w:rsid w:val="715B5300"/>
    <w:rsid w:val="715F4BD7"/>
    <w:rsid w:val="717903AB"/>
    <w:rsid w:val="71BD019A"/>
    <w:rsid w:val="71D27F8A"/>
    <w:rsid w:val="71F744C6"/>
    <w:rsid w:val="71F960CF"/>
    <w:rsid w:val="722D2621"/>
    <w:rsid w:val="72846BCB"/>
    <w:rsid w:val="72A87991"/>
    <w:rsid w:val="730C00AA"/>
    <w:rsid w:val="731F5D5E"/>
    <w:rsid w:val="739C4222"/>
    <w:rsid w:val="739E0C13"/>
    <w:rsid w:val="741E793C"/>
    <w:rsid w:val="749C157E"/>
    <w:rsid w:val="74B518BA"/>
    <w:rsid w:val="758D75E2"/>
    <w:rsid w:val="75A43E14"/>
    <w:rsid w:val="75C66B54"/>
    <w:rsid w:val="75CA690C"/>
    <w:rsid w:val="76035982"/>
    <w:rsid w:val="76217EBE"/>
    <w:rsid w:val="76596686"/>
    <w:rsid w:val="77121D63"/>
    <w:rsid w:val="774342F4"/>
    <w:rsid w:val="77762421"/>
    <w:rsid w:val="77AB5301"/>
    <w:rsid w:val="780F09F4"/>
    <w:rsid w:val="78106FDD"/>
    <w:rsid w:val="781A0800"/>
    <w:rsid w:val="78265BC4"/>
    <w:rsid w:val="78387633"/>
    <w:rsid w:val="787307EF"/>
    <w:rsid w:val="78770683"/>
    <w:rsid w:val="789171A3"/>
    <w:rsid w:val="789C4F47"/>
    <w:rsid w:val="78A90480"/>
    <w:rsid w:val="78B52F8D"/>
    <w:rsid w:val="78FC585B"/>
    <w:rsid w:val="79304FEA"/>
    <w:rsid w:val="7934284E"/>
    <w:rsid w:val="794C3995"/>
    <w:rsid w:val="79811327"/>
    <w:rsid w:val="79944772"/>
    <w:rsid w:val="79CD3333"/>
    <w:rsid w:val="7A364017"/>
    <w:rsid w:val="7A642F9A"/>
    <w:rsid w:val="7A69347E"/>
    <w:rsid w:val="7A7D7953"/>
    <w:rsid w:val="7A8265E1"/>
    <w:rsid w:val="7A991D05"/>
    <w:rsid w:val="7A9F3AB9"/>
    <w:rsid w:val="7B1467F3"/>
    <w:rsid w:val="7B686D42"/>
    <w:rsid w:val="7B7C092E"/>
    <w:rsid w:val="7B841746"/>
    <w:rsid w:val="7BB00252"/>
    <w:rsid w:val="7BDF7469"/>
    <w:rsid w:val="7CB741EF"/>
    <w:rsid w:val="7CF942C4"/>
    <w:rsid w:val="7D0239FF"/>
    <w:rsid w:val="7D2D0BB3"/>
    <w:rsid w:val="7D356CDC"/>
    <w:rsid w:val="7D5E40CD"/>
    <w:rsid w:val="7D693BED"/>
    <w:rsid w:val="7D820A7E"/>
    <w:rsid w:val="7E67197E"/>
    <w:rsid w:val="7F1834C5"/>
    <w:rsid w:val="7F3F0AEE"/>
    <w:rsid w:val="7F3F49C3"/>
    <w:rsid w:val="7F504EB2"/>
    <w:rsid w:val="7F557901"/>
    <w:rsid w:val="7F601ACE"/>
    <w:rsid w:val="7FA73BC4"/>
    <w:rsid w:val="7FBD293C"/>
    <w:rsid w:val="7FE47E50"/>
    <w:rsid w:val="7FF828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26"/>
    <w:qFormat/>
    <w:locked/>
    <w:uiPriority w:val="0"/>
    <w:pPr>
      <w:keepNext/>
      <w:keepLines/>
      <w:spacing w:before="260" w:after="260" w:line="416" w:lineRule="auto"/>
      <w:outlineLvl w:val="2"/>
    </w:pPr>
    <w:rPr>
      <w:b/>
      <w:bCs/>
      <w:sz w:val="32"/>
      <w:szCs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index 8"/>
    <w:basedOn w:val="1"/>
    <w:next w:val="1"/>
    <w:unhideWhenUsed/>
    <w:qFormat/>
    <w:uiPriority w:val="99"/>
    <w:pPr>
      <w:adjustRightInd w:val="0"/>
      <w:snapToGrid w:val="0"/>
      <w:spacing w:line="360" w:lineRule="auto"/>
      <w:ind w:left="1400" w:leftChars="1400" w:firstLine="200" w:firstLineChars="200"/>
    </w:pPr>
    <w:rPr>
      <w:sz w:val="24"/>
      <w:szCs w:val="22"/>
    </w:rPr>
  </w:style>
  <w:style w:type="paragraph" w:styleId="7">
    <w:name w:val="Normal Indent"/>
    <w:basedOn w:val="1"/>
    <w:next w:val="8"/>
    <w:qFormat/>
    <w:uiPriority w:val="0"/>
    <w:pPr>
      <w:ind w:firstLine="420" w:firstLineChars="200"/>
    </w:pPr>
  </w:style>
  <w:style w:type="paragraph" w:styleId="8">
    <w:name w:val="Body Text First Indent 2"/>
    <w:basedOn w:val="9"/>
    <w:next w:val="1"/>
    <w:unhideWhenUsed/>
    <w:qFormat/>
    <w:uiPriority w:val="0"/>
    <w:pPr>
      <w:ind w:firstLine="420" w:firstLineChars="200"/>
      <w:jc w:val="left"/>
    </w:pPr>
    <w:rPr>
      <w:rFonts w:asciiTheme="minorHAnsi" w:hAnsiTheme="minorHAnsi" w:eastAsiaTheme="minorEastAsia" w:cstheme="minorBidi"/>
      <w:kern w:val="0"/>
      <w:sz w:val="22"/>
      <w:szCs w:val="22"/>
      <w:lang w:eastAsia="en-US"/>
    </w:rPr>
  </w:style>
  <w:style w:type="paragraph" w:styleId="9">
    <w:name w:val="Body Text Indent"/>
    <w:basedOn w:val="1"/>
    <w:next w:val="1"/>
    <w:link w:val="41"/>
    <w:semiHidden/>
    <w:qFormat/>
    <w:uiPriority w:val="0"/>
    <w:pPr>
      <w:spacing w:after="120"/>
      <w:ind w:left="420" w:leftChars="200"/>
    </w:pPr>
  </w:style>
  <w:style w:type="paragraph" w:styleId="10">
    <w:name w:val="annotation text"/>
    <w:basedOn w:val="1"/>
    <w:link w:val="39"/>
    <w:semiHidden/>
    <w:qFormat/>
    <w:uiPriority w:val="0"/>
    <w:pPr>
      <w:jc w:val="left"/>
    </w:pPr>
    <w:rPr>
      <w:kern w:val="0"/>
      <w:sz w:val="20"/>
    </w:rPr>
  </w:style>
  <w:style w:type="paragraph" w:styleId="11">
    <w:name w:val="Body Text"/>
    <w:basedOn w:val="1"/>
    <w:next w:val="9"/>
    <w:link w:val="30"/>
    <w:qFormat/>
    <w:uiPriority w:val="0"/>
    <w:pPr>
      <w:widowControl/>
      <w:snapToGrid w:val="0"/>
      <w:spacing w:before="60" w:after="160" w:line="259" w:lineRule="auto"/>
      <w:ind w:right="113"/>
    </w:pPr>
    <w:rPr>
      <w:kern w:val="0"/>
      <w:sz w:val="18"/>
      <w:szCs w:val="18"/>
    </w:rPr>
  </w:style>
  <w:style w:type="paragraph" w:styleId="12">
    <w:name w:val="Date"/>
    <w:basedOn w:val="1"/>
    <w:next w:val="1"/>
    <w:link w:val="32"/>
    <w:qFormat/>
    <w:uiPriority w:val="0"/>
    <w:pPr>
      <w:ind w:left="100" w:leftChars="2500"/>
    </w:pPr>
    <w:rPr>
      <w:kern w:val="0"/>
      <w:sz w:val="20"/>
    </w:rPr>
  </w:style>
  <w:style w:type="paragraph" w:styleId="13">
    <w:name w:val="Balloon Text"/>
    <w:basedOn w:val="1"/>
    <w:link w:val="38"/>
    <w:semiHidden/>
    <w:qFormat/>
    <w:uiPriority w:val="0"/>
    <w:rPr>
      <w:sz w:val="18"/>
      <w:szCs w:val="18"/>
    </w:rPr>
  </w:style>
  <w:style w:type="paragraph" w:styleId="14">
    <w:name w:val="footer"/>
    <w:basedOn w:val="1"/>
    <w:link w:val="29"/>
    <w:qFormat/>
    <w:uiPriority w:val="0"/>
    <w:pPr>
      <w:tabs>
        <w:tab w:val="center" w:pos="4153"/>
        <w:tab w:val="right" w:pos="8306"/>
      </w:tabs>
      <w:snapToGrid w:val="0"/>
      <w:jc w:val="left"/>
    </w:pPr>
    <w:rPr>
      <w:sz w:val="18"/>
      <w:szCs w:val="18"/>
    </w:rPr>
  </w:style>
  <w:style w:type="paragraph" w:styleId="15">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6">
    <w:name w:val="table of figures"/>
    <w:basedOn w:val="1"/>
    <w:next w:val="1"/>
    <w:qFormat/>
    <w:uiPriority w:val="0"/>
    <w:pPr>
      <w:ind w:left="200" w:leftChars="200" w:hanging="200" w:hangingChars="200"/>
    </w:pPr>
  </w:style>
  <w:style w:type="paragraph" w:styleId="17">
    <w:name w:val="Normal (Web)"/>
    <w:basedOn w:val="1"/>
    <w:link w:val="31"/>
    <w:qFormat/>
    <w:uiPriority w:val="0"/>
    <w:pPr>
      <w:widowControl/>
      <w:spacing w:before="100" w:beforeAutospacing="1" w:after="100" w:afterAutospacing="1"/>
      <w:jc w:val="left"/>
    </w:pPr>
    <w:rPr>
      <w:rFonts w:ascii="宋体" w:hAnsi="宋体"/>
      <w:kern w:val="0"/>
      <w:sz w:val="24"/>
    </w:rPr>
  </w:style>
  <w:style w:type="paragraph" w:styleId="18">
    <w:name w:val="Title"/>
    <w:basedOn w:val="1"/>
    <w:qFormat/>
    <w:locked/>
    <w:uiPriority w:val="10"/>
    <w:pPr>
      <w:spacing w:before="240" w:after="60"/>
      <w:jc w:val="center"/>
      <w:outlineLvl w:val="0"/>
    </w:pPr>
    <w:rPr>
      <w:rFonts w:ascii="Arial" w:hAnsi="Arial" w:cs="Arial"/>
      <w:b/>
      <w:bCs/>
      <w:sz w:val="32"/>
      <w:szCs w:val="32"/>
    </w:rPr>
  </w:style>
  <w:style w:type="paragraph" w:styleId="19">
    <w:name w:val="annotation subject"/>
    <w:basedOn w:val="10"/>
    <w:next w:val="10"/>
    <w:link w:val="42"/>
    <w:semiHidden/>
    <w:qFormat/>
    <w:uiPriority w:val="0"/>
    <w:rPr>
      <w:b/>
      <w:bCs/>
    </w:rPr>
  </w:style>
  <w:style w:type="paragraph" w:styleId="20">
    <w:name w:val="Body Text First Indent"/>
    <w:basedOn w:val="11"/>
    <w:qFormat/>
    <w:uiPriority w:val="0"/>
    <w:pPr>
      <w:ind w:firstLine="420" w:firstLineChars="100"/>
    </w:p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annotation reference"/>
    <w:basedOn w:val="23"/>
    <w:semiHidden/>
    <w:qFormat/>
    <w:uiPriority w:val="0"/>
    <w:rPr>
      <w:sz w:val="21"/>
    </w:rPr>
  </w:style>
  <w:style w:type="character" w:customStyle="1" w:styleId="26">
    <w:name w:val="标题 3 Char"/>
    <w:link w:val="5"/>
    <w:qFormat/>
    <w:uiPriority w:val="0"/>
    <w:rPr>
      <w:b/>
      <w:bCs/>
      <w:sz w:val="32"/>
      <w:szCs w:val="32"/>
    </w:rPr>
  </w:style>
  <w:style w:type="paragraph" w:customStyle="1" w:styleId="27">
    <w:name w:val="正文格式"/>
    <w:basedOn w:val="1"/>
    <w:qFormat/>
    <w:uiPriority w:val="0"/>
    <w:pPr>
      <w:spacing w:beforeLines="25" w:afterLines="25" w:line="360" w:lineRule="auto"/>
      <w:ind w:firstLine="40"/>
    </w:pPr>
    <w:rPr>
      <w:rFonts w:ascii="Times New Roman" w:hAnsi="Times New Roman" w:eastAsia="宋体"/>
      <w:sz w:val="24"/>
    </w:rPr>
  </w:style>
  <w:style w:type="character" w:customStyle="1" w:styleId="28">
    <w:name w:val="Header Char"/>
    <w:basedOn w:val="23"/>
    <w:link w:val="15"/>
    <w:qFormat/>
    <w:locked/>
    <w:uiPriority w:val="0"/>
    <w:rPr>
      <w:rFonts w:cs="Times New Roman"/>
      <w:sz w:val="18"/>
      <w:szCs w:val="18"/>
    </w:rPr>
  </w:style>
  <w:style w:type="character" w:customStyle="1" w:styleId="29">
    <w:name w:val="Footer Char"/>
    <w:basedOn w:val="23"/>
    <w:link w:val="14"/>
    <w:qFormat/>
    <w:locked/>
    <w:uiPriority w:val="0"/>
    <w:rPr>
      <w:rFonts w:cs="Times New Roman"/>
      <w:sz w:val="18"/>
      <w:szCs w:val="18"/>
    </w:rPr>
  </w:style>
  <w:style w:type="character" w:customStyle="1" w:styleId="30">
    <w:name w:val="Body Text Char"/>
    <w:link w:val="11"/>
    <w:qFormat/>
    <w:locked/>
    <w:uiPriority w:val="0"/>
    <w:rPr>
      <w:sz w:val="18"/>
    </w:rPr>
  </w:style>
  <w:style w:type="character" w:customStyle="1" w:styleId="31">
    <w:name w:val="Normal (Web) Char"/>
    <w:link w:val="17"/>
    <w:qFormat/>
    <w:locked/>
    <w:uiPriority w:val="0"/>
    <w:rPr>
      <w:rFonts w:ascii="宋体" w:hAnsi="宋体" w:eastAsia="宋体"/>
      <w:sz w:val="24"/>
    </w:rPr>
  </w:style>
  <w:style w:type="character" w:customStyle="1" w:styleId="32">
    <w:name w:val="Date Char"/>
    <w:link w:val="12"/>
    <w:qFormat/>
    <w:locked/>
    <w:uiPriority w:val="0"/>
    <w:rPr>
      <w:rFonts w:ascii="Times New Roman" w:hAnsi="Times New Roman" w:eastAsia="宋体"/>
      <w:sz w:val="24"/>
    </w:rPr>
  </w:style>
  <w:style w:type="character" w:customStyle="1" w:styleId="33">
    <w:name w:val="日期 字符"/>
    <w:basedOn w:val="23"/>
    <w:semiHidden/>
    <w:qFormat/>
    <w:uiPriority w:val="0"/>
    <w:rPr>
      <w:rFonts w:ascii="Times New Roman" w:hAnsi="Times New Roman" w:eastAsia="宋体" w:cs="Times New Roman"/>
      <w:sz w:val="24"/>
      <w:szCs w:val="24"/>
    </w:rPr>
  </w:style>
  <w:style w:type="character" w:customStyle="1" w:styleId="34">
    <w:name w:val="正文文本 字符1"/>
    <w:basedOn w:val="23"/>
    <w:semiHidden/>
    <w:qFormat/>
    <w:uiPriority w:val="0"/>
    <w:rPr>
      <w:rFonts w:ascii="Times New Roman" w:hAnsi="Times New Roman" w:eastAsia="宋体" w:cs="Times New Roman"/>
      <w:sz w:val="24"/>
      <w:szCs w:val="24"/>
    </w:rPr>
  </w:style>
  <w:style w:type="paragraph" w:customStyle="1" w:styleId="35">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36">
    <w:name w:val="表格 Char"/>
    <w:link w:val="37"/>
    <w:qFormat/>
    <w:locked/>
    <w:uiPriority w:val="0"/>
    <w:rPr>
      <w:rFonts w:ascii="宋体"/>
      <w:sz w:val="21"/>
    </w:rPr>
  </w:style>
  <w:style w:type="paragraph" w:customStyle="1" w:styleId="37">
    <w:name w:val="表格"/>
    <w:basedOn w:val="1"/>
    <w:next w:val="1"/>
    <w:link w:val="36"/>
    <w:qFormat/>
    <w:uiPriority w:val="0"/>
    <w:pPr>
      <w:adjustRightInd w:val="0"/>
      <w:snapToGrid w:val="0"/>
      <w:spacing w:beforeLines="10" w:afterLines="10" w:line="259" w:lineRule="auto"/>
      <w:jc w:val="center"/>
    </w:pPr>
    <w:rPr>
      <w:rFonts w:ascii="宋体"/>
      <w:kern w:val="0"/>
      <w:sz w:val="20"/>
      <w:szCs w:val="21"/>
    </w:rPr>
  </w:style>
  <w:style w:type="character" w:customStyle="1" w:styleId="38">
    <w:name w:val="Balloon Text Char"/>
    <w:basedOn w:val="23"/>
    <w:link w:val="13"/>
    <w:semiHidden/>
    <w:qFormat/>
    <w:locked/>
    <w:uiPriority w:val="0"/>
    <w:rPr>
      <w:rFonts w:ascii="Times New Roman" w:hAnsi="Times New Roman" w:eastAsia="宋体" w:cs="Times New Roman"/>
      <w:sz w:val="18"/>
      <w:szCs w:val="18"/>
    </w:rPr>
  </w:style>
  <w:style w:type="character" w:customStyle="1" w:styleId="39">
    <w:name w:val="Comment Text Char"/>
    <w:link w:val="10"/>
    <w:qFormat/>
    <w:locked/>
    <w:uiPriority w:val="0"/>
    <w:rPr>
      <w:rFonts w:ascii="Times New Roman" w:hAnsi="Times New Roman" w:eastAsia="宋体"/>
      <w:sz w:val="24"/>
    </w:rPr>
  </w:style>
  <w:style w:type="character" w:customStyle="1" w:styleId="40">
    <w:name w:val="批注文字 字符1"/>
    <w:basedOn w:val="23"/>
    <w:semiHidden/>
    <w:qFormat/>
    <w:uiPriority w:val="0"/>
    <w:rPr>
      <w:rFonts w:ascii="Times New Roman" w:hAnsi="Times New Roman" w:eastAsia="宋体" w:cs="Times New Roman"/>
      <w:sz w:val="24"/>
      <w:szCs w:val="24"/>
    </w:rPr>
  </w:style>
  <w:style w:type="character" w:customStyle="1" w:styleId="41">
    <w:name w:val="Body Text Indent Char"/>
    <w:basedOn w:val="23"/>
    <w:link w:val="9"/>
    <w:semiHidden/>
    <w:qFormat/>
    <w:locked/>
    <w:uiPriority w:val="0"/>
    <w:rPr>
      <w:rFonts w:ascii="Times New Roman" w:hAnsi="Times New Roman" w:eastAsia="宋体" w:cs="Times New Roman"/>
      <w:sz w:val="24"/>
      <w:szCs w:val="24"/>
    </w:rPr>
  </w:style>
  <w:style w:type="character" w:customStyle="1" w:styleId="42">
    <w:name w:val="Comment Subject Char"/>
    <w:basedOn w:val="39"/>
    <w:link w:val="19"/>
    <w:semiHidden/>
    <w:qFormat/>
    <w:locked/>
    <w:uiPriority w:val="0"/>
    <w:rPr>
      <w:rFonts w:cs="Times New Roman"/>
      <w:b/>
      <w:bCs/>
      <w:kern w:val="2"/>
      <w:szCs w:val="24"/>
    </w:rPr>
  </w:style>
  <w:style w:type="character" w:customStyle="1" w:styleId="43">
    <w:name w:val="普通(网站) Char"/>
    <w:qFormat/>
    <w:locked/>
    <w:uiPriority w:val="0"/>
    <w:rPr>
      <w:rFonts w:ascii="宋体" w:hAnsi="宋体" w:eastAsia="宋体"/>
      <w:sz w:val="24"/>
    </w:rPr>
  </w:style>
  <w:style w:type="paragraph" w:customStyle="1" w:styleId="44">
    <w:name w:val="正文（缩进）"/>
    <w:basedOn w:val="1"/>
    <w:qFormat/>
    <w:uiPriority w:val="99"/>
    <w:pPr>
      <w:spacing w:line="360" w:lineRule="auto"/>
      <w:ind w:firstLine="480"/>
    </w:pPr>
    <w:rPr>
      <w:szCs w:val="20"/>
    </w:rPr>
  </w:style>
  <w:style w:type="paragraph" w:customStyle="1" w:styleId="45">
    <w:name w:val="正文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46">
    <w:name w:val="表格样式1"/>
    <w:basedOn w:val="22"/>
    <w:qFormat/>
    <w:uiPriority w:val="0"/>
    <w:pPr>
      <w:spacing w:line="240" w:lineRule="atLeast"/>
      <w:jc w:val="left"/>
    </w:pPr>
    <w:rPr>
      <w:sz w:val="21"/>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styleId="47">
    <w:name w:val="List Paragraph"/>
    <w:basedOn w:val="1"/>
    <w:qFormat/>
    <w:uiPriority w:val="34"/>
    <w:pPr>
      <w:ind w:firstLine="420" w:firstLineChars="200"/>
    </w:pPr>
    <w:rPr>
      <w:sz w:val="24"/>
    </w:rPr>
  </w:style>
  <w:style w:type="paragraph" w:customStyle="1" w:styleId="48">
    <w:name w:val="表格文字"/>
    <w:basedOn w:val="1"/>
    <w:qFormat/>
    <w:uiPriority w:val="0"/>
    <w:pPr>
      <w:adjustRightInd w:val="0"/>
      <w:spacing w:line="360" w:lineRule="auto"/>
      <w:ind w:right="-1" w:firstLine="360" w:firstLineChars="150"/>
    </w:pPr>
    <w:rPr>
      <w:rFonts w:hAnsi="宋体"/>
      <w:sz w:val="24"/>
    </w:rPr>
  </w:style>
  <w:style w:type="paragraph" w:customStyle="1" w:styleId="49">
    <w:name w:val="正文第"/>
    <w:basedOn w:val="9"/>
    <w:qFormat/>
    <w:uiPriority w:val="0"/>
    <w:pPr>
      <w:ind w:firstLine="460" w:firstLineChars="200"/>
    </w:pPr>
    <w:rPr>
      <w:bCs/>
      <w:szCs w:val="21"/>
    </w:rPr>
  </w:style>
  <w:style w:type="paragraph" w:customStyle="1" w:styleId="50">
    <w:name w:val="qq表格文字qq"/>
    <w:basedOn w:val="1"/>
    <w:qFormat/>
    <w:uiPriority w:val="0"/>
    <w:pPr>
      <w:spacing w:line="240" w:lineRule="auto"/>
      <w:jc w:val="center"/>
    </w:pPr>
    <w:rPr>
      <w:rFonts w:ascii="Times New Roman" w:hAnsi="Times New Roman" w:eastAsia="宋体"/>
      <w:sz w:val="21"/>
    </w:rPr>
  </w:style>
  <w:style w:type="paragraph" w:customStyle="1" w:styleId="51">
    <w:name w:val="小标题 qq"/>
    <w:basedOn w:val="9"/>
    <w:qFormat/>
    <w:uiPriority w:val="0"/>
    <w:pPr>
      <w:spacing w:line="360" w:lineRule="exact"/>
      <w:ind w:firstLine="0" w:firstLineChars="0"/>
      <w:jc w:val="center"/>
    </w:pPr>
    <w:rPr>
      <w:b/>
      <w:sz w:val="21"/>
      <w:szCs w:val="21"/>
    </w:rPr>
  </w:style>
  <w:style w:type="paragraph" w:customStyle="1" w:styleId="52">
    <w:name w:val="！正文"/>
    <w:next w:val="6"/>
    <w:qFormat/>
    <w:uiPriority w:val="0"/>
    <w:pPr>
      <w:widowControl w:val="0"/>
      <w:spacing w:line="360" w:lineRule="auto"/>
      <w:ind w:firstLine="200" w:firstLineChars="200"/>
      <w:jc w:val="both"/>
    </w:pPr>
    <w:rPr>
      <w:rFonts w:ascii="Times New Roman" w:hAnsi="Times New Roman" w:eastAsia="宋体" w:cs="Times New Roman"/>
      <w:bCs/>
      <w:color w:val="000000"/>
      <w:kern w:val="2"/>
      <w:sz w:val="24"/>
      <w:szCs w:val="28"/>
      <w:lang w:val="zh-CN" w:eastAsia="zh-CN" w:bidi="ar-SA"/>
    </w:rPr>
  </w:style>
  <w:style w:type="paragraph" w:customStyle="1" w:styleId="53">
    <w:name w:val="Table Paragraph"/>
    <w:basedOn w:val="1"/>
    <w:next w:val="1"/>
    <w:qFormat/>
    <w:uiPriority w:val="1"/>
    <w:rPr>
      <w:rFonts w:ascii="宋体" w:hAnsi="宋体" w:eastAsia="宋体" w:cs="宋体"/>
      <w:lang w:val="zh-CN" w:eastAsia="zh-CN" w:bidi="zh-CN"/>
    </w:rPr>
  </w:style>
  <w:style w:type="paragraph" w:customStyle="1" w:styleId="54">
    <w:name w:val="样式1"/>
    <w:basedOn w:val="1"/>
    <w:qFormat/>
    <w:uiPriority w:val="0"/>
    <w:pPr>
      <w:widowControl/>
      <w:spacing w:before="50" w:beforeLines="50" w:line="360" w:lineRule="auto"/>
      <w:ind w:firstLine="480" w:firstLineChars="200"/>
    </w:pPr>
    <w:rPr>
      <w:rFonts w:ascii="Times New Roman" w:hAnsi="Times New Roman" w:cs="Times New Roman"/>
      <w:color w:val="FF0000"/>
      <w:kern w:val="24"/>
      <w:sz w:val="24"/>
      <w:szCs w:val="21"/>
    </w:rPr>
  </w:style>
  <w:style w:type="paragraph" w:customStyle="1" w:styleId="55">
    <w:name w:val="12345正文"/>
    <w:basedOn w:val="1"/>
    <w:qFormat/>
    <w:uiPriority w:val="0"/>
    <w:pPr>
      <w:autoSpaceDE w:val="0"/>
      <w:autoSpaceDN w:val="0"/>
      <w:adjustRightInd w:val="0"/>
      <w:spacing w:line="360" w:lineRule="auto"/>
      <w:ind w:firstLine="480" w:firstLineChars="200"/>
      <w:contextualSpacing/>
    </w:pPr>
    <w:rPr>
      <w:rFonts w:cs="宋体"/>
      <w:kern w:val="0"/>
      <w:sz w:val="24"/>
    </w:rPr>
  </w:style>
  <w:style w:type="paragraph" w:customStyle="1" w:styleId="56">
    <w:name w:val="正文qq"/>
    <w:basedOn w:val="1"/>
    <w:qFormat/>
    <w:uiPriority w:val="0"/>
    <w:pPr>
      <w:spacing w:line="360" w:lineRule="auto"/>
      <w:ind w:firstLine="480" w:firstLineChars="200"/>
    </w:pPr>
    <w:rPr>
      <w:bCs/>
      <w:sz w:val="24"/>
    </w:rPr>
  </w:style>
  <w:style w:type="paragraph" w:customStyle="1" w:styleId="57">
    <w:name w:val="样式 正文缩进正文缩进2正文缩进 Char Char正文缩进 Char Char Char Char正文缩进 Char ..."/>
    <w:basedOn w:val="7"/>
    <w:qFormat/>
    <w:uiPriority w:val="0"/>
    <w:pPr>
      <w:spacing w:line="360" w:lineRule="auto"/>
      <w:ind w:firstLine="200"/>
    </w:pPr>
    <w:rPr>
      <w:rFonts w:cs="宋体"/>
      <w:sz w:val="24"/>
    </w:rPr>
  </w:style>
  <w:style w:type="paragraph" w:customStyle="1" w:styleId="58">
    <w:name w:val="表格2.0"/>
    <w:basedOn w:val="4"/>
    <w:next w:val="1"/>
    <w:qFormat/>
    <w:uiPriority w:val="0"/>
    <w:pPr>
      <w:spacing w:before="0" w:after="0" w:line="360" w:lineRule="auto"/>
    </w:pPr>
    <w:rPr>
      <w:rFonts w:eastAsia="宋体"/>
      <w:b w:val="0"/>
      <w:bCs w:val="0"/>
      <w:sz w:val="21"/>
      <w:szCs w:val="24"/>
    </w:rPr>
  </w:style>
  <w:style w:type="table" w:customStyle="1" w:styleId="59">
    <w:name w:val="Table Normal"/>
    <w:semiHidden/>
    <w:unhideWhenUsed/>
    <w:qFormat/>
    <w:uiPriority w:val="0"/>
    <w:tblPr>
      <w:tblCellMar>
        <w:top w:w="0" w:type="dxa"/>
        <w:left w:w="0" w:type="dxa"/>
        <w:bottom w:w="0" w:type="dxa"/>
        <w:right w:w="0" w:type="dxa"/>
      </w:tblCellMar>
    </w:tblPr>
  </w:style>
  <w:style w:type="paragraph" w:customStyle="1" w:styleId="60">
    <w:name w:val="表格内容"/>
    <w:basedOn w:val="7"/>
    <w:next w:val="1"/>
    <w:qFormat/>
    <w:uiPriority w:val="0"/>
    <w:pPr>
      <w:ind w:firstLine="0" w:firstLineChars="0"/>
      <w:jc w:val="center"/>
    </w:pPr>
    <w:rPr>
      <w:rFonts w:ascii="Calibri" w:hAnsi="Calibri" w:eastAsia="Calibri"/>
      <w:kern w:val="0"/>
      <w:szCs w:val="20"/>
      <w:lang w:eastAsia="en-US"/>
    </w:rPr>
  </w:style>
  <w:style w:type="paragraph" w:customStyle="1" w:styleId="61">
    <w:name w:val="+正文"/>
    <w:basedOn w:val="1"/>
    <w:qFormat/>
    <w:uiPriority w:val="0"/>
    <w:pPr>
      <w:adjustRightInd w:val="0"/>
      <w:snapToGrid w:val="0"/>
      <w:spacing w:line="360" w:lineRule="auto"/>
      <w:ind w:firstLine="200" w:firstLineChars="200"/>
    </w:pPr>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DcwNDg2MzQ3ODgiLAogICAiR3JvdXBJZCIgOiAiNjI3ODA3ODA0IiwKICAgIkltYWdlIiA6ICJpVkJPUncwS0dnb0FBQUFOU1VoRVVnQUFBZmdBQUFHQkNBWUFBQUNLQmFOMkFBQUFDWEJJV1hNQUFBc1RBQUFMRXdFQW1wd1lBQUFnQUVsRVFWUjRuTzNkZTFoVTVkby84TzhhY0ZERXMybWtwb1pzYStjMm1jbFRudkJVaW9jTUJkS05tcFduVXZPdDFOeFgvcVRRS0xOMGF4NVMzOEt0YnhJb2doTG9OZ3kzbVpBTzdLd3NhanpzUUZHb0JGRjBocGw1Zm4vZ3JNM0VDSWd6ek16aSs3bXVMbWVlOWF5MWJtQTE5M3FlZGE4MUF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74</Pages>
  <Words>43449</Words>
  <Characters>49598</Characters>
  <Lines>9</Lines>
  <Paragraphs>2</Paragraphs>
  <TotalTime>45</TotalTime>
  <ScaleCrop>false</ScaleCrop>
  <LinksUpToDate>false</LinksUpToDate>
  <CharactersWithSpaces>50064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WPS_1660046246</cp:lastModifiedBy>
  <cp:lastPrinted>2022-10-18T02:26:00Z</cp:lastPrinted>
  <dcterms:modified xsi:type="dcterms:W3CDTF">2023-06-05T09:30:19Z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8742436093B24689B44DDB2F4F374DB9</vt:lpwstr>
  </property>
</Properties>
</file>