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1"/>
          <w:szCs w:val="21"/>
        </w:rPr>
      </w:pPr>
    </w:p>
    <w:p>
      <w:pPr>
        <w:rPr>
          <w:rFonts w:hint="default" w:ascii="Times New Roman" w:hAnsi="Times New Roman" w:eastAsia="宋体" w:cs="Times New Roman"/>
          <w:sz w:val="20"/>
          <w:szCs w:val="20"/>
        </w:rPr>
      </w:pPr>
    </w:p>
    <w:p>
      <w:pPr>
        <w:spacing w:before="8" w:line="360" w:lineRule="auto"/>
        <w:rPr>
          <w:rFonts w:hint="default" w:ascii="Times New Roman" w:hAnsi="Times New Roman" w:eastAsia="宋体" w:cs="Times New Roman"/>
          <w:sz w:val="28"/>
          <w:szCs w:val="28"/>
          <w:lang w:eastAsia="zh-CN"/>
        </w:rPr>
      </w:pPr>
    </w:p>
    <w:p>
      <w:pPr>
        <w:spacing w:before="8" w:line="360" w:lineRule="auto"/>
        <w:rPr>
          <w:rFonts w:hint="default" w:ascii="Times New Roman" w:hAnsi="Times New Roman" w:eastAsia="宋体" w:cs="Times New Roman"/>
          <w:sz w:val="28"/>
          <w:szCs w:val="28"/>
          <w:lang w:eastAsia="zh-CN"/>
        </w:rPr>
      </w:pPr>
    </w:p>
    <w:p>
      <w:pPr>
        <w:spacing w:before="8" w:line="360" w:lineRule="auto"/>
        <w:rPr>
          <w:rFonts w:hint="default" w:ascii="Times New Roman" w:hAnsi="Times New Roman" w:eastAsia="宋体" w:cs="Times New Roman"/>
          <w:sz w:val="28"/>
          <w:szCs w:val="28"/>
          <w:lang w:eastAsia="zh-CN"/>
        </w:rPr>
      </w:pPr>
    </w:p>
    <w:p>
      <w:pPr>
        <w:spacing w:line="360" w:lineRule="auto"/>
        <w:jc w:val="center"/>
        <w:rPr>
          <w:rFonts w:hint="default" w:ascii="Times New Roman" w:hAnsi="Times New Roman" w:eastAsia="宋体" w:cs="Times New Roman"/>
          <w:sz w:val="72"/>
          <w:szCs w:val="72"/>
          <w:lang w:eastAsia="zh-CN"/>
        </w:rPr>
      </w:pPr>
      <w:r>
        <w:rPr>
          <w:rFonts w:hint="default" w:ascii="Times New Roman" w:hAnsi="Times New Roman" w:eastAsia="宋体" w:cs="Times New Roman"/>
          <w:sz w:val="72"/>
          <w:szCs w:val="72"/>
          <w:lang w:eastAsia="zh-CN"/>
        </w:rPr>
        <w:t>建设项目环境影响报告表</w:t>
      </w:r>
    </w:p>
    <w:p>
      <w:pPr>
        <w:spacing w:line="360" w:lineRule="auto"/>
        <w:jc w:val="center"/>
        <w:rPr>
          <w:rFonts w:hint="default" w:ascii="Times New Roman" w:hAnsi="Times New Roman" w:eastAsia="宋体" w:cs="Times New Roman"/>
          <w:sz w:val="48"/>
          <w:szCs w:val="48"/>
          <w:lang w:eastAsia="zh-CN"/>
        </w:rPr>
      </w:pPr>
      <w:r>
        <w:rPr>
          <w:rFonts w:hint="default" w:ascii="Times New Roman" w:hAnsi="Times New Roman" w:eastAsia="宋体" w:cs="Times New Roman"/>
          <w:sz w:val="48"/>
          <w:szCs w:val="48"/>
          <w:lang w:eastAsia="zh-CN"/>
        </w:rPr>
        <w:t>（污染影响类）</w:t>
      </w:r>
    </w:p>
    <w:p>
      <w:pPr>
        <w:rPr>
          <w:rFonts w:hint="default" w:ascii="Times New Roman" w:hAnsi="Times New Roman" w:eastAsia="宋体" w:cs="Times New Roman"/>
          <w:sz w:val="48"/>
          <w:szCs w:val="48"/>
          <w:lang w:eastAsia="zh-CN"/>
        </w:rPr>
      </w:pPr>
    </w:p>
    <w:p>
      <w:pPr>
        <w:rPr>
          <w:rFonts w:hint="default" w:ascii="Times New Roman" w:hAnsi="Times New Roman" w:eastAsia="宋体" w:cs="Times New Roman"/>
          <w:sz w:val="48"/>
          <w:szCs w:val="48"/>
          <w:lang w:eastAsia="zh-CN"/>
        </w:rPr>
      </w:pPr>
    </w:p>
    <w:p>
      <w:pPr>
        <w:rPr>
          <w:rFonts w:hint="default" w:ascii="Times New Roman" w:hAnsi="Times New Roman" w:eastAsia="宋体" w:cs="Times New Roman"/>
          <w:sz w:val="48"/>
          <w:szCs w:val="48"/>
          <w:lang w:eastAsia="zh-CN"/>
        </w:rPr>
      </w:pPr>
    </w:p>
    <w:p>
      <w:pPr>
        <w:tabs>
          <w:tab w:val="left" w:pos="6842"/>
        </w:tabs>
        <w:jc w:val="center"/>
        <w:rPr>
          <w:rFonts w:hint="default" w:ascii="Times New Roman" w:hAnsi="Times New Roman" w:eastAsia="宋体" w:cs="Times New Roman"/>
          <w:sz w:val="48"/>
          <w:szCs w:val="48"/>
          <w:lang w:eastAsia="zh-CN"/>
        </w:rPr>
      </w:pPr>
    </w:p>
    <w:p>
      <w:pPr>
        <w:tabs>
          <w:tab w:val="left" w:pos="6842"/>
        </w:tabs>
        <w:jc w:val="center"/>
        <w:rPr>
          <w:rFonts w:hint="default" w:ascii="Times New Roman" w:hAnsi="Times New Roman" w:eastAsia="宋体" w:cs="Times New Roman"/>
          <w:sz w:val="48"/>
          <w:szCs w:val="48"/>
          <w:lang w:eastAsia="zh-CN"/>
        </w:rPr>
      </w:pPr>
    </w:p>
    <w:p>
      <w:pPr>
        <w:tabs>
          <w:tab w:val="left" w:pos="6842"/>
        </w:tabs>
        <w:spacing w:line="360" w:lineRule="auto"/>
        <w:ind w:firstLine="1200" w:firstLineChars="400"/>
        <w:rPr>
          <w:rFonts w:hint="default" w:ascii="Times New Roman" w:hAnsi="Times New Roman" w:eastAsia="宋体" w:cs="Times New Roman"/>
          <w:bCs/>
          <w:sz w:val="30"/>
          <w:szCs w:val="30"/>
          <w:u w:val="single"/>
          <w:lang w:eastAsia="zh-CN"/>
        </w:rPr>
      </w:pPr>
      <w:r>
        <w:rPr>
          <w:rFonts w:hint="default" w:ascii="Times New Roman" w:hAnsi="Times New Roman" w:eastAsia="宋体" w:cs="Times New Roman"/>
          <w:sz w:val="30"/>
          <w:szCs w:val="30"/>
          <w:lang w:eastAsia="zh-CN"/>
        </w:rPr>
        <w:t>项目名称：</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sz w:val="30"/>
          <w:szCs w:val="30"/>
          <w:u w:val="single"/>
          <w:lang w:val="en-US" w:eastAsia="zh-CN"/>
        </w:rPr>
        <w:t xml:space="preserve"> </w:t>
      </w:r>
      <w:r>
        <w:rPr>
          <w:rFonts w:hint="default" w:ascii="Times New Roman" w:hAnsi="Times New Roman" w:eastAsia="宋体" w:cs="Times New Roman"/>
          <w:bCs/>
          <w:sz w:val="30"/>
          <w:szCs w:val="30"/>
          <w:u w:val="single"/>
          <w:lang w:eastAsia="zh-CN"/>
        </w:rPr>
        <w:t xml:space="preserve">庆阳市宁县生态环境监测站建设项目        </w:t>
      </w:r>
    </w:p>
    <w:p>
      <w:pPr>
        <w:spacing w:line="360" w:lineRule="auto"/>
        <w:ind w:firstLine="600" w:firstLineChars="200"/>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 xml:space="preserve">  </w:t>
      </w:r>
    </w:p>
    <w:p>
      <w:pPr>
        <w:tabs>
          <w:tab w:val="left" w:pos="6842"/>
        </w:tabs>
        <w:spacing w:line="360" w:lineRule="auto"/>
        <w:ind w:firstLine="1200" w:firstLineChars="400"/>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建设单位（盖章</w:t>
      </w:r>
      <w:r>
        <w:rPr>
          <w:rFonts w:hint="default" w:ascii="Times New Roman" w:hAnsi="Times New Roman" w:eastAsia="宋体" w:cs="Times New Roman"/>
          <w:spacing w:val="-180"/>
          <w:sz w:val="30"/>
          <w:szCs w:val="30"/>
          <w:lang w:eastAsia="zh-CN"/>
        </w:rPr>
        <w:t>）</w:t>
      </w:r>
      <w:r>
        <w:rPr>
          <w:rFonts w:hint="default" w:ascii="Times New Roman" w:hAnsi="Times New Roman" w:eastAsia="宋体" w:cs="Times New Roman"/>
          <w:sz w:val="30"/>
          <w:szCs w:val="30"/>
          <w:lang w:eastAsia="zh-CN"/>
        </w:rPr>
        <w:t>：</w:t>
      </w:r>
      <w:r>
        <w:rPr>
          <w:rFonts w:hint="default" w:ascii="Times New Roman" w:hAnsi="Times New Roman" w:eastAsia="宋体" w:cs="Times New Roman"/>
          <w:sz w:val="30"/>
          <w:szCs w:val="30"/>
          <w:u w:val="single"/>
          <w:lang w:eastAsia="zh-CN"/>
        </w:rPr>
        <w:t xml:space="preserve">      </w:t>
      </w:r>
      <w:r>
        <w:rPr>
          <w:rFonts w:hint="eastAsia" w:ascii="Times New Roman" w:hAnsi="Times New Roman" w:eastAsia="宋体" w:cs="Times New Roman"/>
          <w:sz w:val="30"/>
          <w:szCs w:val="30"/>
          <w:u w:val="single"/>
          <w:lang w:val="en-US" w:eastAsia="zh-CN"/>
        </w:rPr>
        <w:t>庆阳市生态环境局</w:t>
      </w:r>
      <w:r>
        <w:rPr>
          <w:rFonts w:hint="default" w:ascii="Times New Roman" w:hAnsi="Times New Roman" w:eastAsia="宋体" w:cs="Times New Roman"/>
          <w:sz w:val="30"/>
          <w:szCs w:val="30"/>
          <w:u w:val="single"/>
          <w:lang w:val="en-US" w:eastAsia="zh-CN"/>
        </w:rPr>
        <w:t>宁县</w:t>
      </w:r>
      <w:r>
        <w:rPr>
          <w:rFonts w:hint="eastAsia" w:ascii="Times New Roman" w:hAnsi="Times New Roman" w:eastAsia="宋体" w:cs="Times New Roman"/>
          <w:bCs/>
          <w:sz w:val="30"/>
          <w:szCs w:val="30"/>
          <w:u w:val="single"/>
          <w:lang w:val="en-US" w:eastAsia="zh-CN"/>
        </w:rPr>
        <w:t>分局</w:t>
      </w:r>
      <w:r>
        <w:rPr>
          <w:rFonts w:hint="default" w:ascii="Times New Roman" w:hAnsi="Times New Roman" w:eastAsia="宋体" w:cs="Times New Roman"/>
          <w:bCs/>
          <w:sz w:val="30"/>
          <w:szCs w:val="30"/>
          <w:u w:val="single"/>
          <w:lang w:eastAsia="zh-CN"/>
        </w:rPr>
        <w:t xml:space="preserve">  </w:t>
      </w:r>
      <w:r>
        <w:rPr>
          <w:rFonts w:hint="default" w:ascii="Times New Roman" w:hAnsi="Times New Roman" w:eastAsia="宋体" w:cs="Times New Roman"/>
          <w:bCs/>
          <w:sz w:val="30"/>
          <w:szCs w:val="30"/>
          <w:u w:val="single"/>
          <w:lang w:val="en-US" w:eastAsia="zh-CN"/>
        </w:rPr>
        <w:t xml:space="preserve">     </w:t>
      </w:r>
      <w:r>
        <w:rPr>
          <w:rFonts w:hint="default" w:ascii="Times New Roman" w:hAnsi="Times New Roman" w:eastAsia="宋体" w:cs="Times New Roman"/>
          <w:bCs/>
          <w:sz w:val="30"/>
          <w:szCs w:val="30"/>
          <w:u w:val="single"/>
          <w:lang w:eastAsia="zh-CN"/>
        </w:rPr>
        <w:t xml:space="preserve">     </w:t>
      </w:r>
    </w:p>
    <w:p>
      <w:pPr>
        <w:tabs>
          <w:tab w:val="left" w:pos="6842"/>
        </w:tabs>
        <w:ind w:firstLine="600" w:firstLineChars="200"/>
        <w:rPr>
          <w:rFonts w:hint="default" w:ascii="Times New Roman" w:hAnsi="Times New Roman" w:eastAsia="宋体" w:cs="Times New Roman"/>
          <w:sz w:val="30"/>
          <w:szCs w:val="30"/>
          <w:lang w:eastAsia="zh-CN"/>
        </w:rPr>
      </w:pPr>
    </w:p>
    <w:p>
      <w:pPr>
        <w:tabs>
          <w:tab w:val="left" w:pos="6842"/>
        </w:tabs>
        <w:spacing w:line="360" w:lineRule="auto"/>
        <w:ind w:firstLine="1200" w:firstLineChars="400"/>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编制日期：</w:t>
      </w:r>
      <w:r>
        <w:rPr>
          <w:rFonts w:hint="default" w:ascii="Times New Roman" w:hAnsi="Times New Roman" w:eastAsia="宋体" w:cs="Times New Roman"/>
          <w:sz w:val="30"/>
          <w:szCs w:val="30"/>
          <w:u w:val="single"/>
          <w:lang w:eastAsia="zh-CN"/>
        </w:rPr>
        <w:t xml:space="preserve">                           二零二三年</w:t>
      </w:r>
      <w:r>
        <w:rPr>
          <w:rFonts w:hint="default" w:ascii="Times New Roman" w:hAnsi="Times New Roman" w:eastAsia="宋体" w:cs="Times New Roman"/>
          <w:sz w:val="30"/>
          <w:szCs w:val="30"/>
          <w:u w:val="single"/>
          <w:lang w:val="en-US" w:eastAsia="zh-CN"/>
        </w:rPr>
        <w:t>八</w:t>
      </w:r>
      <w:r>
        <w:rPr>
          <w:rFonts w:hint="default" w:ascii="Times New Roman" w:hAnsi="Times New Roman" w:eastAsia="宋体" w:cs="Times New Roman"/>
          <w:sz w:val="30"/>
          <w:szCs w:val="30"/>
          <w:u w:val="single"/>
          <w:lang w:eastAsia="zh-CN"/>
        </w:rPr>
        <w:t xml:space="preserve">月                       </w:t>
      </w:r>
      <w:r>
        <w:rPr>
          <w:rFonts w:hint="default" w:ascii="Times New Roman" w:hAnsi="Times New Roman" w:eastAsia="宋体" w:cs="Times New Roman"/>
          <w:sz w:val="30"/>
          <w:szCs w:val="30"/>
          <w:lang w:eastAsia="zh-CN"/>
        </w:rPr>
        <w:t xml:space="preserve"> </w:t>
      </w:r>
    </w:p>
    <w:p>
      <w:pPr>
        <w:spacing w:line="360" w:lineRule="auto"/>
        <w:jc w:val="cente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3"/>
          <w:szCs w:val="23"/>
          <w:lang w:eastAsia="zh-CN"/>
        </w:rPr>
      </w:pPr>
    </w:p>
    <w:p>
      <w:pPr>
        <w:pStyle w:val="6"/>
        <w:rPr>
          <w:rFonts w:hint="default" w:ascii="Times New Roman" w:hAnsi="Times New Roman" w:eastAsia="宋体" w:cs="Times New Roman"/>
        </w:rPr>
      </w:pPr>
    </w:p>
    <w:p>
      <w:pPr>
        <w:rPr>
          <w:rFonts w:hint="default" w:ascii="Times New Roman" w:hAnsi="Times New Roman" w:eastAsia="宋体" w:cs="Times New Roman"/>
          <w:sz w:val="23"/>
          <w:szCs w:val="23"/>
          <w:lang w:eastAsia="zh-CN"/>
        </w:rPr>
      </w:pPr>
    </w:p>
    <w:p>
      <w:pPr>
        <w:spacing w:line="460" w:lineRule="exact"/>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中华人民共和国生态环境部制</w:t>
      </w:r>
    </w:p>
    <w:p>
      <w:pPr>
        <w:pStyle w:val="37"/>
        <w:spacing w:before="0"/>
        <w:jc w:val="center"/>
        <w:outlineLvl w:val="9"/>
        <w:rPr>
          <w:rFonts w:hint="default" w:ascii="Times New Roman" w:hAnsi="Times New Roman" w:eastAsia="宋体" w:cs="Times New Roman"/>
          <w:b/>
          <w:lang w:eastAsia="zh-CN"/>
        </w:rPr>
      </w:pPr>
    </w:p>
    <w:p>
      <w:pPr>
        <w:pStyle w:val="37"/>
        <w:jc w:val="center"/>
        <w:outlineLvl w:val="9"/>
        <w:rPr>
          <w:rFonts w:hint="default" w:ascii="Times New Roman" w:hAnsi="Times New Roman" w:eastAsia="宋体" w:cs="Times New Roman"/>
          <w:b/>
          <w:lang w:eastAsia="zh-CN"/>
        </w:rPr>
      </w:pPr>
    </w:p>
    <w:p>
      <w:pPr>
        <w:pStyle w:val="37"/>
        <w:jc w:val="center"/>
        <w:outlineLvl w:val="9"/>
        <w:rPr>
          <w:rFonts w:hint="default" w:ascii="Times New Roman" w:hAnsi="Times New Roman" w:eastAsia="宋体" w:cs="Times New Roman"/>
          <w:b/>
          <w:lang w:eastAsia="zh-CN"/>
        </w:rPr>
      </w:pPr>
    </w:p>
    <w:p>
      <w:pPr>
        <w:pStyle w:val="37"/>
        <w:jc w:val="center"/>
        <w:outlineLvl w:val="9"/>
        <w:rPr>
          <w:rFonts w:hint="default" w:ascii="Times New Roman" w:hAnsi="Times New Roman" w:eastAsia="宋体" w:cs="Times New Roman"/>
          <w:b/>
          <w:lang w:eastAsia="zh-CN"/>
        </w:rPr>
      </w:pPr>
    </w:p>
    <w:p>
      <w:pPr>
        <w:pStyle w:val="37"/>
        <w:jc w:val="center"/>
        <w:outlineLvl w:val="9"/>
        <w:rPr>
          <w:rFonts w:hint="default" w:ascii="Times New Roman" w:hAnsi="Times New Roman" w:eastAsia="宋体" w:cs="Times New Roman"/>
          <w:b/>
          <w:lang w:val="en-US" w:eastAsia="zh-CN"/>
        </w:rPr>
      </w:pPr>
    </w:p>
    <w:p>
      <w:pPr>
        <w:pStyle w:val="37"/>
        <w:jc w:val="center"/>
        <w:outlineLvl w:val="9"/>
        <w:rPr>
          <w:rFonts w:hint="default" w:ascii="Times New Roman" w:hAnsi="Times New Roman" w:eastAsia="宋体" w:cs="Times New Roman"/>
          <w:b/>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jc w:val="left"/>
        <w:rPr>
          <w:rFonts w:hint="default" w:ascii="Times New Roman" w:hAnsi="Times New Roman" w:cs="Times New Roman"/>
          <w:lang w:eastAsia="zh-CN"/>
        </w:rPr>
        <w:sectPr>
          <w:footerReference r:id="rId3" w:type="default"/>
          <w:pgSz w:w="11910" w:h="16840"/>
          <w:pgMar w:top="1134" w:right="1134" w:bottom="1134" w:left="1134" w:header="0" w:footer="567" w:gutter="0"/>
          <w:pgNumType w:fmt="decimal" w:start="1"/>
          <w:cols w:space="720" w:num="1"/>
          <w:titlePg/>
          <w:docGrid w:linePitch="299" w:charSpace="0"/>
        </w:sectPr>
      </w:pPr>
    </w:p>
    <w:p>
      <w:pPr>
        <w:pStyle w:val="37"/>
        <w:spacing w:line="360" w:lineRule="auto"/>
        <w:jc w:val="center"/>
        <w:outlineLvl w:val="0"/>
        <w:rPr>
          <w:rFonts w:hint="default" w:ascii="Times New Roman" w:hAnsi="Times New Roman" w:eastAsia="宋体" w:cs="Times New Roman"/>
          <w:b/>
          <w:lang w:eastAsia="zh-CN"/>
        </w:rPr>
      </w:pPr>
      <w:bookmarkStart w:id="0" w:name="_Toc14663"/>
      <w:r>
        <w:rPr>
          <w:rFonts w:hint="default" w:ascii="Times New Roman" w:hAnsi="Times New Roman" w:eastAsia="宋体" w:cs="Times New Roman"/>
          <w:b/>
          <w:lang w:eastAsia="zh-CN"/>
        </w:rPr>
        <w:t>一、建设项目基本情况</w:t>
      </w:r>
      <w:bookmarkEnd w:id="0"/>
    </w:p>
    <w:tbl>
      <w:tblPr>
        <w:tblStyle w:val="36"/>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2281"/>
        <w:gridCol w:w="49"/>
        <w:gridCol w:w="1829"/>
        <w:gridCol w:w="429"/>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02" w:type="pct"/>
            <w:vAlign w:val="center"/>
          </w:tcPr>
          <w:p>
            <w:pPr>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建设项目名称</w:t>
            </w:r>
          </w:p>
        </w:tc>
        <w:tc>
          <w:tcPr>
            <w:tcW w:w="4397" w:type="pct"/>
            <w:gridSpan w:val="5"/>
            <w:vAlign w:val="center"/>
          </w:tcPr>
          <w:p>
            <w:pPr>
              <w:pStyle w:val="40"/>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Cs/>
                <w:spacing w:val="-2"/>
                <w:sz w:val="24"/>
                <w:szCs w:val="24"/>
                <w:lang w:eastAsia="zh-CN"/>
              </w:rPr>
              <w:t>庆阳市宁县生态环境监测站建设项目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项目代码</w:t>
            </w:r>
          </w:p>
        </w:tc>
        <w:tc>
          <w:tcPr>
            <w:tcW w:w="4397" w:type="pct"/>
            <w:gridSpan w:val="5"/>
            <w:vAlign w:val="center"/>
          </w:tcPr>
          <w:p>
            <w:pPr>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eastAsia="zh-CN"/>
              </w:rPr>
              <w:t>2303-621026-04-02-890094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建设单位联系</w:t>
            </w:r>
            <w:r>
              <w:rPr>
                <w:rFonts w:hint="default" w:ascii="Times New Roman" w:hAnsi="Times New Roman" w:eastAsia="宋体" w:cs="Times New Roman"/>
                <w:sz w:val="24"/>
                <w:szCs w:val="24"/>
              </w:rPr>
              <w:t>人</w:t>
            </w:r>
          </w:p>
        </w:tc>
        <w:tc>
          <w:tcPr>
            <w:tcW w:w="1233" w:type="pct"/>
            <w:gridSpan w:val="2"/>
            <w:vAlign w:val="center"/>
          </w:tcPr>
          <w:p>
            <w:pPr>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王燕</w:t>
            </w:r>
            <w:r>
              <w:rPr>
                <w:rFonts w:hint="default" w:ascii="Times New Roman" w:hAnsi="Times New Roman" w:eastAsia="宋体" w:cs="Times New Roman"/>
                <w:sz w:val="24"/>
                <w:szCs w:val="24"/>
                <w:lang w:val="en-US" w:eastAsia="zh-CN"/>
              </w:rPr>
              <w:t>莺</w:t>
            </w:r>
          </w:p>
        </w:tc>
        <w:tc>
          <w:tcPr>
            <w:tcW w:w="1195" w:type="pct"/>
            <w:gridSpan w:val="2"/>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联系方式</w:t>
            </w:r>
          </w:p>
        </w:tc>
        <w:tc>
          <w:tcPr>
            <w:tcW w:w="1968" w:type="pct"/>
            <w:vAlign w:val="center"/>
          </w:tcPr>
          <w:p>
            <w:pPr>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13919590825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建设地点</w:t>
            </w:r>
          </w:p>
        </w:tc>
        <w:tc>
          <w:tcPr>
            <w:tcW w:w="4397" w:type="pct"/>
            <w:gridSpan w:val="5"/>
            <w:vAlign w:val="center"/>
          </w:tcPr>
          <w:p>
            <w:pPr>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u w:val="single"/>
              </w:rPr>
              <w:t>甘肃</w:t>
            </w:r>
            <w:r>
              <w:rPr>
                <w:rFonts w:hint="default" w:ascii="Times New Roman" w:hAnsi="Times New Roman" w:eastAsia="宋体" w:cs="Times New Roman"/>
                <w:color w:val="000000"/>
                <w:sz w:val="24"/>
                <w:szCs w:val="24"/>
              </w:rPr>
              <w:t>省（自治区）</w:t>
            </w:r>
            <w:r>
              <w:rPr>
                <w:rFonts w:hint="default" w:ascii="Times New Roman" w:hAnsi="Times New Roman" w:eastAsia="宋体" w:cs="Times New Roman"/>
                <w:color w:val="000000"/>
                <w:sz w:val="24"/>
                <w:szCs w:val="24"/>
                <w:u w:val="single"/>
                <w:lang w:eastAsia="zh-CN"/>
              </w:rPr>
              <w:t>庆阳</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lang w:eastAsia="zh-CN"/>
              </w:rPr>
              <w:t xml:space="preserve">宁县 </w:t>
            </w:r>
            <w:r>
              <w:rPr>
                <w:rFonts w:hint="default" w:ascii="Times New Roman" w:hAnsi="Times New Roman" w:eastAsia="宋体" w:cs="Times New Roman"/>
                <w:color w:val="000000"/>
                <w:sz w:val="24"/>
                <w:szCs w:val="24"/>
                <w:lang w:eastAsia="zh-CN"/>
              </w:rPr>
              <w:t>县</w:t>
            </w:r>
            <w:r>
              <w:rPr>
                <w:rFonts w:hint="default" w:ascii="Times New Roman" w:hAnsi="Times New Roman" w:eastAsia="宋体" w:cs="Times New Roman"/>
                <w:color w:val="000000"/>
                <w:sz w:val="24"/>
                <w:szCs w:val="24"/>
              </w:rPr>
              <w:t>（区）</w:t>
            </w:r>
            <w:r>
              <w:rPr>
                <w:rFonts w:hint="default" w:ascii="Times New Roman" w:hAnsi="Times New Roman" w:eastAsia="宋体" w:cs="Times New Roman"/>
                <w:color w:val="000000"/>
                <w:sz w:val="24"/>
                <w:szCs w:val="24"/>
                <w:u w:val="single"/>
                <w:lang w:eastAsia="zh-CN"/>
              </w:rPr>
              <w:t>辑宁北路东城社区3号1栋</w:t>
            </w:r>
            <w:r>
              <w:rPr>
                <w:rFonts w:hint="default" w:ascii="Times New Roman" w:hAnsi="Times New Roman" w:eastAsia="宋体" w:cs="Times New Roman"/>
                <w:color w:val="000000"/>
                <w:sz w:val="24"/>
                <w:szCs w:val="24"/>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地理坐标</w:t>
            </w:r>
          </w:p>
        </w:tc>
        <w:tc>
          <w:tcPr>
            <w:tcW w:w="4397" w:type="pct"/>
            <w:gridSpan w:val="5"/>
            <w:vAlign w:val="center"/>
          </w:tcPr>
          <w:p>
            <w:pPr>
              <w:pStyle w:val="40"/>
              <w:tabs>
                <w:tab w:val="left" w:pos="1444"/>
                <w:tab w:val="left" w:pos="2076"/>
                <w:tab w:val="left" w:pos="3756"/>
                <w:tab w:val="left" w:pos="4385"/>
              </w:tabs>
              <w:adjustRightInd w:val="0"/>
              <w:snapToGri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000000"/>
                <w:kern w:val="2"/>
                <w:sz w:val="24"/>
                <w:szCs w:val="24"/>
              </w:rPr>
              <w:t xml:space="preserve">东经 </w:t>
            </w:r>
            <w:r>
              <w:rPr>
                <w:rFonts w:hint="default" w:ascii="Times New Roman" w:hAnsi="Times New Roman" w:eastAsia="宋体" w:cs="Times New Roman"/>
                <w:color w:val="000000"/>
                <w:kern w:val="2"/>
                <w:sz w:val="24"/>
                <w:szCs w:val="24"/>
                <w:u w:val="single"/>
              </w:rPr>
              <w:t>10</w:t>
            </w:r>
            <w:r>
              <w:rPr>
                <w:rFonts w:hint="default" w:ascii="Times New Roman" w:hAnsi="Times New Roman" w:eastAsia="宋体" w:cs="Times New Roman"/>
                <w:color w:val="000000"/>
                <w:kern w:val="2"/>
                <w:sz w:val="24"/>
                <w:szCs w:val="24"/>
                <w:u w:val="single"/>
                <w:lang w:eastAsia="zh-CN"/>
              </w:rPr>
              <w:t>7</w:t>
            </w:r>
            <w:r>
              <w:rPr>
                <w:rFonts w:hint="default" w:ascii="Times New Roman" w:hAnsi="Times New Roman" w:eastAsia="宋体" w:cs="Times New Roman"/>
                <w:color w:val="000000"/>
                <w:kern w:val="2"/>
                <w:sz w:val="24"/>
                <w:szCs w:val="24"/>
              </w:rPr>
              <w:t>度</w:t>
            </w:r>
            <w:r>
              <w:rPr>
                <w:rFonts w:hint="default" w:ascii="Times New Roman" w:hAnsi="Times New Roman" w:eastAsia="宋体" w:cs="Times New Roman"/>
                <w:color w:val="000000"/>
                <w:kern w:val="2"/>
                <w:sz w:val="24"/>
                <w:szCs w:val="24"/>
                <w:u w:val="single"/>
              </w:rPr>
              <w:t xml:space="preserve"> </w:t>
            </w:r>
            <w:r>
              <w:rPr>
                <w:rFonts w:hint="default" w:ascii="Times New Roman" w:hAnsi="Times New Roman" w:eastAsia="宋体" w:cs="Times New Roman"/>
                <w:color w:val="000000"/>
                <w:kern w:val="2"/>
                <w:sz w:val="24"/>
                <w:szCs w:val="24"/>
                <w:u w:val="single"/>
                <w:lang w:eastAsia="zh-CN"/>
              </w:rPr>
              <w:t>55</w:t>
            </w:r>
            <w:r>
              <w:rPr>
                <w:rFonts w:hint="default" w:ascii="Times New Roman" w:hAnsi="Times New Roman" w:eastAsia="宋体" w:cs="Times New Roman"/>
                <w:color w:val="000000"/>
                <w:kern w:val="2"/>
                <w:sz w:val="24"/>
                <w:szCs w:val="24"/>
              </w:rPr>
              <w:t>分</w:t>
            </w:r>
            <w:r>
              <w:rPr>
                <w:rFonts w:hint="default" w:ascii="Times New Roman" w:hAnsi="Times New Roman" w:eastAsia="宋体" w:cs="Times New Roman"/>
                <w:color w:val="000000"/>
                <w:kern w:val="2"/>
                <w:sz w:val="24"/>
                <w:szCs w:val="24"/>
                <w:u w:val="single"/>
                <w:lang w:eastAsia="zh-CN"/>
              </w:rPr>
              <w:t>47.325</w:t>
            </w:r>
            <w:r>
              <w:rPr>
                <w:rFonts w:hint="default" w:ascii="Times New Roman" w:hAnsi="Times New Roman" w:eastAsia="宋体" w:cs="Times New Roman"/>
                <w:color w:val="000000"/>
                <w:kern w:val="2"/>
                <w:sz w:val="24"/>
                <w:szCs w:val="24"/>
              </w:rPr>
              <w:t>秒，北纬</w:t>
            </w:r>
            <w:r>
              <w:rPr>
                <w:rFonts w:hint="default" w:ascii="Times New Roman" w:hAnsi="Times New Roman" w:eastAsia="宋体" w:cs="Times New Roman"/>
                <w:color w:val="000000"/>
                <w:kern w:val="2"/>
                <w:sz w:val="24"/>
                <w:szCs w:val="24"/>
                <w:u w:val="single"/>
              </w:rPr>
              <w:t xml:space="preserve"> 3</w:t>
            </w:r>
            <w:r>
              <w:rPr>
                <w:rFonts w:hint="default" w:ascii="Times New Roman" w:hAnsi="Times New Roman" w:eastAsia="宋体" w:cs="Times New Roman"/>
                <w:color w:val="000000"/>
                <w:kern w:val="2"/>
                <w:sz w:val="24"/>
                <w:szCs w:val="24"/>
                <w:u w:val="single"/>
                <w:lang w:eastAsia="zh-CN"/>
              </w:rPr>
              <w:t>5</w:t>
            </w:r>
            <w:r>
              <w:rPr>
                <w:rFonts w:hint="default" w:ascii="Times New Roman" w:hAnsi="Times New Roman" w:eastAsia="宋体" w:cs="Times New Roman"/>
                <w:color w:val="000000"/>
                <w:kern w:val="2"/>
                <w:sz w:val="24"/>
                <w:szCs w:val="24"/>
                <w:u w:val="single"/>
              </w:rPr>
              <w:t xml:space="preserve"> </w:t>
            </w:r>
            <w:r>
              <w:rPr>
                <w:rFonts w:hint="default" w:ascii="Times New Roman" w:hAnsi="Times New Roman" w:eastAsia="宋体" w:cs="Times New Roman"/>
                <w:color w:val="000000"/>
                <w:kern w:val="2"/>
                <w:sz w:val="24"/>
                <w:szCs w:val="24"/>
              </w:rPr>
              <w:t>度</w:t>
            </w:r>
            <w:r>
              <w:rPr>
                <w:rFonts w:hint="default" w:ascii="Times New Roman" w:hAnsi="Times New Roman" w:eastAsia="宋体" w:cs="Times New Roman"/>
                <w:color w:val="000000"/>
                <w:kern w:val="2"/>
                <w:sz w:val="24"/>
                <w:szCs w:val="24"/>
                <w:u w:val="single"/>
              </w:rPr>
              <w:t xml:space="preserve"> </w:t>
            </w:r>
            <w:r>
              <w:rPr>
                <w:rFonts w:hint="default" w:ascii="Times New Roman" w:hAnsi="Times New Roman" w:eastAsia="宋体" w:cs="Times New Roman"/>
                <w:color w:val="000000"/>
                <w:kern w:val="2"/>
                <w:sz w:val="24"/>
                <w:szCs w:val="24"/>
                <w:u w:val="single"/>
                <w:lang w:eastAsia="zh-CN"/>
              </w:rPr>
              <w:t>30</w:t>
            </w:r>
            <w:r>
              <w:rPr>
                <w:rFonts w:hint="default" w:ascii="Times New Roman" w:hAnsi="Times New Roman" w:eastAsia="宋体" w:cs="Times New Roman"/>
                <w:color w:val="000000"/>
                <w:kern w:val="2"/>
                <w:sz w:val="24"/>
                <w:szCs w:val="24"/>
              </w:rPr>
              <w:t>分</w:t>
            </w:r>
            <w:r>
              <w:rPr>
                <w:rFonts w:hint="default" w:ascii="Times New Roman" w:hAnsi="Times New Roman" w:eastAsia="宋体" w:cs="Times New Roman"/>
                <w:color w:val="000000"/>
                <w:kern w:val="2"/>
                <w:sz w:val="24"/>
                <w:szCs w:val="24"/>
                <w:u w:val="single"/>
              </w:rPr>
              <w:t xml:space="preserve"> </w:t>
            </w:r>
            <w:r>
              <w:rPr>
                <w:rFonts w:hint="default" w:ascii="Times New Roman" w:hAnsi="Times New Roman" w:eastAsia="宋体" w:cs="Times New Roman"/>
                <w:color w:val="000000"/>
                <w:kern w:val="2"/>
                <w:sz w:val="24"/>
                <w:szCs w:val="24"/>
                <w:u w:val="single"/>
                <w:lang w:eastAsia="zh-CN"/>
              </w:rPr>
              <w:t>16.452</w:t>
            </w:r>
            <w:r>
              <w:rPr>
                <w:rFonts w:hint="default" w:ascii="Times New Roman" w:hAnsi="Times New Roman" w:eastAsia="宋体" w:cs="Times New Roman"/>
                <w:color w:val="000000"/>
                <w:kern w:val="2"/>
                <w:sz w:val="24"/>
                <w:szCs w:val="24"/>
              </w:rPr>
              <w:t>秒</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国民经济行业类别</w:t>
            </w:r>
          </w:p>
        </w:tc>
        <w:tc>
          <w:tcPr>
            <w:tcW w:w="1207" w:type="pct"/>
            <w:vAlign w:val="center"/>
          </w:tcPr>
          <w:p>
            <w:pPr>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M7452检测服务</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建设项目行业类别</w:t>
            </w:r>
          </w:p>
        </w:tc>
        <w:tc>
          <w:tcPr>
            <w:tcW w:w="2196" w:type="pct"/>
            <w:gridSpan w:val="2"/>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eastAsia="zh-CN"/>
              </w:rPr>
              <w:t>四十五、研究和试验发展；98、专业实验室、研发（试验）基地；其他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建设性质</w:t>
            </w:r>
          </w:p>
        </w:tc>
        <w:tc>
          <w:tcPr>
            <w:tcW w:w="1207" w:type="pct"/>
            <w:vAlign w:val="center"/>
          </w:tcPr>
          <w:p>
            <w:pPr>
              <w:pStyle w:val="40"/>
              <w:adjustRightInd w:val="0"/>
              <w:snapToGrid w:val="0"/>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pacing w:val="-1"/>
                <w:sz w:val="24"/>
                <w:szCs w:val="24"/>
                <w:lang w:eastAsia="zh-CN"/>
              </w:rPr>
              <w:sym w:font="Wingdings 2" w:char="0052"/>
            </w:r>
            <w:r>
              <w:rPr>
                <w:rFonts w:hint="default" w:ascii="Times New Roman" w:hAnsi="Times New Roman" w:eastAsia="宋体" w:cs="Times New Roman"/>
                <w:color w:val="FF0000"/>
                <w:spacing w:val="-1"/>
                <w:sz w:val="24"/>
                <w:szCs w:val="24"/>
                <w:lang w:eastAsia="zh-CN"/>
              </w:rPr>
              <w:t>新建（迁建）</w:t>
            </w:r>
          </w:p>
          <w:p>
            <w:pPr>
              <w:pStyle w:val="40"/>
              <w:adjustRightInd w:val="0"/>
              <w:snapToGrid w:val="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□改建</w:t>
            </w:r>
          </w:p>
          <w:p>
            <w:pPr>
              <w:pStyle w:val="40"/>
              <w:adjustRightInd w:val="0"/>
              <w:snapToGrid w:val="0"/>
              <w:rPr>
                <w:rFonts w:hint="default" w:ascii="Times New Roman" w:hAnsi="Times New Roman" w:eastAsia="宋体" w:cs="Times New Roman"/>
                <w:spacing w:val="-1"/>
                <w:sz w:val="24"/>
                <w:szCs w:val="24"/>
                <w:lang w:eastAsia="zh-CN"/>
              </w:rPr>
            </w:pPr>
            <w:r>
              <w:rPr>
                <w:rFonts w:hint="default" w:ascii="Times New Roman" w:hAnsi="Times New Roman" w:eastAsia="宋体" w:cs="Times New Roman"/>
                <w:spacing w:val="-1"/>
                <w:sz w:val="24"/>
                <w:szCs w:val="24"/>
                <w:lang w:eastAsia="zh-CN"/>
              </w:rPr>
              <w:t>□扩建</w:t>
            </w:r>
          </w:p>
          <w:p>
            <w:pPr>
              <w:pStyle w:val="40"/>
              <w:adjustRightInd w:val="0"/>
              <w:snapToGrid w:val="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sym w:font="Wingdings 2" w:char="00A3"/>
            </w:r>
            <w:r>
              <w:rPr>
                <w:rFonts w:hint="default" w:ascii="Times New Roman" w:hAnsi="Times New Roman" w:eastAsia="宋体" w:cs="Times New Roman"/>
                <w:spacing w:val="-1"/>
                <w:sz w:val="24"/>
                <w:szCs w:val="24"/>
              </w:rPr>
              <w:t>技术改造</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建设项目申报情形</w:t>
            </w:r>
          </w:p>
        </w:tc>
        <w:tc>
          <w:tcPr>
            <w:tcW w:w="2196" w:type="pct"/>
            <w:gridSpan w:val="2"/>
            <w:vAlign w:val="center"/>
          </w:tcPr>
          <w:p>
            <w:pPr>
              <w:pStyle w:val="40"/>
              <w:adjustRightInd w:val="0"/>
              <w:snapToGrid w:val="0"/>
              <w:rPr>
                <w:rFonts w:hint="default" w:ascii="Times New Roman" w:hAnsi="Times New Roman" w:eastAsia="宋体" w:cs="Times New Roman"/>
                <w:sz w:val="24"/>
                <w:szCs w:val="24"/>
                <w:lang w:eastAsia="zh-CN"/>
              </w:rPr>
            </w:pPr>
            <w:r>
              <w:rPr>
                <w:rFonts w:hint="default" w:ascii="Times New Roman" w:hAnsi="Times New Roman" w:eastAsia="MS Gothic" w:cs="Times New Roman"/>
                <w:spacing w:val="-1"/>
                <w:sz w:val="24"/>
                <w:szCs w:val="24"/>
                <w:lang w:eastAsia="zh-CN"/>
              </w:rPr>
              <w:t>☑</w:t>
            </w:r>
            <w:r>
              <w:rPr>
                <w:rFonts w:hint="default" w:ascii="Times New Roman" w:hAnsi="Times New Roman" w:eastAsia="宋体" w:cs="Times New Roman"/>
                <w:spacing w:val="-1"/>
                <w:sz w:val="24"/>
                <w:szCs w:val="24"/>
                <w:lang w:eastAsia="zh-CN"/>
              </w:rPr>
              <w:t>首次申报项目</w:t>
            </w:r>
          </w:p>
          <w:p>
            <w:pPr>
              <w:pStyle w:val="40"/>
              <w:adjustRightInd w:val="0"/>
              <w:snapToGrid w:val="0"/>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□不予批准后再次申报项目</w:t>
            </w:r>
          </w:p>
          <w:p>
            <w:pPr>
              <w:pStyle w:val="40"/>
              <w:adjustRightInd w:val="0"/>
              <w:snapToGrid w:val="0"/>
              <w:rPr>
                <w:rFonts w:hint="default" w:ascii="Times New Roman" w:hAnsi="Times New Roman" w:eastAsia="宋体" w:cs="Times New Roman"/>
                <w:spacing w:val="-1"/>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1"/>
                <w:sz w:val="24"/>
                <w:szCs w:val="24"/>
                <w:lang w:eastAsia="zh-CN"/>
              </w:rPr>
              <w:t>超五年重新审核项目</w:t>
            </w:r>
          </w:p>
          <w:p>
            <w:pPr>
              <w:pStyle w:val="40"/>
              <w:adjustRightInd w:val="0"/>
              <w:snapToGrid w:val="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2"/>
                <w:sz w:val="24"/>
                <w:szCs w:val="24"/>
                <w:lang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pacing w:val="-3"/>
                <w:sz w:val="24"/>
                <w:szCs w:val="24"/>
                <w:lang w:eastAsia="zh-CN"/>
              </w:rPr>
              <w:t>审</w:t>
            </w:r>
            <w:r>
              <w:rPr>
                <w:rFonts w:hint="default" w:ascii="Times New Roman" w:hAnsi="Times New Roman" w:eastAsia="宋体" w:cs="Times New Roman"/>
                <w:spacing w:val="-36"/>
                <w:sz w:val="24"/>
                <w:szCs w:val="24"/>
                <w:lang w:eastAsia="zh-CN"/>
              </w:rPr>
              <w:t>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3"/>
                <w:sz w:val="24"/>
                <w:szCs w:val="24"/>
                <w:lang w:eastAsia="zh-CN"/>
              </w:rPr>
              <w:t>核</w:t>
            </w:r>
            <w:r>
              <w:rPr>
                <w:rFonts w:hint="default" w:ascii="Times New Roman" w:hAnsi="Times New Roman" w:eastAsia="宋体" w:cs="Times New Roman"/>
                <w:sz w:val="24"/>
                <w:szCs w:val="24"/>
                <w:lang w:eastAsia="zh-CN"/>
              </w:rPr>
              <w:t>准</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z w:val="24"/>
                <w:szCs w:val="24"/>
                <w:lang w:eastAsia="zh-CN"/>
              </w:rPr>
              <w:t>备案</w:t>
            </w:r>
            <w:r>
              <w:rPr>
                <w:rFonts w:hint="default" w:ascii="Times New Roman" w:hAnsi="Times New Roman" w:eastAsia="宋体" w:cs="Times New Roman"/>
                <w:spacing w:val="-48"/>
                <w:sz w:val="24"/>
                <w:szCs w:val="24"/>
                <w:lang w:eastAsia="zh-CN"/>
              </w:rPr>
              <w:t>）</w:t>
            </w:r>
            <w:r>
              <w:rPr>
                <w:rFonts w:hint="default" w:ascii="Times New Roman" w:hAnsi="Times New Roman" w:eastAsia="宋体" w:cs="Times New Roman"/>
                <w:sz w:val="24"/>
                <w:szCs w:val="24"/>
                <w:lang w:eastAsia="zh-CN"/>
              </w:rPr>
              <w:t>部</w:t>
            </w:r>
            <w:r>
              <w:rPr>
                <w:rFonts w:hint="default" w:ascii="Times New Roman" w:hAnsi="Times New Roman" w:eastAsia="宋体" w:cs="Times New Roman"/>
                <w:spacing w:val="-48"/>
                <w:sz w:val="24"/>
                <w:szCs w:val="24"/>
                <w:lang w:eastAsia="zh-CN"/>
              </w:rPr>
              <w:t>门</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z w:val="24"/>
                <w:szCs w:val="24"/>
                <w:lang w:eastAsia="zh-CN"/>
              </w:rPr>
              <w:t>选填）</w:t>
            </w:r>
          </w:p>
        </w:tc>
        <w:tc>
          <w:tcPr>
            <w:tcW w:w="1207" w:type="pct"/>
            <w:vAlign w:val="center"/>
          </w:tcPr>
          <w:p>
            <w:pPr>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宁县发展和改革局</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项目审批（核准/</w:t>
            </w:r>
            <w:r>
              <w:rPr>
                <w:rFonts w:hint="default" w:ascii="Times New Roman" w:hAnsi="Times New Roman" w:eastAsia="宋体" w:cs="Times New Roman"/>
                <w:sz w:val="24"/>
                <w:szCs w:val="24"/>
                <w:lang w:eastAsia="zh-CN"/>
              </w:rPr>
              <w:t>备案</w:t>
            </w:r>
            <w:r>
              <w:rPr>
                <w:rFonts w:hint="default" w:ascii="Times New Roman" w:hAnsi="Times New Roman" w:eastAsia="宋体" w:cs="Times New Roman"/>
                <w:spacing w:val="-51"/>
                <w:sz w:val="24"/>
                <w:szCs w:val="24"/>
                <w:lang w:eastAsia="zh-CN"/>
              </w:rPr>
              <w:t>）</w:t>
            </w:r>
            <w:r>
              <w:rPr>
                <w:rFonts w:hint="default" w:ascii="Times New Roman" w:hAnsi="Times New Roman" w:eastAsia="宋体" w:cs="Times New Roman"/>
                <w:sz w:val="24"/>
                <w:szCs w:val="24"/>
                <w:lang w:eastAsia="zh-CN"/>
              </w:rPr>
              <w:t>文</w:t>
            </w:r>
            <w:r>
              <w:rPr>
                <w:rFonts w:hint="default" w:ascii="Times New Roman" w:hAnsi="Times New Roman" w:eastAsia="宋体" w:cs="Times New Roman"/>
                <w:spacing w:val="-48"/>
                <w:sz w:val="24"/>
                <w:szCs w:val="24"/>
                <w:lang w:eastAsia="zh-CN"/>
              </w:rPr>
              <w:t>号</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z w:val="24"/>
                <w:szCs w:val="24"/>
                <w:lang w:eastAsia="zh-CN"/>
              </w:rPr>
              <w:t>选填）</w:t>
            </w:r>
          </w:p>
        </w:tc>
        <w:tc>
          <w:tcPr>
            <w:tcW w:w="2196" w:type="pct"/>
            <w:gridSpan w:val="2"/>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宁发改（2023）85号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pct"/>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总投资（万元）</w:t>
            </w:r>
          </w:p>
        </w:tc>
        <w:tc>
          <w:tcPr>
            <w:tcW w:w="1207" w:type="pct"/>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FF0000"/>
                <w:sz w:val="24"/>
                <w:szCs w:val="24"/>
                <w:lang w:val="en-US" w:eastAsia="zh-CN"/>
              </w:rPr>
              <w:t>942.41</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环保投资（万元）</w:t>
            </w:r>
          </w:p>
        </w:tc>
        <w:tc>
          <w:tcPr>
            <w:tcW w:w="2196" w:type="pct"/>
            <w:gridSpan w:val="2"/>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环保投资占比（%）</w:t>
            </w:r>
          </w:p>
        </w:tc>
        <w:tc>
          <w:tcPr>
            <w:tcW w:w="1207" w:type="pct"/>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FF0000"/>
                <w:sz w:val="24"/>
                <w:szCs w:val="24"/>
                <w:lang w:val="en-US" w:eastAsia="zh-CN"/>
              </w:rPr>
              <w:t>7.96</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施工工期</w:t>
            </w:r>
          </w:p>
        </w:tc>
        <w:tc>
          <w:tcPr>
            <w:tcW w:w="2196" w:type="pct"/>
            <w:gridSpan w:val="2"/>
            <w:vAlign w:val="center"/>
          </w:tcPr>
          <w:p>
            <w:pPr>
              <w:pStyle w:val="40"/>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是否开工建设</w:t>
            </w:r>
          </w:p>
        </w:tc>
        <w:tc>
          <w:tcPr>
            <w:tcW w:w="1207" w:type="pct"/>
            <w:vAlign w:val="center"/>
          </w:tcPr>
          <w:p>
            <w:pPr>
              <w:pStyle w:val="40"/>
              <w:adjustRightInd w:val="0"/>
              <w:snapToGrid w:val="0"/>
              <w:rPr>
                <w:rFonts w:hint="default" w:ascii="Times New Roman" w:hAnsi="Times New Roman" w:eastAsia="宋体" w:cs="Times New Roman"/>
                <w:sz w:val="24"/>
                <w:szCs w:val="24"/>
              </w:rPr>
            </w:pPr>
            <w:r>
              <w:rPr>
                <w:rFonts w:hint="default" w:ascii="Times New Roman" w:hAnsi="Times New Roman" w:eastAsia="MS Gothic" w:cs="Times New Roman"/>
                <w:spacing w:val="-1"/>
                <w:sz w:val="24"/>
                <w:szCs w:val="24"/>
              </w:rPr>
              <w:t>☑</w:t>
            </w:r>
            <w:r>
              <w:rPr>
                <w:rFonts w:hint="default" w:ascii="Times New Roman" w:hAnsi="Times New Roman" w:eastAsia="宋体" w:cs="Times New Roman"/>
                <w:spacing w:val="-1"/>
                <w:sz w:val="24"/>
                <w:szCs w:val="24"/>
              </w:rPr>
              <w:t>否</w:t>
            </w:r>
          </w:p>
          <w:p>
            <w:pPr>
              <w:adjustRightInd w:val="0"/>
              <w:snapToGrid w:val="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pacing w:val="-1"/>
                <w:sz w:val="24"/>
                <w:szCs w:val="24"/>
              </w:rPr>
              <w:t>□是：</w:t>
            </w:r>
            <w:r>
              <w:rPr>
                <w:rFonts w:hint="default" w:ascii="Times New Roman" w:hAnsi="Times New Roman" w:eastAsia="宋体" w:cs="Times New Roman"/>
                <w:spacing w:val="-1"/>
                <w:sz w:val="24"/>
                <w:szCs w:val="24"/>
                <w:u w:val="single"/>
                <w:lang w:eastAsia="zh-CN"/>
              </w:rPr>
              <w:t xml:space="preserve">          </w:t>
            </w:r>
          </w:p>
        </w:tc>
        <w:tc>
          <w:tcPr>
            <w:tcW w:w="993" w:type="pct"/>
            <w:gridSpan w:val="2"/>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2"/>
                <w:sz w:val="24"/>
                <w:szCs w:val="24"/>
                <w:lang w:eastAsia="zh-CN"/>
              </w:rPr>
              <w:t>用地（用海）</w:t>
            </w:r>
            <w:r>
              <w:rPr>
                <w:rFonts w:hint="default" w:ascii="Times New Roman" w:hAnsi="Times New Roman" w:eastAsia="宋体" w:cs="Times New Roman"/>
                <w:spacing w:val="22"/>
                <w:sz w:val="24"/>
                <w:szCs w:val="24"/>
                <w:lang w:eastAsia="zh-CN"/>
              </w:rPr>
              <w:t xml:space="preserve"> </w:t>
            </w:r>
            <w:r>
              <w:rPr>
                <w:rFonts w:hint="default" w:ascii="Times New Roman" w:hAnsi="Times New Roman" w:eastAsia="宋体" w:cs="Times New Roman"/>
                <w:spacing w:val="-10"/>
                <w:sz w:val="24"/>
                <w:szCs w:val="24"/>
                <w:lang w:eastAsia="zh-CN"/>
              </w:rPr>
              <w:t>面积（m</w:t>
            </w:r>
            <w:r>
              <w:rPr>
                <w:rFonts w:hint="default" w:ascii="Times New Roman" w:hAnsi="Times New Roman" w:eastAsia="宋体" w:cs="Times New Roman"/>
                <w:spacing w:val="-11"/>
                <w:position w:val="7"/>
                <w:sz w:val="16"/>
                <w:szCs w:val="24"/>
                <w:lang w:eastAsia="zh-CN"/>
              </w:rPr>
              <w:t>2</w:t>
            </w:r>
            <w:r>
              <w:rPr>
                <w:rFonts w:hint="default" w:ascii="Times New Roman" w:hAnsi="Times New Roman" w:eastAsia="宋体" w:cs="Times New Roman"/>
                <w:spacing w:val="-10"/>
                <w:sz w:val="24"/>
                <w:szCs w:val="24"/>
                <w:lang w:eastAsia="zh-CN"/>
              </w:rPr>
              <w:t>）</w:t>
            </w:r>
          </w:p>
        </w:tc>
        <w:tc>
          <w:tcPr>
            <w:tcW w:w="2196" w:type="pct"/>
            <w:gridSpan w:val="2"/>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专项评价设</w:t>
            </w:r>
            <w:r>
              <w:rPr>
                <w:rFonts w:hint="default" w:ascii="Times New Roman" w:hAnsi="Times New Roman" w:eastAsia="宋体" w:cs="Times New Roman"/>
                <w:sz w:val="24"/>
                <w:szCs w:val="24"/>
              </w:rPr>
              <w:t>置情况</w:t>
            </w:r>
          </w:p>
        </w:tc>
        <w:tc>
          <w:tcPr>
            <w:tcW w:w="4397" w:type="pct"/>
            <w:gridSpan w:val="5"/>
            <w:vAlign w:val="center"/>
          </w:tcPr>
          <w:tbl>
            <w:tblPr>
              <w:tblStyle w:val="27"/>
              <w:tblW w:w="85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5"/>
              <w:gridCol w:w="5157"/>
              <w:gridCol w:w="17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专项评价类别</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涉及项目类别</w:t>
                  </w:r>
                </w:p>
              </w:tc>
              <w:tc>
                <w:tcPr>
                  <w:tcW w:w="996"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项目实际情况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地表水</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水新增工业废水直排建设项目（槽罐车外送污水处理厂的除外）；新增废水直排的污水集中处理厂</w:t>
                  </w:r>
                </w:p>
              </w:tc>
              <w:tc>
                <w:tcPr>
                  <w:tcW w:w="996"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地下水</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地下水原则上不开展专项评价，涉及集中式饮用水水源和热水、矿泉水、温泉等特殊地下水资源保护区的开展地下水专项评价工作。</w:t>
                  </w:r>
                </w:p>
              </w:tc>
              <w:tc>
                <w:tcPr>
                  <w:tcW w:w="996"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取水口下游500米范围内有重要水生生物的自然产卵场、索饵场、越冬场和洄游通道的新增河道取水的污染类建设项目</w:t>
                  </w:r>
                </w:p>
              </w:tc>
              <w:tc>
                <w:tcPr>
                  <w:tcW w:w="996"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大气</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排放废气含有毒有害污染物</w:t>
                  </w:r>
                  <w:r>
                    <w:rPr>
                      <w:rFonts w:hint="default" w:ascii="Times New Roman" w:hAnsi="Times New Roman" w:cs="Times New Roman"/>
                      <w:color w:val="000000" w:themeColor="text1"/>
                      <w:szCs w:val="21"/>
                      <w:vertAlign w:val="superscript"/>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、二噁英、苯并[a]芘、氰化物、氯气且厂界外500米范围内有环境空气保护目标</w:t>
                  </w:r>
                  <w:r>
                    <w:rPr>
                      <w:rFonts w:hint="default"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的建设项目</w:t>
                  </w:r>
                </w:p>
              </w:tc>
              <w:tc>
                <w:tcPr>
                  <w:tcW w:w="996" w:type="pct"/>
                  <w:tcBorders>
                    <w:tl2br w:val="nil"/>
                    <w:tr2bl w:val="nil"/>
                  </w:tcBorders>
                  <w:vAlign w:val="center"/>
                </w:tcPr>
                <w:p>
                  <w:pPr>
                    <w:pStyle w:val="101"/>
                    <w:spacing w:line="240" w:lineRule="auto"/>
                    <w:ind w:firstLine="0" w:firstLineChars="0"/>
                    <w:jc w:val="both"/>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FF0000"/>
                      <w:szCs w:val="21"/>
                      <w:lang w:val="en-US" w:eastAsia="zh-CN"/>
                    </w:rPr>
                    <w:t>本项目实验室废气中含有三氯甲烷、四氯乙烯、汞及其化合物等有毒有害物质且项目区500m范围内存在居民区等敏感点，需设置大气专章评价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003"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环境风险</w:t>
                  </w:r>
                </w:p>
              </w:tc>
              <w:tc>
                <w:tcPr>
                  <w:tcW w:w="2999"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有毒有害和易燃易爆危险物质存储量超过临界量</w:t>
                  </w:r>
                  <w:r>
                    <w:rPr>
                      <w:rFonts w:hint="default" w:ascii="Times New Roman" w:hAnsi="Times New Roman" w:cs="Times New Roman"/>
                      <w:color w:val="000000" w:themeColor="text1"/>
                      <w:szCs w:val="21"/>
                      <w:vertAlign w:val="superscript"/>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的建设项目</w:t>
                  </w:r>
                </w:p>
              </w:tc>
              <w:tc>
                <w:tcPr>
                  <w:tcW w:w="996" w:type="pct"/>
                  <w:tcBorders>
                    <w:tl2br w:val="nil"/>
                    <w:tr2bl w:val="nil"/>
                  </w:tcBorders>
                  <w:vAlign w:val="center"/>
                </w:tcPr>
                <w:p>
                  <w:pPr>
                    <w:pStyle w:val="101"/>
                    <w:spacing w:line="240" w:lineRule="auto"/>
                    <w:ind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szCs w:val="21"/>
                    </w:rPr>
                    <w:t>项目有风险物质，但未超过临界量，无需设置环境风险专章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5000" w:type="pct"/>
                  <w:gridSpan w:val="3"/>
                  <w:tcBorders>
                    <w:tl2br w:val="nil"/>
                    <w:tr2bl w:val="nil"/>
                  </w:tcBorders>
                  <w:vAlign w:val="center"/>
                </w:tcPr>
                <w:p>
                  <w:pPr>
                    <w:pStyle w:val="101"/>
                    <w:jc w:val="both"/>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169）附录B、附录C。</w:t>
                  </w:r>
                </w:p>
              </w:tc>
            </w:tr>
          </w:tbl>
          <w:p>
            <w:pPr>
              <w:adjustRightInd w:val="0"/>
              <w:snapToGrid w:val="0"/>
              <w:spacing w:line="36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规划情况</w:t>
            </w:r>
          </w:p>
        </w:tc>
        <w:tc>
          <w:tcPr>
            <w:tcW w:w="4397" w:type="pct"/>
            <w:gridSpan w:val="5"/>
            <w:vAlign w:val="center"/>
          </w:tcPr>
          <w:p>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pct"/>
            <w:vAlign w:val="center"/>
          </w:tcPr>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规划环境影</w:t>
            </w:r>
            <w:r>
              <w:rPr>
                <w:rFonts w:hint="default" w:ascii="Times New Roman" w:hAnsi="Times New Roman" w:eastAsia="宋体" w:cs="Times New Roman"/>
                <w:sz w:val="24"/>
                <w:szCs w:val="24"/>
                <w:lang w:eastAsia="zh-CN"/>
              </w:rPr>
              <w:t>响</w:t>
            </w:r>
          </w:p>
          <w:p>
            <w:pPr>
              <w:pStyle w:val="40"/>
              <w:adjustRightInd w:val="0"/>
              <w:snapToGri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评价情况</w:t>
            </w:r>
          </w:p>
        </w:tc>
        <w:tc>
          <w:tcPr>
            <w:tcW w:w="4397" w:type="pct"/>
            <w:gridSpan w:val="5"/>
            <w:vAlign w:val="center"/>
          </w:tcPr>
          <w:p>
            <w:pPr>
              <w:autoSpaceDE w:val="0"/>
              <w:autoSpaceDN w:val="0"/>
              <w:adjustRightIn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02" w:type="pct"/>
            <w:vAlign w:val="center"/>
          </w:tcPr>
          <w:p>
            <w:pPr>
              <w:pStyle w:val="40"/>
              <w:ind w:right="2"/>
              <w:jc w:val="center"/>
              <w:rPr>
                <w:rFonts w:hint="default" w:ascii="Times New Roman" w:hAnsi="Times New Roman" w:eastAsia="宋体" w:cs="Times New Roman"/>
                <w:sz w:val="24"/>
                <w:szCs w:val="21"/>
                <w:lang w:eastAsia="zh-CN"/>
              </w:rPr>
            </w:pPr>
            <w:r>
              <w:rPr>
                <w:rFonts w:hint="default" w:ascii="Times New Roman" w:hAnsi="Times New Roman" w:eastAsia="宋体" w:cs="Times New Roman"/>
                <w:sz w:val="24"/>
                <w:szCs w:val="21"/>
                <w:lang w:eastAsia="zh-CN"/>
              </w:rPr>
              <w:t>规划及规划环境影</w:t>
            </w:r>
          </w:p>
          <w:p>
            <w:pPr>
              <w:pStyle w:val="40"/>
              <w:ind w:right="2"/>
              <w:jc w:val="center"/>
              <w:rPr>
                <w:rFonts w:hint="default" w:ascii="Times New Roman" w:hAnsi="Times New Roman" w:eastAsia="宋体" w:cs="Times New Roman"/>
                <w:spacing w:val="-1"/>
                <w:sz w:val="24"/>
                <w:szCs w:val="24"/>
                <w:lang w:eastAsia="zh-CN"/>
              </w:rPr>
            </w:pPr>
            <w:r>
              <w:rPr>
                <w:rFonts w:hint="default" w:ascii="Times New Roman" w:hAnsi="Times New Roman" w:eastAsia="宋体" w:cs="Times New Roman"/>
                <w:sz w:val="24"/>
                <w:szCs w:val="21"/>
                <w:lang w:eastAsia="zh-CN"/>
              </w:rPr>
              <w:t>响评价符合性分析</w:t>
            </w:r>
          </w:p>
        </w:tc>
        <w:tc>
          <w:tcPr>
            <w:tcW w:w="4397" w:type="pct"/>
            <w:gridSpan w:val="5"/>
            <w:vAlign w:val="center"/>
          </w:tcPr>
          <w:p>
            <w:pPr>
              <w:autoSpaceDE w:val="0"/>
              <w:autoSpaceDN w:val="0"/>
              <w:adjustRightInd w:val="0"/>
              <w:spacing w:line="360" w:lineRule="auto"/>
              <w:jc w:val="center"/>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2" w:type="pct"/>
            <w:vAlign w:val="center"/>
          </w:tcPr>
          <w:p>
            <w:pPr>
              <w:pStyle w:val="40"/>
              <w:spacing w:line="360" w:lineRule="auto"/>
              <w:ind w:right="2"/>
              <w:jc w:val="center"/>
              <w:rPr>
                <w:rFonts w:hint="default" w:ascii="Times New Roman" w:hAnsi="Times New Roman" w:eastAsia="宋体" w:cs="Times New Roman"/>
                <w:sz w:val="24"/>
                <w:szCs w:val="21"/>
                <w:highlight w:val="yellow"/>
                <w:lang w:eastAsia="zh-CN"/>
              </w:rPr>
            </w:pPr>
            <w:r>
              <w:rPr>
                <w:rFonts w:hint="default" w:ascii="Times New Roman" w:hAnsi="Times New Roman" w:eastAsia="宋体" w:cs="Times New Roman"/>
                <w:sz w:val="24"/>
                <w:szCs w:val="21"/>
                <w:lang w:eastAsia="zh-CN"/>
              </w:rPr>
              <w:t>其他符合性分析</w:t>
            </w:r>
          </w:p>
        </w:tc>
        <w:tc>
          <w:tcPr>
            <w:tcW w:w="4397" w:type="pct"/>
            <w:gridSpan w:val="5"/>
            <w:vAlign w:val="center"/>
          </w:tcPr>
          <w:p>
            <w:pPr>
              <w:autoSpaceDE w:val="0"/>
              <w:autoSpaceDN w:val="0"/>
              <w:adjustRightInd w:val="0"/>
              <w:snapToGrid w:val="0"/>
              <w:spacing w:line="360" w:lineRule="auto"/>
              <w:rPr>
                <w:rFonts w:hint="default" w:ascii="Times New Roman" w:hAnsi="Times New Roman" w:cs="Times New Roman"/>
                <w:lang w:eastAsia="zh-CN"/>
              </w:rPr>
            </w:pPr>
            <w:r>
              <w:rPr>
                <w:rFonts w:hint="default" w:ascii="Times New Roman" w:hAnsi="Times New Roman" w:cs="Times New Roman"/>
                <w:lang w:eastAsia="zh-CN"/>
              </w:rPr>
              <w:t>1、产业政策符合性分析</w:t>
            </w:r>
          </w:p>
          <w:p>
            <w:pPr>
              <w:spacing w:line="360" w:lineRule="auto"/>
              <w:ind w:firstLine="480"/>
              <w:jc w:val="both"/>
              <w:rPr>
                <w:rFonts w:hint="default" w:ascii="Times New Roman" w:hAnsi="Times New Roman" w:cs="Times New Roman"/>
                <w:lang w:eastAsia="zh-CN"/>
              </w:rPr>
            </w:pPr>
            <w:r>
              <w:rPr>
                <w:rFonts w:hint="default" w:ascii="Times New Roman" w:hAnsi="Times New Roman" w:cs="Times New Roman"/>
                <w:lang w:eastAsia="zh-CN"/>
              </w:rPr>
              <w:t>本项目行业类别为“7452检验服务”，本项目属于《产业结构调整指导目录（2019 年本）》中的鼓励类“三十一：科技服务”中的“1、检验检测服务”，因此，本项目符合国家产业政策。</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2、甘肃省“三线一单”环境管控单元</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（1）生态保护红线</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根据《甘肃省人民政府关于实施“三线一单”生态环境分区管控的意见》（甘政发〔2020〕68号），全省共划定环境管控单元842个，分为优先保护单元、重点管控单元和一般管控单元三类，实施分类管控。</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一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本项目与甘肃省“三线一单”生态环境分区管控图进行对比分析，本次工程属于甘肃省“三线一单”环境管控单元中的重点管控单元，根据要求，重点管控单元主要推进产业结构和能源结构调整，优化交通结构和用地结构，不断提高资源能源利用效率，加强污染物排放控制和环境风险防控，解决突出生态环境问题。本项目的建设，提高了地区基础设施，符合重点管控单元要求。</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（2）本项目与环境质量底线的符合性分析</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通过项目区生态环境部门公布的结果，项目所在区域环境空气质量能够满足《环境空气质量标准》（GB3095-2012）中二级标准、区域声环境质量满足《声环境质量标准》（GB3096-2008）中的2类标准限值。通过严控废气处置措施，废水均得到合理处置，固废合理处置，采取有效的噪声防治措施，不会造成区域环境质量的超标，综上，本项目建设符合环境质量底线要求。</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（3）本项目与资源利用上线的符合性分析</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对照《限制用地项目名录（2012年本）》和《禁止用地项目目录（2012年本）》，本项目不属于其中“禁止”或“限制”类项目，符合国家当前土地供应政策。符合土地资源利用上线要求。项目施工、运营期会消耗一定的电源、水资源等，本项目的建设，符合水、电资源利用上线的要求。</w:t>
            </w:r>
          </w:p>
          <w:p>
            <w:pPr>
              <w:spacing w:line="360" w:lineRule="auto"/>
              <w:ind w:firstLine="480"/>
              <w:rPr>
                <w:rFonts w:hint="default" w:ascii="Times New Roman" w:hAnsi="Times New Roman" w:cs="Times New Roman"/>
                <w:lang w:eastAsia="zh-CN"/>
              </w:rPr>
            </w:pPr>
            <w:r>
              <w:rPr>
                <w:rFonts w:hint="default" w:ascii="Times New Roman" w:hAnsi="Times New Roman" w:cs="Times New Roman"/>
                <w:lang w:eastAsia="zh-CN"/>
              </w:rPr>
              <w:t>（4）本项目与生态环境准入清单的符合性分析</w:t>
            </w:r>
          </w:p>
          <w:p>
            <w:pPr>
              <w:widowControl/>
              <w:spacing w:line="360" w:lineRule="auto"/>
              <w:ind w:firstLine="440" w:firstLineChars="200"/>
              <w:rPr>
                <w:rFonts w:hint="default" w:ascii="Times New Roman" w:hAnsi="Times New Roman" w:cs="Times New Roman"/>
                <w:lang w:eastAsia="zh-CN"/>
              </w:rPr>
            </w:pPr>
            <w:r>
              <w:rPr>
                <w:rFonts w:hint="default" w:ascii="Times New Roman" w:hAnsi="Times New Roman" w:cs="Times New Roman"/>
                <w:lang w:eastAsia="zh-CN"/>
              </w:rPr>
              <w:t>本项目符合国家产业政策要求。同时，根据甘肃省发展和改革委员会关于印发试行《甘肃省国家重点生态功能区产业准入负面清单（试行）》（甘发改规划[2017]752号）的通知，项目所在地不属于负面清单管理范围，因此本项目不属于负面清单禁止内项目，符合当地环境功能区划的要求。</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3、庆阳市“三线一单”符合性分析</w:t>
            </w:r>
          </w:p>
          <w:p>
            <w:pPr>
              <w:wordWrap w:val="0"/>
              <w:autoSpaceDE w:val="0"/>
              <w:autoSpaceDN w:val="0"/>
              <w:spacing w:line="360" w:lineRule="auto"/>
              <w:ind w:firstLine="440" w:firstLineChars="200"/>
              <w:rPr>
                <w:rFonts w:hint="default" w:ascii="Times New Roman" w:hAnsi="Times New Roman" w:cs="Times New Roman"/>
                <w:lang w:eastAsia="zh-CN"/>
              </w:rPr>
            </w:pPr>
            <w:r>
              <w:rPr>
                <w:rFonts w:hint="default" w:ascii="Times New Roman" w:hAnsi="Times New Roman" w:cs="Times New Roman"/>
                <w:lang w:eastAsia="zh-CN"/>
              </w:rPr>
              <w:t>根据《庆阳市人民政府关于印发庆阳市“三线一单”生态环境分区管控实施方案的通知》（庆政发〔2021〕29号），全市共划定环境管控单元72个，分为优先保护单元、重点管控单元和一般管控单元三类，实施分类管控。</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（1）生态保护红线</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本项目位于庆阳市宁县辑宁北路东城社区3号1栋，项目选址不在自然保护区、森林公园、风景名胜区、世界文化自然遗产、地质公园、饮用水水源保护区等生态保护区范围内，满足区域生态保护红线的管控要求。</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（2）环境质量底线</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本项目实验室产生的有机废气由万向吸收罩收集后通过1套二级活性炭吸附装置处理后通过高出楼顶3m的排气筒排放，无机废气（主要为酸性气体）由万向吸收罩收集后通过1套SDG干法废气处理装置处理后通过高出楼顶3m高的排气筒排放，对环境造成的影响程度很小，</w:t>
            </w:r>
            <w:r>
              <w:rPr>
                <w:rFonts w:hint="default" w:ascii="Times New Roman" w:hAnsi="Times New Roman" w:cs="Times New Roman"/>
                <w:lang w:val="en-US" w:eastAsia="zh-CN"/>
              </w:rPr>
              <w:t>项目运营期废水主要实验期间产生的一般冲洗用水、一般水样，纯水制备废水、正洗反洗水、清洁用水，生活污水经化粪池处理后与其余废水经本项目设置的污水处理设施处理后接管至进入市政污水管网，最终进入宁县生活污水处理厂处置</w:t>
            </w:r>
            <w:r>
              <w:rPr>
                <w:rFonts w:hint="default" w:ascii="Times New Roman" w:hAnsi="Times New Roman" w:cs="Times New Roman"/>
                <w:lang w:eastAsia="zh-CN"/>
              </w:rPr>
              <w:t>，不会改变环境功能区，能够严守环境质量底线；噪声通过采取基础减震与隔声等措施治理后，对区域声环境质量影响较小。生活垃圾由环卫部门定期清运，危险废物暂存于危险废物暂存间，定期交由有资质的单位进行处置，不会突破环境质量底线。</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综上所述，本项目建成后，上述措施能确保污染物对环境质量的影响降到最小，不突破所在区域环境质量底线。</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（3）资源利用上线</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资源是环境的载体，资源利用上线是个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本项目运营过程中会消耗一定量的电、水，项目资源消耗量相对区域资源利用总量较少，能源消耗均未超出区域负荷上限，不会给该地区造成资源负担，满足资源利用上线要求。</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（4）环境准入清单</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p>
            <w:pPr>
              <w:topLinePunct/>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color w:val="FF0000"/>
                <w:lang w:eastAsia="zh-CN"/>
              </w:rPr>
              <w:t>本项目位于宁县城区，属于庆阳市宁县三线一单“重点管控单元”，</w:t>
            </w:r>
            <w:r>
              <w:rPr>
                <w:rFonts w:hint="default" w:ascii="Times New Roman" w:hAnsi="Times New Roman" w:cs="Times New Roman"/>
                <w:color w:val="FF0000"/>
                <w:lang w:val="en-US" w:eastAsia="zh-CN"/>
              </w:rPr>
              <w:t>环境管控单元编码：</w:t>
            </w:r>
            <w:r>
              <w:rPr>
                <w:rFonts w:hint="default" w:ascii="Times New Roman" w:hAnsi="Times New Roman" w:cs="Times New Roman"/>
                <w:color w:val="FF0000"/>
                <w:lang w:eastAsia="zh-CN"/>
              </w:rPr>
              <w:t>ZH62102620001，</w:t>
            </w:r>
            <w:r>
              <w:rPr>
                <w:rFonts w:hint="default" w:ascii="Times New Roman" w:hAnsi="Times New Roman" w:cs="Times New Roman"/>
                <w:color w:val="FF0000"/>
                <w:lang w:val="en-US" w:eastAsia="zh-CN"/>
              </w:rPr>
              <w:t>环境管控单元名称：宁县城镇空间</w:t>
            </w:r>
            <w:r>
              <w:rPr>
                <w:rFonts w:hint="default" w:ascii="Times New Roman" w:hAnsi="Times New Roman" w:cs="Times New Roman"/>
                <w:color w:val="FF0000"/>
                <w:lang w:eastAsia="zh-CN"/>
              </w:rPr>
              <w:t>。</w:t>
            </w:r>
            <w:r>
              <w:rPr>
                <w:rFonts w:hint="default" w:ascii="Times New Roman" w:hAnsi="Times New Roman" w:cs="Times New Roman"/>
                <w:lang w:eastAsia="zh-CN"/>
              </w:rPr>
              <w:t>根据《庆阳市生态环境准入清单》（庆环委办发[2022]2号），本项目所在区域管控要求如下。</w:t>
            </w:r>
          </w:p>
          <w:p>
            <w:pPr>
              <w:adjustRightInd w:val="0"/>
              <w:snapToGrid w:val="0"/>
              <w:spacing w:line="360" w:lineRule="exact"/>
              <w:ind w:firstLine="480"/>
              <w:jc w:val="center"/>
              <w:rPr>
                <w:rFonts w:hint="default" w:ascii="Times New Roman" w:hAnsi="Times New Roman" w:cs="Times New Roman"/>
                <w:lang w:eastAsia="zh-CN"/>
              </w:rPr>
            </w:pPr>
            <w:r>
              <w:rPr>
                <w:rFonts w:hint="default" w:ascii="Times New Roman" w:hAnsi="Times New Roman" w:cs="Times New Roman"/>
                <w:lang w:eastAsia="zh-CN"/>
              </w:rPr>
              <w:t>表1-1   《庆阳市生态环境准入清单》管控要求</w:t>
            </w:r>
          </w:p>
          <w:tbl>
            <w:tblPr>
              <w:tblStyle w:val="27"/>
              <w:tblW w:w="4998" w:type="pct"/>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40"/>
              <w:gridCol w:w="3119"/>
              <w:gridCol w:w="2407"/>
              <w:gridCol w:w="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12" w:space="0"/>
                    <w:left w:val="nil"/>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管控单元</w:t>
                  </w:r>
                </w:p>
              </w:tc>
              <w:tc>
                <w:tcPr>
                  <w:tcW w:w="3996" w:type="dxa"/>
                  <w:gridSpan w:val="2"/>
                  <w:tcBorders>
                    <w:top w:val="single" w:color="auto" w:sz="12" w:space="0"/>
                    <w:left w:val="single" w:color="auto" w:sz="4" w:space="0"/>
                    <w:bottom w:val="single" w:color="auto" w:sz="4" w:space="0"/>
                    <w:right w:val="single" w:color="auto" w:sz="4" w:space="0"/>
                  </w:tcBorders>
                  <w:vAlign w:val="center"/>
                </w:tcPr>
                <w:p>
                  <w:pPr>
                    <w:ind w:firstLine="422"/>
                    <w:jc w:val="center"/>
                    <w:rPr>
                      <w:rFonts w:hint="default" w:ascii="Times New Roman" w:hAnsi="Times New Roman" w:cs="Times New Roman"/>
                      <w:lang w:eastAsia="zh-CN"/>
                    </w:rPr>
                  </w:pPr>
                  <w:r>
                    <w:rPr>
                      <w:rFonts w:hint="default" w:ascii="Times New Roman" w:hAnsi="Times New Roman" w:cs="Times New Roman"/>
                      <w:lang w:eastAsia="zh-CN"/>
                    </w:rPr>
                    <w:t>管控要求</w:t>
                  </w:r>
                </w:p>
              </w:tc>
              <w:tc>
                <w:tcPr>
                  <w:tcW w:w="2370"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lang w:eastAsia="zh-CN"/>
                    </w:rPr>
                  </w:pPr>
                  <w:r>
                    <w:rPr>
                      <w:rFonts w:hint="default" w:ascii="Times New Roman" w:hAnsi="Times New Roman" w:cs="Times New Roman"/>
                      <w:lang w:eastAsia="zh-CN"/>
                    </w:rPr>
                    <w:t>本项目</w:t>
                  </w:r>
                </w:p>
              </w:tc>
              <w:tc>
                <w:tcPr>
                  <w:tcW w:w="949" w:type="dxa"/>
                  <w:tcBorders>
                    <w:top w:val="single" w:color="auto" w:sz="12"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2" w:type="dxa"/>
                  <w:vMerge w:val="restart"/>
                  <w:tcBorders>
                    <w:top w:val="single" w:color="auto" w:sz="4" w:space="0"/>
                    <w:left w:val="nil"/>
                    <w:bottom w:val="single" w:color="auto" w:sz="4" w:space="0"/>
                    <w:right w:val="single" w:color="auto" w:sz="4" w:space="0"/>
                  </w:tcBorders>
                  <w:vAlign w:val="center"/>
                </w:tcPr>
                <w:p>
                  <w:pPr>
                    <w:topLinePunct/>
                    <w:jc w:val="both"/>
                    <w:rPr>
                      <w:rFonts w:hint="default" w:ascii="Times New Roman" w:hAnsi="Times New Roman" w:cs="Times New Roman"/>
                      <w:lang w:eastAsia="zh-CN"/>
                    </w:rPr>
                  </w:pPr>
                  <w:r>
                    <w:rPr>
                      <w:rFonts w:hint="default" w:ascii="Times New Roman" w:hAnsi="Times New Roman" w:cs="Times New Roman"/>
                      <w:lang w:eastAsia="zh-CN"/>
                    </w:rPr>
                    <w:t>宁县重点管控单元1</w:t>
                  </w:r>
                </w:p>
                <w:p>
                  <w:pPr>
                    <w:widowControl/>
                    <w:spacing w:before="100" w:beforeAutospacing="1" w:after="100" w:afterAutospacing="1"/>
                    <w:rPr>
                      <w:rFonts w:hint="default" w:ascii="Times New Roman" w:hAnsi="Times New Roman" w:cs="Times New Roman"/>
                      <w:lang w:eastAsia="zh-CN"/>
                    </w:rPr>
                  </w:pPr>
                </w:p>
                <w:p>
                  <w:pPr>
                    <w:topLinePunct/>
                    <w:jc w:val="both"/>
                    <w:rPr>
                      <w:rFonts w:hint="default" w:ascii="Times New Roman" w:hAnsi="Times New Roman" w:cs="Times New Roman"/>
                      <w:lang w:eastAsia="zh-CN"/>
                    </w:rPr>
                  </w:pPr>
                  <w:r>
                    <w:rPr>
                      <w:rFonts w:hint="default" w:ascii="Times New Roman" w:hAnsi="Times New Roman" w:cs="Times New Roman"/>
                      <w:lang w:eastAsia="zh-CN"/>
                    </w:rPr>
                    <w:t xml:space="preserve">ZH62102 </w:t>
                  </w:r>
                </w:p>
                <w:p>
                  <w:pPr>
                    <w:topLinePunct/>
                    <w:jc w:val="both"/>
                    <w:rPr>
                      <w:rFonts w:hint="default" w:ascii="Times New Roman" w:hAnsi="Times New Roman" w:cs="Times New Roman"/>
                      <w:lang w:eastAsia="zh-CN"/>
                    </w:rPr>
                  </w:pPr>
                  <w:r>
                    <w:rPr>
                      <w:rFonts w:hint="default" w:ascii="Times New Roman" w:hAnsi="Times New Roman" w:cs="Times New Roman"/>
                      <w:lang w:eastAsia="zh-CN"/>
                    </w:rPr>
                    <w:t>620001</w:t>
                  </w:r>
                </w:p>
              </w:tc>
              <w:tc>
                <w:tcPr>
                  <w:tcW w:w="92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空间布局约束</w:t>
                  </w:r>
                </w:p>
              </w:tc>
              <w:tc>
                <w:tcPr>
                  <w:tcW w:w="307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 xml:space="preserve">执行全省及庆阳市生态 环境总体准入清单中关 于重点管控单元空间布 局约束要求。落实主体功 能区规划、国土空间规划 </w:t>
                  </w:r>
                </w:p>
                <w:p>
                  <w:pPr>
                    <w:widowControl/>
                    <w:rPr>
                      <w:rFonts w:hint="default" w:ascii="Times New Roman" w:hAnsi="Times New Roman" w:cs="Times New Roman"/>
                      <w:lang w:eastAsia="zh-CN"/>
                    </w:rPr>
                  </w:pPr>
                  <w:r>
                    <w:rPr>
                      <w:rFonts w:hint="default" w:ascii="Times New Roman" w:hAnsi="Times New Roman" w:cs="Times New Roman"/>
                      <w:lang w:eastAsia="zh-CN"/>
                    </w:rPr>
                    <w:t>等要求</w:t>
                  </w:r>
                </w:p>
              </w:tc>
              <w:tc>
                <w:tcPr>
                  <w:tcW w:w="237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本项目位于宁县辑宁北路东城社区3号1栋，不新增占地，不对城区规划和空间布局产生影响，项目周边无乡镇饮用水源保护区。</w:t>
                  </w:r>
                </w:p>
              </w:tc>
              <w:tc>
                <w:tcPr>
                  <w:tcW w:w="949"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5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lang w:eastAsia="zh-CN"/>
                    </w:rPr>
                  </w:pPr>
                </w:p>
              </w:tc>
              <w:tc>
                <w:tcPr>
                  <w:tcW w:w="92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污染物排放管控</w:t>
                  </w:r>
                </w:p>
              </w:tc>
              <w:tc>
                <w:tcPr>
                  <w:tcW w:w="307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1.按照规划环评相关要求加强污染物排放管控，执行总量控制相关要求。</w:t>
                  </w:r>
                </w:p>
                <w:p>
                  <w:pPr>
                    <w:jc w:val="both"/>
                    <w:rPr>
                      <w:rFonts w:hint="default" w:ascii="Times New Roman" w:hAnsi="Times New Roman" w:cs="Times New Roman"/>
                      <w:lang w:eastAsia="zh-CN"/>
                    </w:rPr>
                  </w:pPr>
                  <w:r>
                    <w:rPr>
                      <w:rFonts w:hint="default" w:ascii="Times New Roman" w:hAnsi="Times New Roman" w:cs="Times New Roman"/>
                      <w:lang w:eastAsia="zh-CN"/>
                    </w:rPr>
                    <w:t>2.执行《关于加强高耗能、高排放建设项目生态环境源头防控的指导意见》（环环评〔2021〕45）中的污染物排放管控要求。</w:t>
                  </w:r>
                </w:p>
                <w:p>
                  <w:pPr>
                    <w:jc w:val="both"/>
                    <w:rPr>
                      <w:rFonts w:hint="default" w:ascii="Times New Roman" w:hAnsi="Times New Roman" w:cs="Times New Roman"/>
                      <w:lang w:eastAsia="zh-CN"/>
                    </w:rPr>
                  </w:pPr>
                  <w:r>
                    <w:rPr>
                      <w:rFonts w:hint="default" w:ascii="Times New Roman" w:hAnsi="Times New Roman" w:cs="Times New Roman"/>
                      <w:lang w:eastAsia="zh-CN"/>
                    </w:rPr>
                    <w:t>3.执行《重点行业挥发性有机物综合治理方案》（环大气〔2019〕53号）《甘肃省大气污染治理领导小组办公室关于做好重点行业挥发性有机物综合治理工作的通知》中挥发性有机物污染物排放管控的相关要求。</w:t>
                  </w:r>
                </w:p>
                <w:p>
                  <w:pPr>
                    <w:jc w:val="both"/>
                    <w:rPr>
                      <w:rFonts w:hint="default" w:ascii="Times New Roman" w:hAnsi="Times New Roman" w:cs="Times New Roman"/>
                      <w:lang w:eastAsia="zh-CN"/>
                    </w:rPr>
                  </w:pPr>
                  <w:r>
                    <w:rPr>
                      <w:rFonts w:hint="default" w:ascii="Times New Roman" w:hAnsi="Times New Roman" w:cs="Times New Roman"/>
                      <w:lang w:eastAsia="zh-CN"/>
                    </w:rPr>
                    <w:t>4.提高生活垃圾收集和无害化处理率。</w:t>
                  </w:r>
                </w:p>
              </w:tc>
              <w:tc>
                <w:tcPr>
                  <w:tcW w:w="237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1、本项目为生态环境监测站，不属于两高项目；</w:t>
                  </w:r>
                </w:p>
                <w:p>
                  <w:pPr>
                    <w:jc w:val="both"/>
                    <w:rPr>
                      <w:rFonts w:hint="default" w:ascii="Times New Roman" w:hAnsi="Times New Roman" w:cs="Times New Roman"/>
                      <w:lang w:eastAsia="zh-CN"/>
                    </w:rPr>
                  </w:pPr>
                  <w:r>
                    <w:rPr>
                      <w:rFonts w:hint="default" w:ascii="Times New Roman" w:hAnsi="Times New Roman" w:cs="Times New Roman"/>
                      <w:lang w:eastAsia="zh-CN"/>
                    </w:rPr>
                    <w:t>2、施工工地全面落实“六个百分之百”，产生的污染物项目落实相关环保要求，运营期项目实验室产生的有机废气由万向吸收罩收集后通过1套二级活性炭吸附装置处理后通过高出楼顶3m的排气筒排放，无机废气（主要为酸性气体）由万向吸收罩收集后通过1套SDG干法废气处理装置处理后通过高出楼顶3m高的排气筒排放，产生的污染物均得到有效治理，能够满足达标排放。</w:t>
                  </w:r>
                </w:p>
                <w:p>
                  <w:pPr>
                    <w:widowControl/>
                    <w:rPr>
                      <w:rFonts w:hint="default" w:ascii="Times New Roman" w:hAnsi="Times New Roman" w:cs="Times New Roman"/>
                      <w:lang w:eastAsia="zh-CN"/>
                    </w:rPr>
                  </w:pPr>
                  <w:r>
                    <w:rPr>
                      <w:rFonts w:hint="default" w:ascii="Times New Roman" w:hAnsi="Times New Roman" w:cs="Times New Roman"/>
                      <w:lang w:eastAsia="zh-CN"/>
                    </w:rPr>
                    <w:t>3、项目采取雨污分流制，</w:t>
                  </w:r>
                  <w:r>
                    <w:rPr>
                      <w:rFonts w:hint="default" w:ascii="Times New Roman" w:hAnsi="Times New Roman" w:eastAsia="宋体" w:cs="Times New Roman"/>
                      <w:color w:val="FF0000"/>
                      <w:sz w:val="21"/>
                      <w:szCs w:val="21"/>
                      <w:lang w:eastAsia="zh-CN"/>
                    </w:rPr>
                    <w:t>①</w:t>
                  </w:r>
                  <w:r>
                    <w:rPr>
                      <w:rFonts w:hint="default" w:ascii="Times New Roman" w:hAnsi="Times New Roman" w:eastAsia="宋体" w:cs="Times New Roman"/>
                      <w:color w:val="FF0000"/>
                      <w:sz w:val="21"/>
                      <w:szCs w:val="21"/>
                      <w:lang w:val="en-US" w:eastAsia="zh-CN"/>
                    </w:rPr>
                    <w:t>项目安装有废水处理设备，实验废水经处理后排入市政污水管网，由宁县生活污水处理厂处置</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rPr>
                    <w:t>②生活污水排入化粪池处理后经市政污水管网进入</w:t>
                  </w:r>
                  <w:r>
                    <w:rPr>
                      <w:rFonts w:hint="default" w:ascii="Times New Roman" w:hAnsi="Times New Roman" w:eastAsia="宋体" w:cs="Times New Roman"/>
                      <w:color w:val="FF0000"/>
                      <w:sz w:val="21"/>
                      <w:szCs w:val="21"/>
                      <w:lang w:eastAsia="zh-CN"/>
                    </w:rPr>
                    <w:t>宁县生活污水处理厂</w:t>
                  </w:r>
                  <w:r>
                    <w:rPr>
                      <w:rFonts w:hint="default" w:ascii="Times New Roman" w:hAnsi="Times New Roman" w:eastAsia="宋体" w:cs="Times New Roman"/>
                      <w:color w:val="FF0000"/>
                      <w:sz w:val="21"/>
                      <w:szCs w:val="21"/>
                    </w:rPr>
                    <w:t>；③纯水制备产生的浓水直接排入污水</w:t>
                  </w:r>
                  <w:r>
                    <w:rPr>
                      <w:rFonts w:hint="default" w:ascii="Times New Roman" w:hAnsi="Times New Roman" w:eastAsia="宋体" w:cs="Times New Roman"/>
                      <w:color w:val="FF0000"/>
                      <w:sz w:val="21"/>
                      <w:szCs w:val="21"/>
                      <w:lang w:eastAsia="zh-CN"/>
                    </w:rPr>
                    <w:t>管网</w:t>
                  </w:r>
                  <w:r>
                    <w:rPr>
                      <w:rFonts w:hint="eastAsia" w:ascii="Times New Roman" w:hAnsi="Times New Roman" w:eastAsia="宋体" w:cs="Times New Roman"/>
                      <w:color w:val="FF0000"/>
                      <w:sz w:val="21"/>
                      <w:szCs w:val="21"/>
                      <w:lang w:eastAsia="zh-CN"/>
                    </w:rPr>
                    <w:t>。</w:t>
                  </w:r>
                  <w:r>
                    <w:rPr>
                      <w:rFonts w:hint="default" w:ascii="Times New Roman" w:hAnsi="Times New Roman" w:cs="Times New Roman"/>
                      <w:lang w:eastAsia="zh-CN"/>
                    </w:rPr>
                    <w:t>固体废物包括废包装材料、纯水机废滤芯、废反渗透膜，统一收集后外售利用；危险废物包括器皿冲洗废水、实验室废液、废试剂瓶、过期药剂，暂存于危险废物暂存间，定期交由有资质的单位进行处置；生活垃圾暂存于厂区垃圾桶，交由环卫部门定期清运。</w:t>
                  </w:r>
                </w:p>
              </w:tc>
              <w:tc>
                <w:tcPr>
                  <w:tcW w:w="949"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lang w:eastAsia="zh-CN"/>
                    </w:rPr>
                  </w:pPr>
                </w:p>
              </w:tc>
              <w:tc>
                <w:tcPr>
                  <w:tcW w:w="92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环境风险防控</w:t>
                  </w:r>
                </w:p>
              </w:tc>
              <w:tc>
                <w:tcPr>
                  <w:tcW w:w="3071"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 xml:space="preserve">1.企业应按照《环境保护法》《突发环境事件应急管理办法》等要求开展突发环境事件风险评估；完善突发环境事件风险防控措施；排查治理环境安全隐患；制定突发环境事件应急预案并备案、演练；加强环境应急能力保障建设。发生或者可能发生突发环境事件时，企业事业单位应当依法进行处理，并对所造成的损害承担责任。 </w:t>
                  </w:r>
                </w:p>
                <w:p>
                  <w:pPr>
                    <w:jc w:val="both"/>
                    <w:rPr>
                      <w:rFonts w:hint="default" w:ascii="Times New Roman" w:hAnsi="Times New Roman" w:cs="Times New Roman"/>
                      <w:lang w:eastAsia="zh-CN"/>
                    </w:rPr>
                  </w:pPr>
                  <w:r>
                    <w:rPr>
                      <w:rFonts w:hint="default" w:ascii="Times New Roman" w:hAnsi="Times New Roman" w:cs="Times New Roman"/>
                      <w:lang w:eastAsia="zh-CN"/>
                    </w:rPr>
                    <w:t xml:space="preserve">2.企业应完善包括有效防止泄漏物质、消防水、污染雨水等扩散至外环境的收集、导流、拦截、降污等突发环境事件风险防控措施。 </w:t>
                  </w:r>
                </w:p>
                <w:p>
                  <w:pPr>
                    <w:jc w:val="both"/>
                    <w:rPr>
                      <w:rFonts w:hint="default" w:ascii="Times New Roman" w:hAnsi="Times New Roman" w:cs="Times New Roman"/>
                      <w:lang w:eastAsia="zh-CN"/>
                    </w:rPr>
                  </w:pPr>
                  <w:r>
                    <w:rPr>
                      <w:rFonts w:hint="default" w:ascii="Times New Roman" w:hAnsi="Times New Roman" w:cs="Times New Roman"/>
                      <w:lang w:eastAsia="zh-CN"/>
                    </w:rPr>
                    <w:t xml:space="preserve">3.企业要加强内部管理，将土壤污染防治纳入环境风险防控体系，严格依法依规建设和运营污染治理设施，确保重点污染物稳定达标排放。 </w:t>
                  </w:r>
                </w:p>
                <w:p>
                  <w:pPr>
                    <w:jc w:val="both"/>
                    <w:rPr>
                      <w:rFonts w:hint="default" w:ascii="Times New Roman" w:hAnsi="Times New Roman" w:cs="Times New Roman"/>
                      <w:lang w:eastAsia="zh-CN"/>
                    </w:rPr>
                  </w:pPr>
                  <w:r>
                    <w:rPr>
                      <w:rFonts w:hint="default" w:ascii="Times New Roman" w:hAnsi="Times New Roman" w:cs="Times New Roman"/>
                      <w:lang w:eastAsia="zh-CN"/>
                    </w:rPr>
                    <w:t xml:space="preserve"> 4.落实《关于提升危险废物环境监管能力、利用处置能力和环境风险防范能力的指导意见》（环固体〔2019〕92号）等的危险废物环境风险管控的相关要求。</w:t>
                  </w:r>
                </w:p>
              </w:tc>
              <w:tc>
                <w:tcPr>
                  <w:tcW w:w="237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项目配备了完善的环境风险防控体系，建立常态化的企业隐患排查整治监管机制，加强风险防控体系建设。</w:t>
                  </w:r>
                </w:p>
              </w:tc>
              <w:tc>
                <w:tcPr>
                  <w:tcW w:w="949"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lang w:eastAsia="zh-CN"/>
                    </w:rPr>
                  </w:pPr>
                </w:p>
              </w:tc>
              <w:tc>
                <w:tcPr>
                  <w:tcW w:w="925"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资源利用效率</w:t>
                  </w:r>
                </w:p>
              </w:tc>
              <w:tc>
                <w:tcPr>
                  <w:tcW w:w="3071"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实行水资源消耗总量和强度双控。</w:t>
                  </w:r>
                </w:p>
              </w:tc>
              <w:tc>
                <w:tcPr>
                  <w:tcW w:w="2370"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本项目采用先进的生产工艺与节水节能设施，不涉及高污染燃料。</w:t>
                  </w:r>
                </w:p>
              </w:tc>
              <w:tc>
                <w:tcPr>
                  <w:tcW w:w="949" w:type="dxa"/>
                  <w:tcBorders>
                    <w:top w:val="single" w:color="auto" w:sz="4" w:space="0"/>
                    <w:left w:val="single" w:color="auto" w:sz="4" w:space="0"/>
                    <w:bottom w:val="single" w:color="auto" w:sz="12"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bl>
          <w:p>
            <w:pPr>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根据对照上述环境管控要求，本项目实施符合西峰区重点管控单元中空间布局约束、污染物排放管控、环境风险防控、资源利用效率等相关要求，项目建设符合《庆阳市生态环境准入清单》要求。</w:t>
            </w:r>
          </w:p>
          <w:p>
            <w:pPr>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综上所述，本项目的建设符合庆阳市宁县“三线一单”重点管控单元环境管控要求。</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4、庆阳市宁县“十四五”生态环境保护规划符合性分析</w:t>
            </w:r>
          </w:p>
          <w:p>
            <w:pPr>
              <w:adjustRightInd w:val="0"/>
              <w:snapToGrid w:val="0"/>
              <w:spacing w:line="360" w:lineRule="exact"/>
              <w:ind w:firstLine="480"/>
              <w:jc w:val="center"/>
              <w:rPr>
                <w:rFonts w:hint="default" w:ascii="Times New Roman" w:hAnsi="Times New Roman" w:cs="Times New Roman"/>
                <w:lang w:eastAsia="zh-CN"/>
              </w:rPr>
            </w:pPr>
            <w:r>
              <w:rPr>
                <w:rFonts w:hint="default" w:ascii="Times New Roman" w:hAnsi="Times New Roman" w:cs="Times New Roman"/>
                <w:lang w:eastAsia="zh-CN"/>
              </w:rPr>
              <w:t>表1-2    庆阳市宁县“十四五”生态环境保护规划管控要求</w:t>
            </w:r>
          </w:p>
          <w:tbl>
            <w:tblPr>
              <w:tblStyle w:val="27"/>
              <w:tblW w:w="8632"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3346"/>
              <w:gridCol w:w="1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688" w:type="dxa"/>
                  <w:tcBorders>
                    <w:top w:val="single" w:color="auto" w:sz="12" w:space="0"/>
                    <w:left w:val="nil"/>
                    <w:bottom w:val="single" w:color="auto" w:sz="4" w:space="0"/>
                    <w:right w:val="single" w:color="auto" w:sz="4" w:space="0"/>
                  </w:tcBorders>
                  <w:vAlign w:val="center"/>
                </w:tcPr>
                <w:p>
                  <w:pPr>
                    <w:ind w:firstLine="422"/>
                    <w:jc w:val="center"/>
                    <w:rPr>
                      <w:rFonts w:hint="default" w:ascii="Times New Roman" w:hAnsi="Times New Roman" w:cs="Times New Roman"/>
                      <w:lang w:eastAsia="zh-CN"/>
                    </w:rPr>
                  </w:pPr>
                  <w:r>
                    <w:rPr>
                      <w:rFonts w:hint="default" w:ascii="Times New Roman" w:hAnsi="Times New Roman" w:cs="Times New Roman"/>
                      <w:lang w:eastAsia="zh-CN"/>
                    </w:rPr>
                    <w:t>管控要求</w:t>
                  </w:r>
                </w:p>
              </w:tc>
              <w:tc>
                <w:tcPr>
                  <w:tcW w:w="3346"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lang w:eastAsia="zh-CN"/>
                    </w:rPr>
                  </w:pPr>
                  <w:r>
                    <w:rPr>
                      <w:rFonts w:hint="default" w:ascii="Times New Roman" w:hAnsi="Times New Roman" w:cs="Times New Roman"/>
                      <w:lang w:eastAsia="zh-CN"/>
                    </w:rPr>
                    <w:t>本项目</w:t>
                  </w:r>
                </w:p>
              </w:tc>
              <w:tc>
                <w:tcPr>
                  <w:tcW w:w="1598" w:type="dxa"/>
                  <w:tcBorders>
                    <w:top w:val="single" w:color="auto" w:sz="12"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lang w:eastAsia="zh-CN"/>
                    </w:rPr>
                  </w:pPr>
                  <w:r>
                    <w:rPr>
                      <w:rFonts w:hint="default" w:ascii="Times New Roman" w:hAnsi="Times New Roman" w:cs="Times New Roman"/>
                      <w:lang w:eastAsia="zh-CN"/>
                    </w:rPr>
                    <w:t>1、推进重点行业氮氧化物、挥发性有机物治理</w:t>
                  </w:r>
                </w:p>
              </w:tc>
              <w:tc>
                <w:tcPr>
                  <w:tcW w:w="33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实验室产生的有机废气由万向吸收罩收集后通过1套二级活性炭吸附装置处理后通过高出楼顶3m的排气筒排放，无机废气（主要为酸性气体）由万向吸收罩收集后通过1套SDG干法废气处理装置处理后通过高出楼顶3m高的排气筒排放。</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lang w:eastAsia="zh-CN"/>
                    </w:rPr>
                  </w:pPr>
                  <w:r>
                    <w:rPr>
                      <w:rFonts w:hint="default" w:ascii="Times New Roman" w:hAnsi="Times New Roman" w:cs="Times New Roman"/>
                      <w:lang w:eastAsia="zh-CN"/>
                    </w:rPr>
                    <w:t>2、加强绿色施工和扬尘污染精细化管控</w:t>
                  </w:r>
                </w:p>
              </w:tc>
              <w:tc>
                <w:tcPr>
                  <w:tcW w:w="33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施工期严格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rPr>
                      <w:rFonts w:hint="default" w:ascii="Times New Roman" w:hAnsi="Times New Roman" w:cs="Times New Roman"/>
                      <w:lang w:eastAsia="zh-CN"/>
                    </w:rPr>
                  </w:pPr>
                  <w:r>
                    <w:rPr>
                      <w:rFonts w:hint="default" w:ascii="Times New Roman" w:hAnsi="Times New Roman" w:cs="Times New Roman"/>
                      <w:lang w:eastAsia="zh-CN"/>
                    </w:rPr>
                    <w:t>3、强化建筑施工噪声环境管理</w:t>
                  </w:r>
                </w:p>
              </w:tc>
              <w:tc>
                <w:tcPr>
                  <w:tcW w:w="33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（1）严格选用符合标准的低噪声机械及车辆，加强管理，定期对施工机械维护保养。避免带病作业及空转。严禁夜间（22：00~6：00）及中午（13：00~14:00）作业。</w:t>
                  </w:r>
                </w:p>
                <w:p>
                  <w:pPr>
                    <w:jc w:val="both"/>
                    <w:rPr>
                      <w:rFonts w:hint="default" w:ascii="Times New Roman" w:hAnsi="Times New Roman" w:cs="Times New Roman"/>
                      <w:lang w:eastAsia="zh-CN"/>
                    </w:rPr>
                  </w:pPr>
                  <w:r>
                    <w:rPr>
                      <w:rFonts w:hint="default" w:ascii="Times New Roman" w:hAnsi="Times New Roman" w:cs="Times New Roman"/>
                      <w:lang w:eastAsia="zh-CN"/>
                    </w:rPr>
                    <w:t>（2）加强运输管理，控制运输车辆速度，严禁超载；进场道路入口处设置指示牌加以引导，避免车辆不必要的怠速、制动、启动、鸣号；</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rPr>
                      <w:rFonts w:hint="default" w:ascii="Times New Roman" w:hAnsi="Times New Roman" w:cs="Times New Roman"/>
                      <w:lang w:eastAsia="zh-CN"/>
                    </w:rPr>
                  </w:pPr>
                  <w:r>
                    <w:rPr>
                      <w:rFonts w:hint="default" w:ascii="Times New Roman" w:hAnsi="Times New Roman" w:cs="Times New Roman"/>
                      <w:lang w:eastAsia="zh-CN"/>
                    </w:rPr>
                    <w:t>4、加快推进工业水污染防治</w:t>
                  </w:r>
                </w:p>
              </w:tc>
              <w:tc>
                <w:tcPr>
                  <w:tcW w:w="33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雨污分流，①实验室化验废水排入化验室内废液收集桶，定点存储至危废暂存间，交有资质单位处理；②生活污水排入化粪池，最终进入市政污水管网；</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rPr>
                      <w:rFonts w:hint="default" w:ascii="Times New Roman" w:hAnsi="Times New Roman" w:cs="Times New Roman"/>
                      <w:lang w:eastAsia="zh-CN"/>
                    </w:rPr>
                  </w:pPr>
                  <w:r>
                    <w:rPr>
                      <w:rFonts w:hint="default" w:ascii="Times New Roman" w:hAnsi="Times New Roman" w:cs="Times New Roman"/>
                      <w:lang w:eastAsia="zh-CN"/>
                    </w:rPr>
                    <w:t>5、推进地下水生态环境保护</w:t>
                  </w:r>
                </w:p>
              </w:tc>
              <w:tc>
                <w:tcPr>
                  <w:tcW w:w="3346"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本项目场地采取分区防渗措施，化粪池、危废暂存间采取重点防渗</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8" w:type="dxa"/>
                  <w:tcBorders>
                    <w:top w:val="single" w:color="auto" w:sz="4" w:space="0"/>
                    <w:left w:val="nil"/>
                    <w:bottom w:val="single" w:color="auto" w:sz="12" w:space="0"/>
                    <w:right w:val="single" w:color="auto" w:sz="4" w:space="0"/>
                  </w:tcBorders>
                  <w:vAlign w:val="center"/>
                </w:tcPr>
                <w:p>
                  <w:pPr>
                    <w:widowControl/>
                    <w:spacing w:before="100" w:beforeAutospacing="1" w:after="100" w:afterAutospacing="1"/>
                    <w:rPr>
                      <w:rFonts w:hint="default" w:ascii="Times New Roman" w:hAnsi="Times New Roman" w:cs="Times New Roman"/>
                      <w:lang w:eastAsia="zh-CN"/>
                    </w:rPr>
                  </w:pPr>
                  <w:r>
                    <w:rPr>
                      <w:rFonts w:hint="default" w:ascii="Times New Roman" w:hAnsi="Times New Roman" w:cs="Times New Roman"/>
                      <w:lang w:eastAsia="zh-CN"/>
                    </w:rPr>
                    <w:t>6、加强固体废物污染防治</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tc>
              <w:tc>
                <w:tcPr>
                  <w:tcW w:w="3346"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本项目固体废物包括一般工业固体废物、危险废物和生活垃圾；一  般工业固体废物包括废包装材料、纯水机废滤芯、废反渗  透膜，暂存于厂区，统一收集后外售利用；危险废物包括器皿冲洗废水、实验室废液、废试剂瓶、过期药剂，暂存于危险废物暂存间，定期交由具有相应处理资质的单位进行处置；生活垃圾暂存于厂区垃圾桶，交由环卫部门定期清运。</w:t>
                  </w:r>
                </w:p>
              </w:tc>
              <w:tc>
                <w:tcPr>
                  <w:tcW w:w="1598" w:type="dxa"/>
                  <w:tcBorders>
                    <w:top w:val="single" w:color="auto" w:sz="4" w:space="0"/>
                    <w:left w:val="single" w:color="auto" w:sz="4" w:space="0"/>
                    <w:bottom w:val="single" w:color="auto" w:sz="12" w:space="0"/>
                    <w:right w:val="nil"/>
                  </w:tcBorders>
                  <w:vAlign w:val="center"/>
                </w:tcPr>
                <w:p>
                  <w:pPr>
                    <w:jc w:val="both"/>
                    <w:rPr>
                      <w:rFonts w:hint="default" w:ascii="Times New Roman" w:hAnsi="Times New Roman" w:cs="Times New Roman"/>
                      <w:lang w:eastAsia="zh-CN"/>
                    </w:rPr>
                  </w:pPr>
                  <w:r>
                    <w:rPr>
                      <w:rFonts w:hint="default" w:ascii="Times New Roman" w:hAnsi="Times New Roman" w:cs="Times New Roman"/>
                      <w:lang w:eastAsia="zh-CN"/>
                    </w:rPr>
                    <w:t>符合</w:t>
                  </w:r>
                </w:p>
              </w:tc>
            </w:tr>
          </w:tbl>
          <w:p>
            <w:pPr>
              <w:spacing w:line="360" w:lineRule="auto"/>
              <w:ind w:firstLine="440" w:firstLineChars="200"/>
              <w:jc w:val="both"/>
              <w:rPr>
                <w:rFonts w:hint="default" w:ascii="Times New Roman" w:hAnsi="Times New Roman" w:cs="Times New Roman"/>
                <w:lang w:eastAsia="zh-CN"/>
              </w:rPr>
            </w:pPr>
            <w:r>
              <w:rPr>
                <w:rFonts w:hint="default" w:ascii="Times New Roman" w:hAnsi="Times New Roman" w:cs="Times New Roman"/>
                <w:lang w:eastAsia="zh-CN"/>
              </w:rPr>
              <w:t>综上所述，本项目的建设符合庆阳市西峰区“十四五”生态环境保护规划要求。</w:t>
            </w:r>
          </w:p>
          <w:p>
            <w:pPr>
              <w:numPr>
                <w:ilvl w:val="0"/>
                <w:numId w:val="1"/>
              </w:numPr>
              <w:spacing w:line="360" w:lineRule="auto"/>
              <w:rPr>
                <w:rFonts w:hint="default" w:ascii="Times New Roman" w:hAnsi="Times New Roman" w:cs="Times New Roman"/>
                <w:b/>
                <w:bCs/>
                <w:color w:val="FF0000"/>
                <w:lang w:val="en-US" w:eastAsia="zh-CN"/>
              </w:rPr>
            </w:pPr>
            <w:r>
              <w:rPr>
                <w:rFonts w:hint="default" w:ascii="Times New Roman" w:hAnsi="Times New Roman" w:cs="Times New Roman"/>
                <w:b/>
                <w:bCs/>
                <w:color w:val="FF0000"/>
                <w:lang w:val="en-US" w:eastAsia="zh-CN"/>
              </w:rPr>
              <w:t>项目与《</w:t>
            </w:r>
            <w:r>
              <w:rPr>
                <w:rFonts w:hint="default" w:ascii="Times New Roman" w:hAnsi="Times New Roman" w:cs="Times New Roman"/>
                <w:b/>
                <w:bCs/>
                <w:color w:val="FF0000"/>
                <w:lang w:eastAsia="zh-CN"/>
              </w:rPr>
              <w:t>检验检测实验室技术要求验收规范</w:t>
            </w:r>
            <w:r>
              <w:rPr>
                <w:rFonts w:hint="default" w:ascii="Times New Roman" w:hAnsi="Times New Roman" w:cs="Times New Roman"/>
                <w:b/>
                <w:bCs/>
                <w:color w:val="FF0000"/>
                <w:lang w:val="en-US" w:eastAsia="zh-CN"/>
              </w:rPr>
              <w:t>》（GB/T 37140-2018）符合性分析</w:t>
            </w:r>
          </w:p>
          <w:p>
            <w:pPr>
              <w:adjustRightInd w:val="0"/>
              <w:snapToGrid w:val="0"/>
              <w:spacing w:line="360" w:lineRule="exact"/>
              <w:ind w:firstLine="480"/>
              <w:jc w:val="center"/>
              <w:rPr>
                <w:rFonts w:hint="default" w:ascii="Times New Roman" w:hAnsi="Times New Roman" w:cs="Times New Roman"/>
                <w:color w:val="FF0000"/>
                <w:lang w:eastAsia="zh-CN"/>
              </w:rPr>
            </w:pPr>
            <w:r>
              <w:rPr>
                <w:rFonts w:hint="default" w:ascii="Times New Roman" w:hAnsi="Times New Roman" w:cs="Times New Roman"/>
                <w:color w:val="FF0000"/>
                <w:lang w:eastAsia="zh-CN"/>
              </w:rPr>
              <w:t>表1-</w:t>
            </w:r>
            <w:r>
              <w:rPr>
                <w:rFonts w:hint="default" w:ascii="Times New Roman" w:hAnsi="Times New Roman" w:cs="Times New Roman"/>
                <w:color w:val="FF0000"/>
                <w:lang w:val="en-US" w:eastAsia="zh-CN"/>
              </w:rPr>
              <w:t>3</w:t>
            </w:r>
            <w:r>
              <w:rPr>
                <w:rFonts w:hint="default" w:ascii="Times New Roman" w:hAnsi="Times New Roman" w:cs="Times New Roman"/>
                <w:color w:val="FF0000"/>
                <w:lang w:eastAsia="zh-CN"/>
              </w:rPr>
              <w:t xml:space="preserve">    检验检测实验室技术要求验收规范要求</w:t>
            </w:r>
          </w:p>
          <w:tbl>
            <w:tblPr>
              <w:tblStyle w:val="27"/>
              <w:tblW w:w="8632"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2337"/>
              <w:gridCol w:w="1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697" w:type="dxa"/>
                  <w:tcBorders>
                    <w:top w:val="single" w:color="auto" w:sz="12" w:space="0"/>
                    <w:left w:val="nil"/>
                    <w:bottom w:val="single" w:color="auto" w:sz="4" w:space="0"/>
                    <w:right w:val="single" w:color="auto" w:sz="4" w:space="0"/>
                  </w:tcBorders>
                  <w:vAlign w:val="center"/>
                </w:tcPr>
                <w:p>
                  <w:pPr>
                    <w:ind w:firstLine="422"/>
                    <w:jc w:val="center"/>
                    <w:rPr>
                      <w:rFonts w:hint="default" w:ascii="Times New Roman" w:hAnsi="Times New Roman" w:cs="Times New Roman"/>
                      <w:color w:val="FF0000"/>
                      <w:lang w:eastAsia="zh-CN"/>
                    </w:rPr>
                  </w:pPr>
                  <w:r>
                    <w:rPr>
                      <w:rFonts w:hint="default" w:ascii="Times New Roman" w:hAnsi="Times New Roman" w:cs="Times New Roman"/>
                      <w:color w:val="FF0000"/>
                      <w:lang w:eastAsia="zh-CN"/>
                    </w:rPr>
                    <w:t>管控要求</w:t>
                  </w:r>
                </w:p>
              </w:tc>
              <w:tc>
                <w:tcPr>
                  <w:tcW w:w="2337"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FF0000"/>
                      <w:lang w:eastAsia="zh-CN"/>
                    </w:rPr>
                  </w:pPr>
                  <w:r>
                    <w:rPr>
                      <w:rFonts w:hint="default" w:ascii="Times New Roman" w:hAnsi="Times New Roman" w:cs="Times New Roman"/>
                      <w:color w:val="FF0000"/>
                      <w:lang w:eastAsia="zh-CN"/>
                    </w:rPr>
                    <w:t>本项目</w:t>
                  </w:r>
                </w:p>
              </w:tc>
              <w:tc>
                <w:tcPr>
                  <w:tcW w:w="1598" w:type="dxa"/>
                  <w:tcBorders>
                    <w:top w:val="single" w:color="auto" w:sz="12" w:space="0"/>
                    <w:left w:val="single" w:color="auto" w:sz="4" w:space="0"/>
                    <w:bottom w:val="single" w:color="auto" w:sz="4" w:space="0"/>
                    <w:right w:val="nil"/>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97" w:type="dxa"/>
                  <w:tcBorders>
                    <w:top w:val="single" w:color="auto" w:sz="4" w:space="0"/>
                    <w:left w:val="nil"/>
                    <w:bottom w:val="single" w:color="auto" w:sz="4" w:space="0"/>
                    <w:right w:val="single" w:color="auto" w:sz="4" w:space="0"/>
                  </w:tcBorders>
                  <w:vAlign w:val="center"/>
                </w:tcPr>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1、选址及平面布局</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1.1 检验检测实验室的建设,应符合所在地区城市总体规划和区域检验检测机构设置的总体规划的要求,充分利用现有检验检测资源和基础设施条件,避免重复建设。</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1.2 对于改扩建项目,应正确处理现状与发展、需求与可能的关系,做到规模适宜、功能适用、装备适度、经济合理、安全卫生。</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1.3 实验室的总平面布置应根据近远期建设计划,统一规划设计,宜集中布置,节约用地，预留发展空间，满足可持续发展的要求。</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1.4 以安全、绿色、人性化、可持续性为前提,考虑实验室工作流程,以满足实验室的主要功能及特殊要求为原则,构建规划合理、布局科学的实验室。</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 xml:space="preserve">1.5 </w:t>
                  </w:r>
                  <w:r>
                    <w:rPr>
                      <w:rFonts w:hint="default" w:ascii="Times New Roman" w:hAnsi="Times New Roman" w:cs="Times New Roman"/>
                      <w:color w:val="FF0000"/>
                      <w:lang w:eastAsia="zh-CN"/>
                    </w:rPr>
                    <w:t>实验室选址宜优先考虑基础设施完善、交通便利、通讯良好的地区,并满足发展用地的需求,对于在检验检测过程中,易对外界环境造成影响的实验室,在选址时应考虑减少公害,如布置在下风方向及下游地段,采取绿化隔离、远离人群等措施,同时应满足环境影响评价报告的要求。宜避开化学、生物、噪声、振动、强电磁场等易对检测结果造成影响的污染源及易燃易爆场所</w:t>
                  </w:r>
                </w:p>
              </w:tc>
              <w:tc>
                <w:tcPr>
                  <w:tcW w:w="233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项目位于</w:t>
                  </w:r>
                  <w:r>
                    <w:rPr>
                      <w:rFonts w:hint="default" w:ascii="Times New Roman" w:hAnsi="Times New Roman" w:cs="Times New Roman"/>
                      <w:color w:val="FF0000"/>
                      <w:lang w:eastAsia="zh-CN"/>
                    </w:rPr>
                    <w:t>宁县辑宁北路东城社区3号1栋</w:t>
                  </w:r>
                  <w:r>
                    <w:rPr>
                      <w:rFonts w:hint="default" w:ascii="Times New Roman" w:hAnsi="Times New Roman" w:cs="Times New Roman"/>
                      <w:color w:val="FF0000"/>
                      <w:lang w:val="en-US" w:eastAsia="zh-CN"/>
                    </w:rPr>
                    <w:t>，属于行政办公用地，项目建设不新增占地，区域内无自然保护区、风景名胜区和饮用水水源保护区等需要特殊保护的环境敏感点，无历史文物保护单位，区域环境敏感度较低，符合庆阳市环境功能区划的要求。同时，本项目不属于《禁止用地项目目录（2012年本）》及《限制用地项目目录（2012年本）》中淘汰和限制项目，符合用地规范的要求；该区域内已配套完善的供水、供电等基础设施，交通地理位置优越</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97" w:type="dxa"/>
                  <w:tcBorders>
                    <w:top w:val="single" w:color="auto" w:sz="4" w:space="0"/>
                    <w:left w:val="nil"/>
                    <w:bottom w:val="single" w:color="auto" w:sz="4" w:space="0"/>
                    <w:right w:val="single" w:color="auto" w:sz="4" w:space="0"/>
                  </w:tcBorders>
                  <w:vAlign w:val="center"/>
                </w:tcPr>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2、</w:t>
                  </w:r>
                  <w:r>
                    <w:rPr>
                      <w:rFonts w:hint="default" w:ascii="Times New Roman" w:hAnsi="Times New Roman" w:cs="Times New Roman"/>
                      <w:color w:val="FF0000"/>
                      <w:lang w:eastAsia="zh-CN"/>
                    </w:rPr>
                    <w:t xml:space="preserve"> 污、废水处理</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2</w:t>
                  </w:r>
                  <w:r>
                    <w:rPr>
                      <w:rFonts w:hint="default" w:ascii="Times New Roman" w:hAnsi="Times New Roman" w:cs="Times New Roman"/>
                      <w:color w:val="FF0000"/>
                      <w:lang w:eastAsia="zh-CN"/>
                    </w:rPr>
                    <w:t>.1 凡含有毒和有害物质的污、废水,均应进行必要的处理,处理达到国家或地方排放标准后方能排放;同时应结合当地的环评要求进行相关设计。</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2</w:t>
                  </w:r>
                  <w:r>
                    <w:rPr>
                      <w:rFonts w:hint="default" w:ascii="Times New Roman" w:hAnsi="Times New Roman" w:cs="Times New Roman"/>
                      <w:color w:val="FF0000"/>
                      <w:lang w:eastAsia="zh-CN"/>
                    </w:rPr>
                    <w:t>.2 实验室污、废水按污、废水性质、成分及污染程度应进行物理、化学、生物等不同方式处理。产生的酸、碱污水应进行中和处理,中和后达不到中性时,应采用反应池加药处理。</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2</w:t>
                  </w:r>
                  <w:r>
                    <w:rPr>
                      <w:rFonts w:hint="default" w:ascii="Times New Roman" w:hAnsi="Times New Roman" w:cs="Times New Roman"/>
                      <w:color w:val="FF0000"/>
                      <w:lang w:eastAsia="zh-CN"/>
                    </w:rPr>
                    <w:t>.3 凡含有放射性核素的废水,应根据核素的半衰期长短,分为长寿命和短寿命两种放射性核素废水，并应分别进行处理。长寿命放射性核素且放射性浓度较高的废水，应将废水集中存放,待到一定数量后,采用净化法处理;净化过程中产生的少量浓缩液,可采用固化法处理:短寿命放射性核素废水,应采用贮存法处理。</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2</w:t>
                  </w:r>
                  <w:r>
                    <w:rPr>
                      <w:rFonts w:hint="default" w:ascii="Times New Roman" w:hAnsi="Times New Roman" w:cs="Times New Roman"/>
                      <w:color w:val="FF0000"/>
                      <w:lang w:eastAsia="zh-CN"/>
                    </w:rPr>
                    <w:t>.4 用于收集和处理实验污水、废水的埋地水池应考虑对地表、土壤有腐蚀性影响的废液防渗处理，并应执行国家相关规范。</w:t>
                  </w:r>
                </w:p>
              </w:tc>
              <w:tc>
                <w:tcPr>
                  <w:tcW w:w="233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项目运营期废水主要实验期间产生的一般冲洗用水、一般水样，纯水制备废水、正洗反洗水、清洁用水，生活污水经化粪池处理后与其余废水经本项目设置的污水处理设施处理后接管至进入市政污水管网，最终进入宁县生活污水处理厂处置，不直接外排</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97" w:type="dxa"/>
                  <w:tcBorders>
                    <w:top w:val="single" w:color="auto" w:sz="4" w:space="0"/>
                    <w:left w:val="nil"/>
                    <w:bottom w:val="single" w:color="auto" w:sz="4" w:space="0"/>
                    <w:right w:val="single" w:color="auto" w:sz="4" w:space="0"/>
                  </w:tcBorders>
                  <w:vAlign w:val="center"/>
                </w:tcPr>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3、</w:t>
                  </w:r>
                  <w:r>
                    <w:rPr>
                      <w:rFonts w:hint="default" w:ascii="Times New Roman" w:hAnsi="Times New Roman" w:cs="Times New Roman"/>
                      <w:color w:val="FF0000"/>
                      <w:lang w:eastAsia="zh-CN"/>
                    </w:rPr>
                    <w:t>通风系统</w:t>
                  </w:r>
                </w:p>
                <w:p>
                  <w:pPr>
                    <w:widowControl/>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凡实验过程中产生有害气体、蒸汽、气味、烟雾、挥发性物质等的实验室,应设置通风柜等工艺排风设施。除非有特殊要求,实验室应保持微负压,并保证室内空气由清洁区向污染的实验区流动</w:t>
                  </w:r>
                </w:p>
              </w:tc>
              <w:tc>
                <w:tcPr>
                  <w:tcW w:w="233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本项目实验室产生的有机废气由万向吸收罩收集后通过1套二级活性炭吸附装置处理后通过高出楼顶3m的排气筒排放，无机废气（主要为酸性气体）由万向吸收罩收集后通过1套SDG干法废气处理装置处理后通过高出楼顶3m高的排气筒排放。</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97" w:type="dxa"/>
                  <w:tcBorders>
                    <w:top w:val="single" w:color="auto" w:sz="4" w:space="0"/>
                    <w:left w:val="nil"/>
                    <w:bottom w:val="single" w:color="auto" w:sz="4" w:space="0"/>
                    <w:right w:val="single" w:color="auto" w:sz="4" w:space="0"/>
                  </w:tcBorders>
                  <w:vAlign w:val="center"/>
                </w:tcPr>
                <w:p>
                  <w:pPr>
                    <w:widowControl/>
                    <w:numPr>
                      <w:ilvl w:val="0"/>
                      <w:numId w:val="2"/>
                    </w:num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消声与隔振</w:t>
                  </w:r>
                </w:p>
                <w:p>
                  <w:pPr>
                    <w:widowControl/>
                    <w:numPr>
                      <w:ilvl w:val="0"/>
                      <w:numId w:val="0"/>
                    </w:num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实验室的送排风机及集中送风的空调机组宜设置在实验室房间之外,数量较多时应设在专用的风机房内。设置在实验室内的各种设备均应选用低噪声产品通风、空调系统所产生的噪声,当依靠自然衰减不能达到允许的噪声标准时,应设置消声设备或采取其他消声措施。系统所需的消声量和消声设备的选择,应通过计算确定暴露在室外的设备,当其噪声达不到环境噪声标准要求时,应采取降噪措施。通风、空调设备产生的振动,当依靠自然衰减不能满足要求时,应设置隔振器或采取其他隔振措施。</w:t>
                  </w:r>
                </w:p>
              </w:tc>
              <w:tc>
                <w:tcPr>
                  <w:tcW w:w="233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项目</w:t>
                  </w:r>
                  <w:r>
                    <w:rPr>
                      <w:rFonts w:hint="default" w:ascii="Times New Roman" w:hAnsi="Times New Roman" w:cs="Times New Roman"/>
                      <w:color w:val="FF0000"/>
                      <w:lang w:eastAsia="zh-CN"/>
                    </w:rPr>
                    <w:t>实验室的送排风机及集中送风的空调机组</w:t>
                  </w:r>
                  <w:r>
                    <w:rPr>
                      <w:rFonts w:hint="default" w:ascii="Times New Roman" w:hAnsi="Times New Roman" w:cs="Times New Roman"/>
                      <w:color w:val="FF0000"/>
                      <w:lang w:val="en-US" w:eastAsia="zh-CN"/>
                    </w:rPr>
                    <w:t>设置在实验楼之外，</w:t>
                  </w:r>
                  <w:r>
                    <w:rPr>
                      <w:rFonts w:hint="default" w:ascii="Times New Roman" w:hAnsi="Times New Roman" w:cs="Times New Roman"/>
                      <w:color w:val="FF0000"/>
                      <w:lang w:eastAsia="zh-CN"/>
                    </w:rPr>
                    <w:t>设置在实验室内的各种设备均应选用低噪声产品通风、空调系统所产生的噪声，</w:t>
                  </w:r>
                  <w:r>
                    <w:rPr>
                      <w:rFonts w:hint="default" w:ascii="Times New Roman" w:hAnsi="Times New Roman" w:cs="Times New Roman"/>
                      <w:color w:val="FF0000"/>
                      <w:lang w:val="en-US" w:eastAsia="zh-CN"/>
                    </w:rPr>
                    <w:t>并采取了</w:t>
                  </w:r>
                  <w:r>
                    <w:rPr>
                      <w:rFonts w:hint="default" w:ascii="Times New Roman" w:hAnsi="Times New Roman" w:cs="Times New Roman"/>
                      <w:color w:val="FF0000"/>
                      <w:lang w:eastAsia="zh-CN"/>
                    </w:rPr>
                    <w:t>消声</w:t>
                  </w:r>
                  <w:r>
                    <w:rPr>
                      <w:rFonts w:hint="default" w:ascii="Times New Roman" w:hAnsi="Times New Roman" w:cs="Times New Roman"/>
                      <w:color w:val="FF0000"/>
                      <w:lang w:val="en-US" w:eastAsia="zh-CN"/>
                    </w:rPr>
                    <w:t>和基础</w:t>
                  </w:r>
                  <w:r>
                    <w:rPr>
                      <w:rFonts w:hint="default" w:ascii="Times New Roman" w:hAnsi="Times New Roman" w:cs="Times New Roman"/>
                      <w:color w:val="FF0000"/>
                      <w:lang w:eastAsia="zh-CN"/>
                    </w:rPr>
                    <w:t>隔振</w:t>
                  </w:r>
                  <w:r>
                    <w:rPr>
                      <w:rFonts w:hint="default" w:ascii="Times New Roman" w:hAnsi="Times New Roman" w:cs="Times New Roman"/>
                      <w:color w:val="FF0000"/>
                      <w:lang w:val="en-US" w:eastAsia="zh-CN"/>
                    </w:rPr>
                    <w:t>等措施</w:t>
                  </w:r>
                </w:p>
              </w:tc>
              <w:tc>
                <w:tcPr>
                  <w:tcW w:w="1598" w:type="dxa"/>
                  <w:tcBorders>
                    <w:top w:val="single" w:color="auto" w:sz="4" w:space="0"/>
                    <w:left w:val="single" w:color="auto" w:sz="4" w:space="0"/>
                    <w:bottom w:val="single" w:color="auto" w:sz="4" w:space="0"/>
                    <w:right w:val="nil"/>
                  </w:tcBorders>
                  <w:vAlign w:val="center"/>
                </w:tcPr>
                <w:p>
                  <w:pPr>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符合</w:t>
                  </w:r>
                </w:p>
              </w:tc>
            </w:tr>
          </w:tbl>
          <w:p>
            <w:pPr>
              <w:spacing w:line="360" w:lineRule="auto"/>
              <w:ind w:firstLine="660" w:firstLineChars="300"/>
              <w:jc w:val="both"/>
              <w:rPr>
                <w:rFonts w:hint="default" w:ascii="Times New Roman" w:hAnsi="Times New Roman" w:cs="Times New Roman"/>
                <w:color w:val="FF0000"/>
                <w:lang w:val="en-US" w:eastAsia="zh-CN"/>
              </w:rPr>
            </w:pPr>
            <w:r>
              <w:rPr>
                <w:rFonts w:hint="default" w:ascii="Times New Roman" w:hAnsi="Times New Roman" w:cs="Times New Roman"/>
                <w:color w:val="FF0000"/>
                <w:lang w:eastAsia="zh-CN"/>
              </w:rPr>
              <w:t>综上所述，本项目的建设符合</w:t>
            </w:r>
            <w:r>
              <w:rPr>
                <w:rFonts w:hint="default" w:ascii="Times New Roman" w:hAnsi="Times New Roman" w:cs="Times New Roman"/>
                <w:color w:val="FF0000"/>
                <w:lang w:val="en-US" w:eastAsia="zh-CN"/>
              </w:rPr>
              <w:t>《</w:t>
            </w:r>
            <w:r>
              <w:rPr>
                <w:rFonts w:hint="default" w:ascii="Times New Roman" w:hAnsi="Times New Roman" w:cs="Times New Roman"/>
                <w:color w:val="FF0000"/>
                <w:lang w:eastAsia="zh-CN"/>
              </w:rPr>
              <w:t>检验检测实验室技术要求验收规范</w:t>
            </w:r>
            <w:r>
              <w:rPr>
                <w:rFonts w:hint="default" w:ascii="Times New Roman" w:hAnsi="Times New Roman" w:cs="Times New Roman"/>
                <w:color w:val="FF0000"/>
                <w:lang w:val="en-US" w:eastAsia="zh-CN"/>
              </w:rPr>
              <w:t>》（GB/T 37140-2018）的相关</w:t>
            </w:r>
            <w:r>
              <w:rPr>
                <w:rFonts w:hint="default" w:ascii="Times New Roman" w:hAnsi="Times New Roman" w:cs="Times New Roman"/>
                <w:color w:val="FF0000"/>
                <w:lang w:eastAsia="zh-CN"/>
              </w:rPr>
              <w:t>要求。</w:t>
            </w:r>
          </w:p>
          <w:p>
            <w:pPr>
              <w:spacing w:line="360" w:lineRule="auto"/>
              <w:rPr>
                <w:rFonts w:hint="default" w:ascii="Times New Roman" w:hAnsi="Times New Roman" w:cs="Times New Roman"/>
                <w:color w:val="FF0000"/>
                <w:lang w:eastAsia="zh-CN"/>
              </w:rPr>
            </w:pPr>
            <w:r>
              <w:rPr>
                <w:rFonts w:hint="default" w:ascii="Times New Roman" w:hAnsi="Times New Roman" w:cs="Times New Roman"/>
                <w:color w:val="FF0000"/>
                <w:lang w:val="en-US" w:eastAsia="zh-CN"/>
              </w:rPr>
              <w:t>6</w:t>
            </w:r>
            <w:r>
              <w:rPr>
                <w:rFonts w:hint="default" w:ascii="Times New Roman" w:hAnsi="Times New Roman" w:cs="Times New Roman"/>
                <w:color w:val="FF0000"/>
                <w:lang w:eastAsia="zh-CN"/>
              </w:rPr>
              <w:t>、选址的环境合理性分析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jc w:val="both"/>
              <w:textAlignment w:val="auto"/>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（1）用地符合性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jc w:val="both"/>
              <w:textAlignment w:val="auto"/>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本项目位于</w:t>
            </w:r>
            <w:r>
              <w:rPr>
                <w:rFonts w:hint="default" w:ascii="Times New Roman" w:hAnsi="Times New Roman" w:cs="Times New Roman"/>
                <w:color w:val="FF0000"/>
                <w:lang w:eastAsia="zh-CN"/>
              </w:rPr>
              <w:t>宁县辑宁北路东城社区3号1栋</w:t>
            </w:r>
            <w:r>
              <w:rPr>
                <w:rFonts w:hint="default" w:ascii="Times New Roman" w:hAnsi="Times New Roman" w:cs="Times New Roman"/>
                <w:color w:val="FF0000"/>
                <w:lang w:val="en-US" w:eastAsia="zh-CN"/>
              </w:rPr>
              <w:t>，属于行政办公用地，项目建设不新增占地，区域内无自然保护区、风景名胜区和饮用水水源保护区等需要特殊保护的环境敏感点，无历史文物保护单位，区域环境敏感度较低，符合庆阳市环境功能区划的要求。同时，本项目不属于《禁止用地项目目录（2012年本）》及《限制用地项目目录（2012年本）》中淘汰和限制项目，符合用地规范的要求。</w:t>
            </w:r>
          </w:p>
          <w:p>
            <w:pPr>
              <w:pStyle w:val="118"/>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（2）建设条件</w:t>
            </w:r>
          </w:p>
          <w:p>
            <w:pPr>
              <w:pStyle w:val="118"/>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本项目建设地点位于</w:t>
            </w:r>
            <w:r>
              <w:rPr>
                <w:rFonts w:hint="default" w:ascii="Times New Roman" w:hAnsi="Times New Roman" w:cs="Times New Roman"/>
                <w:color w:val="FF0000"/>
                <w:lang w:eastAsia="zh-CN"/>
              </w:rPr>
              <w:t>宁县辑宁北路东城社区3号1栋</w:t>
            </w:r>
            <w:r>
              <w:rPr>
                <w:rFonts w:hint="default" w:ascii="Times New Roman" w:hAnsi="Times New Roman" w:cs="Times New Roman"/>
                <w:color w:val="FF0000"/>
                <w:lang w:val="en-US" w:eastAsia="zh-CN"/>
              </w:rPr>
              <w:t>，该区域内已配套完善的供水、供电等基础设施，交通地理位置优越。</w:t>
            </w:r>
          </w:p>
          <w:p>
            <w:pPr>
              <w:pStyle w:val="118"/>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（3）与周边环境兼容性分析</w:t>
            </w:r>
          </w:p>
          <w:p>
            <w:pPr>
              <w:pStyle w:val="118"/>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项目运营期废气主要为实验期间因有机试剂、无机试剂挥发产生的有机废气、无机废气，污水处理设施产生的臭气，对环境影响较小；项目运营期废水主要实验期间产生的一般冲洗用水、一般水样，纯水制备废水、正洗反洗水、清洁用水，生活污水经化粪池处理后与其余废水经本项目设置的污水处理设施处理后接管至进入市政污水管网，最终进入宁县生活污水处理厂处置，不直接外排；项目运营期噪声可实现达标排放，不会改变当地声环境质量类别；项目运营期固废可实现妥善、有效的处置，不会对环境造成二次污染。</w:t>
            </w:r>
          </w:p>
          <w:p>
            <w:pPr>
              <w:pStyle w:val="118"/>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综上所述，项目厂址区基础及配套设施条件较好，项目在采取各项防治措施后，污染物排放对环境敏感点不会产生明显不利影响，本项目建设从环境保护角度衡量，其选址合理可行。</w:t>
            </w: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color w:val="FF0000"/>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118"/>
              <w:ind w:firstLine="420"/>
              <w:rPr>
                <w:rFonts w:hint="default" w:ascii="Times New Roman" w:hAnsi="Times New Roman" w:cs="Times New Roman"/>
                <w:lang w:val="en-US" w:eastAsia="zh-CN"/>
              </w:rPr>
            </w:pPr>
          </w:p>
          <w:p>
            <w:pPr>
              <w:pStyle w:val="6"/>
              <w:rPr>
                <w:rFonts w:hint="default" w:ascii="Times New Roman" w:hAnsi="Times New Roman" w:cs="Times New Roman"/>
              </w:rPr>
            </w:pPr>
          </w:p>
          <w:p>
            <w:pPr>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pStyle w:val="11"/>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tc>
      </w:tr>
    </w:tbl>
    <w:p>
      <w:pPr>
        <w:pStyle w:val="37"/>
        <w:spacing w:line="360" w:lineRule="auto"/>
        <w:ind w:right="18"/>
        <w:jc w:val="center"/>
        <w:outlineLvl w:val="0"/>
        <w:rPr>
          <w:rFonts w:hint="default" w:ascii="Times New Roman" w:hAnsi="Times New Roman" w:eastAsia="宋体" w:cs="Times New Roman"/>
          <w:b/>
          <w:lang w:eastAsia="zh-CN"/>
        </w:rPr>
      </w:pPr>
      <w:bookmarkStart w:id="1" w:name="_Toc20905"/>
      <w:r>
        <w:rPr>
          <w:rFonts w:hint="default" w:ascii="Times New Roman" w:hAnsi="Times New Roman" w:eastAsia="宋体" w:cs="Times New Roman"/>
          <w:b/>
          <w:lang w:eastAsia="zh-CN"/>
        </w:rPr>
        <w:t>二、建设项目工程分析</w:t>
      </w:r>
      <w:bookmarkEnd w:id="1"/>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572"/>
        <w:gridCol w:w="87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572" w:type="dxa"/>
            <w:vAlign w:val="center"/>
          </w:tcPr>
          <w:p>
            <w:pPr>
              <w:pStyle w:val="37"/>
              <w:ind w:right="1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建</w:t>
            </w:r>
          </w:p>
          <w:p>
            <w:pPr>
              <w:pStyle w:val="37"/>
              <w:ind w:right="1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设</w:t>
            </w:r>
          </w:p>
          <w:p>
            <w:pPr>
              <w:pStyle w:val="37"/>
              <w:ind w:right="1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内</w:t>
            </w:r>
          </w:p>
          <w:p>
            <w:pPr>
              <w:pStyle w:val="37"/>
              <w:ind w:right="18"/>
              <w:jc w:val="center"/>
              <w:rPr>
                <w:rFonts w:hint="default" w:ascii="Times New Roman" w:hAnsi="Times New Roman" w:eastAsia="宋体" w:cs="Times New Roman"/>
                <w:lang w:eastAsia="zh-CN"/>
              </w:rPr>
            </w:pPr>
            <w:r>
              <w:rPr>
                <w:rFonts w:hint="default" w:ascii="Times New Roman" w:hAnsi="Times New Roman" w:eastAsia="宋体" w:cs="Times New Roman"/>
                <w:sz w:val="24"/>
                <w:lang w:eastAsia="zh-CN"/>
              </w:rPr>
              <w:t>容</w:t>
            </w:r>
          </w:p>
        </w:tc>
        <w:tc>
          <w:tcPr>
            <w:tcW w:w="8789" w:type="dxa"/>
          </w:tcPr>
          <w:p>
            <w:pPr>
              <w:pStyle w:val="40"/>
              <w:spacing w:before="87" w:line="360" w:lineRule="auto"/>
              <w:ind w:left="565" w:right="136" w:hanging="420"/>
              <w:jc w:val="both"/>
              <w:rPr>
                <w:rFonts w:hint="default" w:ascii="Times New Roman" w:hAnsi="Times New Roman" w:eastAsia="宋体" w:cs="Times New Roman"/>
                <w:b/>
                <w:bCs/>
                <w:spacing w:val="-1"/>
                <w:sz w:val="24"/>
                <w:szCs w:val="24"/>
                <w:lang w:eastAsia="zh-CN"/>
              </w:rPr>
            </w:pPr>
            <w:r>
              <w:rPr>
                <w:rFonts w:hint="default" w:ascii="Times New Roman" w:hAnsi="Times New Roman" w:eastAsia="宋体" w:cs="Times New Roman"/>
                <w:b/>
                <w:bCs/>
                <w:spacing w:val="-1"/>
                <w:sz w:val="24"/>
                <w:szCs w:val="24"/>
                <w:lang w:eastAsia="zh-CN"/>
              </w:rPr>
              <w:t>1、项目概况</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①项目名称：</w:t>
            </w:r>
            <w:r>
              <w:rPr>
                <w:rFonts w:hint="default" w:ascii="Times New Roman" w:hAnsi="Times New Roman" w:eastAsia="宋体" w:cs="Times New Roman"/>
                <w:bCs/>
                <w:sz w:val="24"/>
                <w:lang w:eastAsia="zh-CN"/>
              </w:rPr>
              <w:t>庆阳市宁县生态环境监测站建设项目</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②建设性质：</w:t>
            </w:r>
            <w:r>
              <w:rPr>
                <w:rFonts w:hint="default" w:ascii="Times New Roman" w:hAnsi="Times New Roman" w:eastAsia="宋体" w:cs="Times New Roman"/>
                <w:color w:val="FF0000"/>
                <w:sz w:val="24"/>
                <w:lang w:val="en-US" w:eastAsia="zh-CN"/>
              </w:rPr>
              <w:t>新建</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③建设单位：</w:t>
            </w:r>
            <w:r>
              <w:rPr>
                <w:rFonts w:hint="eastAsia" w:ascii="Times New Roman" w:hAnsi="Times New Roman" w:eastAsia="宋体" w:cs="Times New Roman"/>
                <w:bCs/>
                <w:sz w:val="24"/>
                <w:lang w:val="en-US" w:eastAsia="zh-CN"/>
              </w:rPr>
              <w:t>庆阳市生态环境局</w:t>
            </w:r>
            <w:r>
              <w:rPr>
                <w:rFonts w:hint="default" w:ascii="Times New Roman" w:hAnsi="Times New Roman" w:eastAsia="宋体" w:cs="Times New Roman"/>
                <w:bCs/>
                <w:sz w:val="24"/>
                <w:lang w:val="en-US" w:eastAsia="zh-CN"/>
              </w:rPr>
              <w:t>宁县</w:t>
            </w:r>
            <w:r>
              <w:rPr>
                <w:rFonts w:hint="eastAsia" w:ascii="Times New Roman" w:hAnsi="Times New Roman" w:eastAsia="宋体" w:cs="Times New Roman"/>
                <w:bCs/>
                <w:sz w:val="24"/>
                <w:lang w:val="en-US" w:eastAsia="zh-CN"/>
              </w:rPr>
              <w:t>分局</w:t>
            </w:r>
          </w:p>
          <w:p>
            <w:pPr>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④项目地点：宁县辑宁北路东城社区3号1栋。其地理位置坐标为：</w:t>
            </w:r>
            <w:r>
              <w:rPr>
                <w:rFonts w:hint="default" w:ascii="Times New Roman" w:hAnsi="Times New Roman" w:eastAsia="宋体" w:cs="Times New Roman"/>
                <w:sz w:val="24"/>
                <w:szCs w:val="24"/>
                <w:lang w:eastAsia="zh-CN"/>
              </w:rPr>
              <w:t>东经107度55分47.325</w:t>
            </w:r>
            <w:r>
              <w:rPr>
                <w:rFonts w:hint="default" w:ascii="Times New Roman" w:hAnsi="Times New Roman" w:eastAsia="宋体" w:cs="Times New Roman"/>
                <w:spacing w:val="-3"/>
                <w:sz w:val="24"/>
                <w:szCs w:val="24"/>
                <w:lang w:eastAsia="zh-CN"/>
              </w:rPr>
              <w:t>秒，北纬</w:t>
            </w:r>
            <w:r>
              <w:rPr>
                <w:rFonts w:hint="default" w:ascii="Times New Roman" w:hAnsi="Times New Roman" w:eastAsia="宋体" w:cs="Times New Roman"/>
                <w:sz w:val="24"/>
                <w:szCs w:val="24"/>
                <w:lang w:eastAsia="zh-CN"/>
              </w:rPr>
              <w:t>35度30</w:t>
            </w:r>
            <w:r>
              <w:rPr>
                <w:rFonts w:hint="default" w:ascii="Times New Roman" w:hAnsi="Times New Roman" w:eastAsia="宋体" w:cs="Times New Roman"/>
                <w:spacing w:val="-3"/>
                <w:w w:val="95"/>
                <w:sz w:val="24"/>
                <w:szCs w:val="24"/>
                <w:lang w:eastAsia="zh-CN"/>
              </w:rPr>
              <w:t>分16.425</w:t>
            </w:r>
            <w:r>
              <w:rPr>
                <w:rFonts w:hint="default" w:ascii="Times New Roman" w:hAnsi="Times New Roman" w:eastAsia="宋体" w:cs="Times New Roman"/>
                <w:sz w:val="24"/>
                <w:szCs w:val="24"/>
                <w:lang w:eastAsia="zh-CN"/>
              </w:rPr>
              <w:t>秒</w:t>
            </w:r>
            <w:r>
              <w:rPr>
                <w:rFonts w:hint="default" w:ascii="Times New Roman" w:hAnsi="Times New Roman" w:eastAsia="宋体" w:cs="Times New Roman"/>
                <w:sz w:val="24"/>
                <w:lang w:eastAsia="zh-CN"/>
              </w:rPr>
              <w:t>，地理位置图见附图1。</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FF0000"/>
                <w:sz w:val="24"/>
                <w:lang w:eastAsia="zh-CN"/>
              </w:rPr>
              <w:t>⑤项目总投资：本项目总投资为</w:t>
            </w:r>
            <w:r>
              <w:rPr>
                <w:rFonts w:hint="default" w:ascii="Times New Roman" w:hAnsi="Times New Roman" w:eastAsia="宋体" w:cs="Times New Roman"/>
                <w:color w:val="FF0000"/>
                <w:sz w:val="24"/>
                <w:lang w:val="en-US" w:eastAsia="zh-CN"/>
              </w:rPr>
              <w:t>942.41</w:t>
            </w:r>
            <w:r>
              <w:rPr>
                <w:rFonts w:hint="default" w:ascii="Times New Roman" w:hAnsi="Times New Roman" w:eastAsia="宋体" w:cs="Times New Roman"/>
                <w:color w:val="FF0000"/>
                <w:sz w:val="24"/>
                <w:lang w:eastAsia="zh-CN"/>
              </w:rPr>
              <w:t>万元，其中环保投资</w:t>
            </w:r>
            <w:r>
              <w:rPr>
                <w:rFonts w:hint="default" w:ascii="Times New Roman" w:hAnsi="Times New Roman" w:eastAsia="宋体" w:cs="Times New Roman"/>
                <w:color w:val="FF0000"/>
                <w:sz w:val="24"/>
                <w:lang w:val="en-US" w:eastAsia="zh-CN"/>
              </w:rPr>
              <w:t>75</w:t>
            </w:r>
            <w:r>
              <w:rPr>
                <w:rFonts w:hint="default" w:ascii="Times New Roman" w:hAnsi="Times New Roman" w:eastAsia="宋体" w:cs="Times New Roman"/>
                <w:color w:val="FF0000"/>
                <w:sz w:val="24"/>
                <w:lang w:eastAsia="zh-CN"/>
              </w:rPr>
              <w:t>万，占总投资的</w:t>
            </w:r>
            <w:r>
              <w:rPr>
                <w:rFonts w:hint="default" w:ascii="Times New Roman" w:hAnsi="Times New Roman" w:eastAsia="宋体" w:cs="Times New Roman"/>
                <w:color w:val="FF0000"/>
                <w:sz w:val="24"/>
                <w:lang w:val="en-US" w:eastAsia="zh-CN"/>
              </w:rPr>
              <w:t>7.96</w:t>
            </w:r>
            <w:r>
              <w:rPr>
                <w:rFonts w:hint="default" w:ascii="Times New Roman" w:hAnsi="Times New Roman" w:eastAsia="宋体" w:cs="Times New Roman"/>
                <w:color w:val="FF0000"/>
                <w:sz w:val="24"/>
                <w:lang w:eastAsia="zh-CN"/>
              </w:rPr>
              <w:t>%。</w:t>
            </w:r>
          </w:p>
          <w:p>
            <w:pPr>
              <w:pStyle w:val="40"/>
              <w:spacing w:before="87" w:line="360" w:lineRule="auto"/>
              <w:ind w:left="565" w:right="136" w:hanging="420"/>
              <w:jc w:val="both"/>
              <w:rPr>
                <w:rFonts w:hint="default" w:ascii="Times New Roman" w:hAnsi="Times New Roman" w:eastAsia="宋体" w:cs="Times New Roman"/>
                <w:b/>
                <w:bCs/>
                <w:spacing w:val="-1"/>
                <w:sz w:val="24"/>
                <w:szCs w:val="21"/>
                <w:lang w:eastAsia="zh-CN"/>
              </w:rPr>
            </w:pPr>
            <w:r>
              <w:rPr>
                <w:rFonts w:hint="default" w:ascii="Times New Roman" w:hAnsi="Times New Roman" w:eastAsia="宋体" w:cs="Times New Roman"/>
                <w:b/>
                <w:bCs/>
                <w:spacing w:val="-1"/>
                <w:sz w:val="24"/>
                <w:szCs w:val="21"/>
                <w:lang w:eastAsia="zh-CN"/>
              </w:rPr>
              <w:t>2、项目建设内容及规模</w:t>
            </w:r>
          </w:p>
          <w:p>
            <w:pPr>
              <w:adjustRightInd w:val="0"/>
              <w:snapToGrid w:val="0"/>
              <w:spacing w:line="360" w:lineRule="auto"/>
              <w:ind w:firstLine="480" w:firstLineChars="200"/>
              <w:jc w:val="both"/>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rPr>
              <w:t>该项目计划分两期实施</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一期工程建设内容为</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维修窗户75 平方米，内墙3000 平方米 (包含实验室、楼道、办公室乳胶漆墙面、卫生间釉面砖墙面)，大门及实验室门68平方米，地面820平方米(包含实验室PVC塑胶地面、卫生间地砖地面)，顶棚 1156平方米，室外台阶29.42平方米，坡道7.8平方米，拆除原有装饰装修，新建三层框架结构钢楼梯一座，占地面积 15.6平方米。购置实验设备、办公设备及配套设施，配套给排水、暖通、电气等附属设施建设。二期建设内容为</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完成部分基础监测能力仪器设备、差异化特征污染监测能力仪器设备购置及安装</w:t>
            </w:r>
            <w:r>
              <w:rPr>
                <w:rFonts w:hint="default" w:ascii="Times New Roman" w:hAnsi="Times New Roman" w:eastAsia="宋体" w:cs="Times New Roman"/>
                <w:color w:val="FF0000"/>
                <w:sz w:val="24"/>
                <w:szCs w:val="24"/>
                <w:lang w:eastAsia="zh-CN"/>
              </w:rPr>
              <w:t>。</w:t>
            </w:r>
          </w:p>
          <w:p>
            <w:pPr>
              <w:adjustRightInd w:val="0"/>
              <w:snapToGrid w:val="0"/>
              <w:spacing w:line="360" w:lineRule="auto"/>
              <w:ind w:firstLine="480" w:firstLineChars="200"/>
              <w:jc w:val="both"/>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rPr>
              <w:t>根据</w:t>
            </w:r>
            <w:r>
              <w:rPr>
                <w:rFonts w:hint="default" w:ascii="Times New Roman" w:hAnsi="Times New Roman" w:eastAsia="宋体" w:cs="Times New Roman"/>
                <w:color w:val="FF0000"/>
                <w:sz w:val="24"/>
                <w:lang w:eastAsia="zh-CN"/>
              </w:rPr>
              <w:t>庆阳市生态环境局宁县分局</w:t>
            </w:r>
            <w:r>
              <w:rPr>
                <w:rFonts w:hint="default" w:ascii="Times New Roman" w:hAnsi="Times New Roman" w:eastAsia="宋体" w:cs="Times New Roman"/>
                <w:color w:val="FF0000"/>
                <w:sz w:val="24"/>
                <w:szCs w:val="24"/>
              </w:rPr>
              <w:t>工作性质需要，确定本次实验室主要CMA资质认定检测项目及检测指标有水和废水、空气和废气、噪声指标共计67项。建成覆盖全县地表水、地下水、生活饮用水、环境空气、废水、污染源、噪声的监测网络。</w:t>
            </w:r>
          </w:p>
          <w:p>
            <w:pPr>
              <w:adjustRightInd w:val="0"/>
              <w:snapToGrid w:val="0"/>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项目具体组成表见表2-1。</w:t>
            </w:r>
          </w:p>
          <w:p>
            <w:pPr>
              <w:pStyle w:val="39"/>
              <w:adjustRightInd w:val="0"/>
              <w:snapToGrid w:val="0"/>
              <w:jc w:val="center"/>
              <w:rPr>
                <w:rFonts w:hint="default" w:ascii="Times New Roman" w:hAnsi="Times New Roman" w:eastAsia="宋体" w:cs="Times New Roman"/>
                <w:b/>
                <w:sz w:val="21"/>
                <w:szCs w:val="20"/>
                <w:lang w:eastAsia="zh-CN"/>
              </w:rPr>
            </w:pPr>
            <w:r>
              <w:rPr>
                <w:rFonts w:hint="default" w:ascii="Times New Roman" w:hAnsi="Times New Roman" w:eastAsia="宋体" w:cs="Times New Roman"/>
                <w:b/>
                <w:sz w:val="21"/>
                <w:szCs w:val="20"/>
                <w:lang w:eastAsia="zh-CN"/>
              </w:rPr>
              <w:t>表2-1    工程建设内容一览表</w:t>
            </w:r>
          </w:p>
          <w:tbl>
            <w:tblPr>
              <w:tblStyle w:val="27"/>
              <w:tblW w:w="8679" w:type="dxa"/>
              <w:jc w:val="center"/>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6"/>
              <w:gridCol w:w="1329"/>
              <w:gridCol w:w="5588"/>
              <w:gridCol w:w="626"/>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2" w:hRule="atLeast"/>
                <w:tblHeader/>
                <w:jc w:val="center"/>
              </w:trPr>
              <w:tc>
                <w:tcPr>
                  <w:tcW w:w="1136"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工程类别</w:t>
                  </w:r>
                </w:p>
              </w:tc>
              <w:tc>
                <w:tcPr>
                  <w:tcW w:w="1329"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工程名称</w:t>
                  </w:r>
                </w:p>
              </w:tc>
              <w:tc>
                <w:tcPr>
                  <w:tcW w:w="5588"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工程内容及规模</w:t>
                  </w:r>
                </w:p>
              </w:tc>
              <w:tc>
                <w:tcPr>
                  <w:tcW w:w="626"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2"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rPr>
                  </w:pPr>
                </w:p>
              </w:tc>
              <w:tc>
                <w:tcPr>
                  <w:tcW w:w="1329" w:type="dxa"/>
                  <w:vMerge w:val="continue"/>
                  <w:vAlign w:val="center"/>
                </w:tcPr>
                <w:p>
                  <w:pPr>
                    <w:jc w:val="center"/>
                    <w:rPr>
                      <w:rFonts w:hint="default" w:ascii="Times New Roman" w:hAnsi="Times New Roman" w:eastAsia="宋体" w:cs="Times New Roman"/>
                      <w:bCs/>
                      <w:sz w:val="21"/>
                      <w:szCs w:val="21"/>
                    </w:rPr>
                  </w:pPr>
                </w:p>
              </w:tc>
              <w:tc>
                <w:tcPr>
                  <w:tcW w:w="5588" w:type="dxa"/>
                  <w:vMerge w:val="continue"/>
                  <w:vAlign w:val="center"/>
                </w:tcPr>
                <w:p>
                  <w:pPr>
                    <w:jc w:val="center"/>
                    <w:rPr>
                      <w:rFonts w:hint="default" w:ascii="Times New Roman" w:hAnsi="Times New Roman" w:eastAsia="宋体" w:cs="Times New Roman"/>
                      <w:bCs/>
                      <w:sz w:val="21"/>
                      <w:szCs w:val="21"/>
                    </w:rPr>
                  </w:pPr>
                </w:p>
              </w:tc>
              <w:tc>
                <w:tcPr>
                  <w:tcW w:w="626" w:type="dxa"/>
                  <w:vMerge w:val="continue"/>
                  <w:vAlign w:val="center"/>
                </w:tcPr>
                <w:p>
                  <w:pPr>
                    <w:jc w:val="center"/>
                    <w:rPr>
                      <w:rFonts w:hint="default" w:ascii="Times New Roman" w:hAnsi="Times New Roman" w:eastAsia="宋体" w:cs="Times New Roman"/>
                      <w:bCs/>
                      <w:sz w:val="21"/>
                      <w:szCs w:val="21"/>
                    </w:rPr>
                  </w:pP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2" w:hRule="atLeast"/>
                <w:tblHeader/>
                <w:jc w:val="center"/>
              </w:trPr>
              <w:tc>
                <w:tcPr>
                  <w:tcW w:w="1136"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主体工程</w:t>
                  </w:r>
                </w:p>
              </w:tc>
              <w:tc>
                <w:tcPr>
                  <w:tcW w:w="1329" w:type="dxa"/>
                  <w:vAlign w:val="center"/>
                </w:tcPr>
                <w:p>
                  <w:pPr>
                    <w:pStyle w:val="40"/>
                    <w:jc w:val="center"/>
                    <w:rPr>
                      <w:rFonts w:hint="default" w:ascii="Times New Roman" w:hAnsi="Times New Roman" w:eastAsia="宋体" w:cs="Times New Roman"/>
                      <w:kern w:val="2"/>
                      <w:sz w:val="21"/>
                      <w:szCs w:val="21"/>
                      <w:lang w:eastAsia="zh-CN" w:bidi="zh-CN"/>
                    </w:rPr>
                  </w:pPr>
                  <w:r>
                    <w:rPr>
                      <w:rFonts w:hint="default" w:ascii="Times New Roman" w:hAnsi="Times New Roman" w:eastAsia="宋体" w:cs="Times New Roman"/>
                      <w:kern w:val="2"/>
                      <w:sz w:val="21"/>
                      <w:szCs w:val="21"/>
                      <w:lang w:eastAsia="zh-CN" w:bidi="zh-CN"/>
                    </w:rPr>
                    <w:t>实验区</w:t>
                  </w:r>
                </w:p>
              </w:tc>
              <w:tc>
                <w:tcPr>
                  <w:tcW w:w="5588" w:type="dxa"/>
                  <w:vAlign w:val="center"/>
                </w:tcPr>
                <w:p>
                  <w:pPr>
                    <w:pStyle w:val="4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位于监测站一至四层，一层设样品交接间、留样室、器皿室、试剂间、危化品室、环境应急仪器室、危废暂存间、气瓶室楼梯间。 二层设会议室、办公室、档案室、综合办公室、卫生间、楼梯间等。 三层设测油室、高温室、比色间、恒重室、前室、天平间、理化分析 室 1、纯水洗涤间、理化分析室 2、卫生间、楼梯间等。 四层设有机前处理室、气相室、气质室、离子色谱室、缓冲间、ICP-MS、 原子吸收室、辅助设备间、原子荧光室、无机前处理室、楼梯间等。</w:t>
                  </w:r>
                </w:p>
              </w:tc>
              <w:tc>
                <w:tcPr>
                  <w:tcW w:w="626" w:type="dxa"/>
                  <w:vAlign w:val="center"/>
                </w:tcPr>
                <w:p>
                  <w:pPr>
                    <w:pStyle w:val="40"/>
                    <w:jc w:val="center"/>
                    <w:rPr>
                      <w:rFonts w:hint="default" w:ascii="Times New Roman" w:hAnsi="Times New Roman" w:eastAsia="宋体" w:cs="Times New Roman"/>
                      <w:kern w:val="2"/>
                      <w:sz w:val="21"/>
                      <w:szCs w:val="21"/>
                      <w:lang w:val="zh-CN" w:eastAsia="zh-CN" w:bidi="zh-CN"/>
                    </w:rPr>
                  </w:pPr>
                  <w:r>
                    <w:rPr>
                      <w:rFonts w:hint="default" w:ascii="Times New Roman" w:hAnsi="Times New Roman" w:eastAsia="宋体" w:cs="Times New Roman"/>
                      <w:kern w:val="2"/>
                      <w:sz w:val="21"/>
                      <w:szCs w:val="21"/>
                      <w:lang w:val="zh-CN" w:eastAsia="zh-CN" w:bidi="zh-CN"/>
                    </w:rPr>
                    <w:t>技术改造</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00" w:hRule="atLeast"/>
                <w:tblHeader/>
                <w:jc w:val="center"/>
              </w:trPr>
              <w:tc>
                <w:tcPr>
                  <w:tcW w:w="1136"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公用工程</w:t>
                  </w:r>
                </w:p>
              </w:tc>
              <w:tc>
                <w:tcPr>
                  <w:tcW w:w="1329" w:type="dxa"/>
                  <w:vAlign w:val="center"/>
                </w:tcPr>
                <w:p>
                  <w:pPr>
                    <w:pStyle w:val="40"/>
                    <w:jc w:val="center"/>
                    <w:rPr>
                      <w:rFonts w:hint="default" w:ascii="Times New Roman" w:hAnsi="Times New Roman" w:eastAsia="宋体" w:cs="Times New Roman"/>
                      <w:bCs/>
                      <w:kern w:val="2"/>
                      <w:sz w:val="21"/>
                      <w:szCs w:val="21"/>
                      <w:lang w:eastAsia="zh-CN" w:bidi="zh-CN"/>
                    </w:rPr>
                  </w:pPr>
                  <w:r>
                    <w:rPr>
                      <w:rFonts w:hint="default" w:ascii="Times New Roman" w:hAnsi="Times New Roman" w:eastAsia="宋体" w:cs="Times New Roman"/>
                      <w:sz w:val="21"/>
                      <w:szCs w:val="21"/>
                    </w:rPr>
                    <w:t>给水工程</w:t>
                  </w:r>
                </w:p>
              </w:tc>
              <w:tc>
                <w:tcPr>
                  <w:tcW w:w="6214" w:type="dxa"/>
                  <w:gridSpan w:val="2"/>
                  <w:vAlign w:val="center"/>
                </w:tcPr>
                <w:p>
                  <w:pPr>
                    <w:pStyle w:val="40"/>
                    <w:rPr>
                      <w:rFonts w:hint="default" w:ascii="Times New Roman" w:hAnsi="Times New Roman" w:eastAsia="宋体" w:cs="Times New Roman"/>
                      <w:bCs/>
                      <w:kern w:val="2"/>
                      <w:sz w:val="21"/>
                      <w:szCs w:val="21"/>
                      <w:lang w:eastAsia="zh-CN" w:bidi="zh-CN"/>
                    </w:rPr>
                  </w:pPr>
                  <w:r>
                    <w:rPr>
                      <w:rFonts w:hint="default" w:ascii="Times New Roman" w:hAnsi="Times New Roman" w:eastAsia="宋体" w:cs="Times New Roman"/>
                      <w:sz w:val="21"/>
                      <w:szCs w:val="21"/>
                    </w:rPr>
                    <w:t>由</w:t>
                  </w:r>
                  <w:r>
                    <w:rPr>
                      <w:rFonts w:hint="default" w:ascii="Times New Roman" w:hAnsi="Times New Roman" w:eastAsia="宋体" w:cs="Times New Roman"/>
                      <w:sz w:val="21"/>
                      <w:szCs w:val="21"/>
                      <w:lang w:eastAsia="zh-CN"/>
                    </w:rPr>
                    <w:t>市政供水管网供应，可满足用水需求</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0"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rPr>
                  </w:pPr>
                </w:p>
              </w:tc>
              <w:tc>
                <w:tcPr>
                  <w:tcW w:w="1329" w:type="dxa"/>
                  <w:vAlign w:val="center"/>
                </w:tcPr>
                <w:p>
                  <w:pPr>
                    <w:jc w:val="center"/>
                    <w:rPr>
                      <w:rFonts w:hint="default" w:ascii="Times New Roman" w:hAnsi="Times New Roman" w:eastAsia="宋体" w:cs="Times New Roman"/>
                      <w:bCs/>
                      <w:kern w:val="2"/>
                      <w:sz w:val="21"/>
                      <w:szCs w:val="21"/>
                      <w:lang w:eastAsia="zh-CN"/>
                    </w:rPr>
                  </w:pPr>
                  <w:r>
                    <w:rPr>
                      <w:rFonts w:hint="default" w:ascii="Times New Roman" w:hAnsi="Times New Roman" w:eastAsia="宋体" w:cs="Times New Roman"/>
                      <w:bCs/>
                      <w:sz w:val="21"/>
                      <w:szCs w:val="21"/>
                    </w:rPr>
                    <w:t>供电</w:t>
                  </w:r>
                </w:p>
              </w:tc>
              <w:tc>
                <w:tcPr>
                  <w:tcW w:w="6214" w:type="dxa"/>
                  <w:gridSpan w:val="2"/>
                  <w:vAlign w:val="center"/>
                </w:tcPr>
                <w:p>
                  <w:pPr>
                    <w:rPr>
                      <w:rFonts w:hint="default" w:ascii="Times New Roman" w:hAnsi="Times New Roman" w:eastAsia="宋体" w:cs="Times New Roman"/>
                      <w:bCs/>
                      <w:kern w:val="2"/>
                      <w:sz w:val="21"/>
                      <w:szCs w:val="21"/>
                      <w:lang w:eastAsia="zh-CN"/>
                    </w:rPr>
                  </w:pPr>
                  <w:r>
                    <w:rPr>
                      <w:rFonts w:hint="default" w:ascii="Times New Roman" w:hAnsi="Times New Roman" w:eastAsia="宋体" w:cs="Times New Roman"/>
                      <w:sz w:val="21"/>
                      <w:szCs w:val="21"/>
                    </w:rPr>
                    <w:t>市政电网供应，满足用电需求</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0"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rPr>
                  </w:pPr>
                </w:p>
              </w:tc>
              <w:tc>
                <w:tcPr>
                  <w:tcW w:w="1329"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供暖</w:t>
                  </w:r>
                </w:p>
              </w:tc>
              <w:tc>
                <w:tcPr>
                  <w:tcW w:w="6214" w:type="dxa"/>
                  <w:gridSpan w:val="2"/>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w:t>
                  </w:r>
                  <w:r>
                    <w:rPr>
                      <w:rFonts w:hint="default" w:ascii="Times New Roman" w:hAnsi="Times New Roman" w:eastAsia="宋体" w:cs="Times New Roman"/>
                      <w:sz w:val="21"/>
                      <w:szCs w:val="21"/>
                      <w:lang w:eastAsia="zh-CN"/>
                    </w:rPr>
                    <w:t>供暖管网</w:t>
                  </w:r>
                  <w:r>
                    <w:rPr>
                      <w:rFonts w:hint="default" w:ascii="Times New Roman" w:hAnsi="Times New Roman" w:eastAsia="宋体" w:cs="Times New Roman"/>
                      <w:sz w:val="21"/>
                      <w:szCs w:val="21"/>
                    </w:rPr>
                    <w:t>供应，满足</w:t>
                  </w:r>
                  <w:r>
                    <w:rPr>
                      <w:rFonts w:hint="default" w:ascii="Times New Roman" w:hAnsi="Times New Roman" w:eastAsia="宋体" w:cs="Times New Roman"/>
                      <w:sz w:val="21"/>
                      <w:szCs w:val="21"/>
                      <w:lang w:eastAsia="zh-CN"/>
                    </w:rPr>
                    <w:t>供暖</w:t>
                  </w:r>
                  <w:r>
                    <w:rPr>
                      <w:rFonts w:hint="default" w:ascii="Times New Roman" w:hAnsi="Times New Roman" w:eastAsia="宋体" w:cs="Times New Roman"/>
                      <w:sz w:val="21"/>
                      <w:szCs w:val="21"/>
                    </w:rPr>
                    <w:t>需求</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54"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rPr>
                  </w:pPr>
                </w:p>
              </w:tc>
              <w:tc>
                <w:tcPr>
                  <w:tcW w:w="1329" w:type="dxa"/>
                  <w:vAlign w:val="center"/>
                </w:tcPr>
                <w:p>
                  <w:pPr>
                    <w:pStyle w:val="40"/>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排水工程</w:t>
                  </w:r>
                </w:p>
              </w:tc>
              <w:tc>
                <w:tcPr>
                  <w:tcW w:w="6214" w:type="dxa"/>
                  <w:gridSpan w:val="2"/>
                  <w:vAlign w:val="center"/>
                </w:tcPr>
                <w:p>
                  <w:pPr>
                    <w:pStyle w:val="40"/>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雨污分</w:t>
                  </w:r>
                  <w:r>
                    <w:rPr>
                      <w:rFonts w:hint="default" w:ascii="Times New Roman" w:hAnsi="Times New Roman" w:eastAsia="宋体" w:cs="Times New Roman"/>
                      <w:color w:val="FF0000"/>
                      <w:sz w:val="21"/>
                      <w:szCs w:val="21"/>
                      <w:lang w:eastAsia="zh-CN"/>
                    </w:rPr>
                    <w:t>流，①</w:t>
                  </w:r>
                  <w:r>
                    <w:rPr>
                      <w:rFonts w:hint="default" w:ascii="Times New Roman" w:hAnsi="Times New Roman" w:eastAsia="宋体" w:cs="Times New Roman"/>
                      <w:color w:val="FF0000"/>
                      <w:sz w:val="21"/>
                      <w:szCs w:val="21"/>
                      <w:lang w:val="en-US" w:eastAsia="zh-CN"/>
                    </w:rPr>
                    <w:t>项目安装有废水处理设备，实验废水经处理后排入市政污水管网，由宁县生活污水处理厂处置</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rPr>
                    <w:t>②生活污水排入化粪池处理后经市政污水管网进入</w:t>
                  </w:r>
                  <w:r>
                    <w:rPr>
                      <w:rFonts w:hint="default" w:ascii="Times New Roman" w:hAnsi="Times New Roman" w:eastAsia="宋体" w:cs="Times New Roman"/>
                      <w:color w:val="FF0000"/>
                      <w:sz w:val="21"/>
                      <w:szCs w:val="21"/>
                      <w:lang w:eastAsia="zh-CN"/>
                    </w:rPr>
                    <w:t>宁县生活污水处理厂</w:t>
                  </w:r>
                  <w:r>
                    <w:rPr>
                      <w:rFonts w:hint="default" w:ascii="Times New Roman" w:hAnsi="Times New Roman" w:eastAsia="宋体" w:cs="Times New Roman"/>
                      <w:color w:val="FF0000"/>
                      <w:sz w:val="21"/>
                      <w:szCs w:val="21"/>
                    </w:rPr>
                    <w:t>；③纯水制备产生的浓水直接排入污水</w:t>
                  </w:r>
                  <w:r>
                    <w:rPr>
                      <w:rFonts w:hint="default" w:ascii="Times New Roman" w:hAnsi="Times New Roman" w:eastAsia="宋体" w:cs="Times New Roman"/>
                      <w:color w:val="FF0000"/>
                      <w:sz w:val="21"/>
                      <w:szCs w:val="21"/>
                      <w:lang w:eastAsia="zh-CN"/>
                    </w:rPr>
                    <w:t>管网</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00" w:hRule="atLeast"/>
                <w:tblHeader/>
                <w:jc w:val="center"/>
              </w:trPr>
              <w:tc>
                <w:tcPr>
                  <w:tcW w:w="1136" w:type="dxa"/>
                  <w:vMerge w:val="restart"/>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环保工程</w:t>
                  </w:r>
                </w:p>
              </w:tc>
              <w:tc>
                <w:tcPr>
                  <w:tcW w:w="1329" w:type="dxa"/>
                  <w:vAlign w:val="center"/>
                </w:tcPr>
                <w:p>
                  <w:pPr>
                    <w:pStyle w:val="40"/>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废气处理</w:t>
                  </w:r>
                </w:p>
              </w:tc>
              <w:tc>
                <w:tcPr>
                  <w:tcW w:w="6214" w:type="dxa"/>
                  <w:gridSpan w:val="2"/>
                  <w:vAlign w:val="center"/>
                </w:tcPr>
                <w:p>
                  <w:pPr>
                    <w:pStyle w:val="40"/>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项目实验室产生的有机废气由万向吸收罩收集后通过1套二级活性炭吸附装置处理后通过高出楼顶3m的排气筒排放，无机废气（主要为酸性气体）由万向吸收罩收集后通过1套SDG干法废气处理装置处理后通过高出楼顶3m高的排气筒排放</w:t>
                  </w:r>
                  <w:r>
                    <w:rPr>
                      <w:rFonts w:hint="default" w:ascii="Times New Roman" w:hAnsi="Times New Roman" w:eastAsia="宋体" w:cs="Times New Roman"/>
                      <w:color w:val="FF0000"/>
                      <w:spacing w:val="-14"/>
                      <w:sz w:val="21"/>
                      <w:szCs w:val="21"/>
                      <w:lang w:eastAsia="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54"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rPr>
                  </w:pPr>
                </w:p>
              </w:tc>
              <w:tc>
                <w:tcPr>
                  <w:tcW w:w="1329" w:type="dxa"/>
                  <w:vAlign w:val="center"/>
                </w:tcPr>
                <w:p>
                  <w:pPr>
                    <w:pStyle w:val="40"/>
                    <w:jc w:val="center"/>
                    <w:rPr>
                      <w:rFonts w:hint="default" w:ascii="Times New Roman" w:hAnsi="Times New Roman" w:eastAsia="宋体" w:cs="Times New Roman"/>
                      <w:color w:val="FF0000"/>
                      <w:kern w:val="2"/>
                      <w:sz w:val="21"/>
                      <w:szCs w:val="21"/>
                      <w:lang w:val="zh-CN" w:eastAsia="zh-CN" w:bidi="zh-CN"/>
                    </w:rPr>
                  </w:pPr>
                  <w:r>
                    <w:rPr>
                      <w:rFonts w:hint="default" w:ascii="Times New Roman" w:hAnsi="Times New Roman" w:eastAsia="宋体" w:cs="Times New Roman"/>
                      <w:color w:val="FF0000"/>
                      <w:sz w:val="21"/>
                      <w:szCs w:val="21"/>
                      <w:lang w:eastAsia="zh-CN"/>
                    </w:rPr>
                    <w:t>废水</w:t>
                  </w:r>
                  <w:r>
                    <w:rPr>
                      <w:rFonts w:hint="default" w:ascii="Times New Roman" w:hAnsi="Times New Roman" w:eastAsia="宋体" w:cs="Times New Roman"/>
                      <w:color w:val="FF0000"/>
                      <w:sz w:val="21"/>
                      <w:szCs w:val="21"/>
                    </w:rPr>
                    <w:t>处理</w:t>
                  </w:r>
                </w:p>
              </w:tc>
              <w:tc>
                <w:tcPr>
                  <w:tcW w:w="6214" w:type="dxa"/>
                  <w:gridSpan w:val="2"/>
                  <w:vAlign w:val="center"/>
                </w:tcPr>
                <w:p>
                  <w:pPr>
                    <w:pStyle w:val="40"/>
                    <w:rPr>
                      <w:rFonts w:hint="default" w:ascii="Times New Roman" w:hAnsi="Times New Roman" w:eastAsia="宋体" w:cs="Times New Roman"/>
                      <w:color w:val="FF0000"/>
                      <w:kern w:val="2"/>
                      <w:sz w:val="21"/>
                      <w:szCs w:val="21"/>
                      <w:lang w:val="zh-CN" w:eastAsia="zh-CN" w:bidi="zh-CN"/>
                    </w:rPr>
                  </w:pPr>
                  <w:r>
                    <w:rPr>
                      <w:rFonts w:hint="default" w:ascii="Times New Roman" w:hAnsi="Times New Roman" w:eastAsia="宋体" w:cs="Times New Roman"/>
                      <w:color w:val="FF0000"/>
                      <w:sz w:val="21"/>
                      <w:szCs w:val="21"/>
                    </w:rPr>
                    <w:t>雨污分流，①</w:t>
                  </w:r>
                  <w:r>
                    <w:rPr>
                      <w:rFonts w:hint="default" w:ascii="Times New Roman" w:hAnsi="Times New Roman" w:eastAsia="宋体" w:cs="Times New Roman"/>
                      <w:color w:val="FF0000"/>
                      <w:sz w:val="21"/>
                      <w:szCs w:val="21"/>
                      <w:lang w:val="en-US" w:eastAsia="zh-CN"/>
                    </w:rPr>
                    <w:t>项目安装有废水处理设备，实验废水经处理后排入市政污水管网，由宁县生活污水处理厂处置</w:t>
                  </w:r>
                  <w:r>
                    <w:rPr>
                      <w:rFonts w:hint="default" w:ascii="Times New Roman" w:hAnsi="Times New Roman" w:eastAsia="宋体" w:cs="Times New Roman"/>
                      <w:color w:val="FF0000"/>
                      <w:sz w:val="21"/>
                      <w:szCs w:val="21"/>
                    </w:rPr>
                    <w:t>；②</w:t>
                  </w:r>
                  <w:r>
                    <w:rPr>
                      <w:rFonts w:hint="default" w:ascii="Times New Roman" w:hAnsi="Times New Roman" w:eastAsia="宋体" w:cs="Times New Roman"/>
                      <w:color w:val="FF0000"/>
                      <w:sz w:val="21"/>
                      <w:szCs w:val="21"/>
                      <w:lang w:val="en-US" w:eastAsia="zh-CN"/>
                    </w:rPr>
                    <w:t>实验室地面清洁废水与工作人员生活污水集中收集后进入化粪池处理后排放至市政污水管道，最终进入</w:t>
                  </w:r>
                  <w:r>
                    <w:rPr>
                      <w:rFonts w:hint="eastAsia" w:ascii="Times New Roman" w:hAnsi="Times New Roman" w:eastAsia="宋体" w:cs="Times New Roman"/>
                      <w:color w:val="FF0000"/>
                      <w:sz w:val="21"/>
                      <w:szCs w:val="21"/>
                      <w:lang w:val="en-US" w:eastAsia="zh-CN"/>
                    </w:rPr>
                    <w:t>宁</w:t>
                  </w:r>
                  <w:r>
                    <w:rPr>
                      <w:rFonts w:hint="default" w:ascii="Times New Roman" w:hAnsi="Times New Roman" w:eastAsia="宋体" w:cs="Times New Roman"/>
                      <w:color w:val="FF0000"/>
                      <w:sz w:val="21"/>
                      <w:szCs w:val="21"/>
                      <w:lang w:val="en-US" w:eastAsia="zh-CN"/>
                    </w:rPr>
                    <w:t>县污水处理厂处理</w:t>
                  </w:r>
                  <w:r>
                    <w:rPr>
                      <w:rFonts w:hint="default" w:ascii="Times New Roman" w:hAnsi="Times New Roman" w:eastAsia="宋体" w:cs="Times New Roman"/>
                      <w:color w:val="FF0000"/>
                      <w:sz w:val="21"/>
                      <w:szCs w:val="21"/>
                    </w:rPr>
                    <w:t>；③纯水制备产生的浓水直接排入污水</w:t>
                  </w:r>
                  <w:r>
                    <w:rPr>
                      <w:rFonts w:hint="default" w:ascii="Times New Roman" w:hAnsi="Times New Roman" w:eastAsia="宋体" w:cs="Times New Roman"/>
                      <w:color w:val="FF0000"/>
                      <w:sz w:val="21"/>
                      <w:szCs w:val="21"/>
                      <w:lang w:eastAsia="zh-CN"/>
                    </w:rPr>
                    <w:t>管网</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2"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highlight w:val="red"/>
                    </w:rPr>
                  </w:pPr>
                </w:p>
              </w:tc>
              <w:tc>
                <w:tcPr>
                  <w:tcW w:w="1329" w:type="dxa"/>
                  <w:vAlign w:val="center"/>
                </w:tcPr>
                <w:p>
                  <w:pPr>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bCs/>
                      <w:color w:val="FF0000"/>
                      <w:sz w:val="21"/>
                      <w:szCs w:val="21"/>
                    </w:rPr>
                    <w:t>噪声治理</w:t>
                  </w:r>
                </w:p>
              </w:tc>
              <w:tc>
                <w:tcPr>
                  <w:tcW w:w="6214" w:type="dxa"/>
                  <w:gridSpan w:val="2"/>
                  <w:vAlign w:val="center"/>
                </w:tcPr>
                <w:p>
                  <w:pPr>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优先选用低噪声设备、设置减振基础，隔声降噪</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7" w:hRule="atLeast"/>
                <w:tblHeader/>
                <w:jc w:val="center"/>
              </w:trPr>
              <w:tc>
                <w:tcPr>
                  <w:tcW w:w="1136" w:type="dxa"/>
                  <w:vMerge w:val="continue"/>
                  <w:vAlign w:val="center"/>
                </w:tcPr>
                <w:p>
                  <w:pPr>
                    <w:jc w:val="center"/>
                    <w:rPr>
                      <w:rFonts w:hint="default" w:ascii="Times New Roman" w:hAnsi="Times New Roman" w:eastAsia="宋体" w:cs="Times New Roman"/>
                      <w:bCs/>
                      <w:sz w:val="21"/>
                      <w:szCs w:val="21"/>
                      <w:highlight w:val="red"/>
                    </w:rPr>
                  </w:pPr>
                </w:p>
              </w:tc>
              <w:tc>
                <w:tcPr>
                  <w:tcW w:w="1329" w:type="dxa"/>
                  <w:vAlign w:val="center"/>
                </w:tcPr>
                <w:p>
                  <w:pPr>
                    <w:pStyle w:val="40"/>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color w:val="FF0000"/>
                      <w:sz w:val="21"/>
                      <w:szCs w:val="21"/>
                    </w:rPr>
                    <w:t>固废处理</w:t>
                  </w:r>
                </w:p>
              </w:tc>
              <w:tc>
                <w:tcPr>
                  <w:tcW w:w="6214" w:type="dxa"/>
                  <w:gridSpan w:val="2"/>
                  <w:vAlign w:val="center"/>
                </w:tcPr>
                <w:p>
                  <w:pPr>
                    <w:pStyle w:val="40"/>
                    <w:jc w:val="both"/>
                    <w:rPr>
                      <w:rFonts w:hint="default" w:ascii="Times New Roman" w:hAnsi="Times New Roman" w:eastAsia="宋体" w:cs="Times New Roman"/>
                      <w:color w:val="FF0000"/>
                      <w:kern w:val="2"/>
                      <w:sz w:val="21"/>
                      <w:szCs w:val="21"/>
                      <w:lang w:val="zh-CN" w:eastAsia="zh-CN" w:bidi="zh-CN"/>
                    </w:rPr>
                  </w:pPr>
                  <w:r>
                    <w:rPr>
                      <w:rFonts w:hint="default" w:ascii="Times New Roman" w:hAnsi="Times New Roman" w:eastAsia="宋体" w:cs="Times New Roman"/>
                      <w:color w:val="FF0000"/>
                      <w:kern w:val="2"/>
                      <w:sz w:val="21"/>
                      <w:szCs w:val="21"/>
                      <w:lang w:val="zh-CN" w:eastAsia="zh-CN" w:bidi="zh-CN"/>
                    </w:rPr>
                    <w:t>本项目固体废物包括一般工业固体废物、危险废物和生活垃圾；一  般工业固体废物包括废包装材料、纯水机废滤芯、废反渗透膜，暂存</w:t>
                  </w:r>
                  <w:r>
                    <w:rPr>
                      <w:rFonts w:hint="default" w:ascii="Times New Roman" w:hAnsi="Times New Roman" w:eastAsia="宋体" w:cs="Times New Roman"/>
                      <w:color w:val="FF0000"/>
                      <w:kern w:val="2"/>
                      <w:sz w:val="21"/>
                      <w:szCs w:val="21"/>
                      <w:lang w:eastAsia="zh-CN" w:bidi="zh-CN"/>
                    </w:rPr>
                    <w:t>统一收集后外售利用；</w:t>
                  </w:r>
                  <w:r>
                    <w:rPr>
                      <w:rFonts w:hint="default" w:ascii="Times New Roman" w:hAnsi="Times New Roman" w:eastAsia="宋体" w:cs="Times New Roman"/>
                      <w:color w:val="FF0000"/>
                      <w:kern w:val="2"/>
                      <w:sz w:val="21"/>
                      <w:szCs w:val="21"/>
                      <w:lang w:val="zh-CN" w:eastAsia="zh-CN" w:bidi="zh-CN"/>
                    </w:rPr>
                    <w:t>危险废物包括器皿一二次冲洗废水、实验室废液、废活性炭、废试剂瓶、过期药剂，暂存于危险废物暂存间，定期交由有资质的单位进行处置；生活垃圾暂存于垃圾桶，交由</w:t>
                  </w:r>
                  <w:r>
                    <w:rPr>
                      <w:rFonts w:hint="default" w:ascii="Times New Roman" w:hAnsi="Times New Roman" w:eastAsia="宋体" w:cs="Times New Roman"/>
                      <w:color w:val="FF0000"/>
                      <w:kern w:val="2"/>
                      <w:sz w:val="21"/>
                      <w:szCs w:val="21"/>
                      <w:lang w:eastAsia="zh-CN" w:bidi="zh-CN"/>
                    </w:rPr>
                    <w:t>环卫</w:t>
                  </w:r>
                  <w:r>
                    <w:rPr>
                      <w:rFonts w:hint="default" w:ascii="Times New Roman" w:hAnsi="Times New Roman" w:eastAsia="宋体" w:cs="Times New Roman"/>
                      <w:color w:val="FF0000"/>
                      <w:kern w:val="2"/>
                      <w:sz w:val="21"/>
                      <w:szCs w:val="21"/>
                      <w:lang w:val="zh-CN" w:eastAsia="zh-CN" w:bidi="zh-CN"/>
                    </w:rPr>
                    <w:t>部门定期清运。</w:t>
                  </w:r>
                </w:p>
              </w:tc>
            </w:tr>
          </w:tbl>
          <w:p>
            <w:pPr>
              <w:pStyle w:val="39"/>
              <w:adjustRightInd w:val="0"/>
              <w:snapToGrid w:val="0"/>
              <w:jc w:val="center"/>
              <w:rPr>
                <w:rFonts w:hint="default" w:ascii="Times New Roman" w:hAnsi="Times New Roman" w:eastAsia="宋体" w:cs="Times New Roman"/>
                <w:b/>
                <w:color w:val="FF0000"/>
                <w:sz w:val="21"/>
                <w:szCs w:val="20"/>
                <w:lang w:eastAsia="zh-CN"/>
              </w:rPr>
            </w:pPr>
            <w:r>
              <w:rPr>
                <w:rFonts w:hint="default" w:ascii="Times New Roman" w:hAnsi="Times New Roman" w:eastAsia="宋体" w:cs="Times New Roman"/>
                <w:b/>
                <w:color w:val="FF0000"/>
                <w:sz w:val="21"/>
                <w:szCs w:val="20"/>
                <w:lang w:eastAsia="zh-CN"/>
              </w:rPr>
              <w:t>表2-2     一期实验室设备一览表</w:t>
            </w:r>
          </w:p>
          <w:tbl>
            <w:tblPr>
              <w:tblStyle w:val="27"/>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3871"/>
              <w:gridCol w:w="1083"/>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序号</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仪器设备名称</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单位</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电子天平</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c>
                <w:tcPr>
                  <w:tcW w:w="3871"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十万分之一天平</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w:t>
                  </w:r>
                </w:p>
              </w:tc>
              <w:tc>
                <w:tcPr>
                  <w:tcW w:w="3871"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COD消解仪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纯水机</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5</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离子计</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6</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可见分光光度计</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7</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紫外分光光度计</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8</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红外测油仪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9</w:t>
                  </w:r>
                </w:p>
              </w:tc>
              <w:tc>
                <w:tcPr>
                  <w:tcW w:w="3871"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声级计</w:t>
                  </w:r>
                </w:p>
              </w:tc>
              <w:tc>
                <w:tcPr>
                  <w:tcW w:w="1083"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六联电炉</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11</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蒸馏仪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12</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水浴锅</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13</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实验室样品冷藏装置（冰柜）</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14</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实验室标准物质冷藏冷冻装置（冰箱）</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15</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化学试剂及器皿</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16</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测距仪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17</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卫星定位系统</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18</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环境监测车</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19</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水质采样器</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20</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深井采样器</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21</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便携式抽滤仪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22</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水样保存箱</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套</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23</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水质多参数分光光度计</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24</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便携式大气采样器</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25</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气象参数测定仪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26</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土壤采样相关设备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27</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安全防护装备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28</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辅助设备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29</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离心机</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30</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石油类采样器</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31</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振荡器</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32</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电导率仪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33</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溶解氧测定仪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34</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便携式流速测量仪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35</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便携式多功能水质检测仪</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36</w:t>
                  </w:r>
                </w:p>
              </w:tc>
              <w:tc>
                <w:tcPr>
                  <w:tcW w:w="3871"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一体化污水处理设备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套</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bl>
          <w:p>
            <w:pPr>
              <w:pStyle w:val="39"/>
              <w:adjustRightInd w:val="0"/>
              <w:snapToGrid w:val="0"/>
              <w:jc w:val="center"/>
              <w:rPr>
                <w:rFonts w:hint="default" w:ascii="Times New Roman" w:hAnsi="Times New Roman" w:eastAsia="宋体" w:cs="Times New Roman"/>
                <w:b/>
                <w:color w:val="FF0000"/>
                <w:sz w:val="21"/>
                <w:szCs w:val="20"/>
                <w:lang w:eastAsia="zh-CN"/>
              </w:rPr>
            </w:pPr>
          </w:p>
          <w:p>
            <w:pPr>
              <w:pStyle w:val="39"/>
              <w:adjustRightInd w:val="0"/>
              <w:snapToGrid w:val="0"/>
              <w:jc w:val="center"/>
              <w:rPr>
                <w:rFonts w:hint="default" w:ascii="Times New Roman" w:hAnsi="Times New Roman" w:eastAsia="宋体" w:cs="Times New Roman"/>
                <w:b/>
                <w:color w:val="FF0000"/>
                <w:sz w:val="21"/>
                <w:szCs w:val="20"/>
                <w:lang w:eastAsia="zh-CN"/>
              </w:rPr>
            </w:pPr>
            <w:r>
              <w:rPr>
                <w:rFonts w:hint="default" w:ascii="Times New Roman" w:hAnsi="Times New Roman" w:eastAsia="宋体" w:cs="Times New Roman"/>
                <w:b/>
                <w:color w:val="FF0000"/>
                <w:sz w:val="21"/>
                <w:szCs w:val="20"/>
                <w:lang w:eastAsia="zh-CN"/>
              </w:rPr>
              <w:t>表2-3     二期实验室设备一览表</w:t>
            </w:r>
          </w:p>
          <w:tbl>
            <w:tblPr>
              <w:tblStyle w:val="27"/>
              <w:tblW w:w="8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0"/>
              <w:gridCol w:w="4114"/>
              <w:gridCol w:w="870"/>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序号</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仪器设备名称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单位</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火焰石墨炉原子吸收分光光度计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原子荧光光度计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电感耦合等离子体质谱仪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微波消解仪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5</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气相色谱仪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6</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顶空-气相色谱仪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7</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气-质联用仪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8</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样品前处理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9</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万分之一天平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w:t>
                  </w:r>
                </w:p>
              </w:tc>
              <w:tc>
                <w:tcPr>
                  <w:tcW w:w="4114"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恒温恒湿称重系统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11</w:t>
                  </w:r>
                </w:p>
              </w:tc>
              <w:tc>
                <w:tcPr>
                  <w:tcW w:w="4114"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水质五参数快速测定仪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nil"/>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12</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便携式余氯测定仪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13</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BOD5生化培养箱</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14</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高压灭菌锅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15</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环境采样器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16</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智能烟尘烟气采样仪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17</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低浓度烟枪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18</w:t>
                  </w:r>
                </w:p>
              </w:tc>
              <w:tc>
                <w:tcPr>
                  <w:tcW w:w="4114" w:type="dxa"/>
                  <w:tcBorders>
                    <w:top w:val="nil"/>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烟气黑度仪</w:t>
                  </w:r>
                </w:p>
              </w:tc>
              <w:tc>
                <w:tcPr>
                  <w:tcW w:w="870" w:type="dxa"/>
                  <w:tcBorders>
                    <w:top w:val="nil"/>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nil"/>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19</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电热板</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20</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便携样品冷藏储存装置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21</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便携式x、r剂量率仪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22</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个人剂量报警仪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23</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便携式测油仪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24</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便携式多种气体检测仪（电化学传感器法）</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25</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生物毒性检测仪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26</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气体检测管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套</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27</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气压计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28</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真空采样箱</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29</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马弗炉</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30</w:t>
                  </w:r>
                </w:p>
              </w:tc>
              <w:tc>
                <w:tcPr>
                  <w:tcW w:w="4114"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抽滤装置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pStyle w:val="4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p>
              </w:tc>
            </w:tr>
          </w:tbl>
          <w:p>
            <w:pPr>
              <w:pStyle w:val="39"/>
              <w:adjustRightInd w:val="0"/>
              <w:snapToGrid w:val="0"/>
              <w:jc w:val="center"/>
              <w:rPr>
                <w:rFonts w:hint="default" w:ascii="Times New Roman" w:hAnsi="Times New Roman" w:eastAsia="宋体" w:cs="Times New Roman"/>
                <w:b/>
                <w:sz w:val="21"/>
                <w:szCs w:val="20"/>
                <w:lang w:eastAsia="zh-CN"/>
              </w:rPr>
            </w:pPr>
          </w:p>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lang w:eastAsia="zh-CN"/>
              </w:rPr>
              <w:t>3、</w:t>
            </w:r>
            <w:r>
              <w:rPr>
                <w:rFonts w:hint="default" w:ascii="Times New Roman" w:hAnsi="Times New Roman" w:eastAsia="宋体" w:cs="Times New Roman"/>
                <w:b/>
                <w:sz w:val="24"/>
                <w:szCs w:val="24"/>
                <w:lang w:eastAsia="zh-CN"/>
              </w:rPr>
              <w:t>检测能力</w:t>
            </w:r>
          </w:p>
          <w:p>
            <w:pPr>
              <w:pStyle w:val="48"/>
              <w:spacing w:line="360" w:lineRule="auto"/>
              <w:ind w:left="24" w:leftChars="11" w:right="121" w:rightChars="55" w:firstLine="448" w:firstLineChars="187"/>
              <w:rPr>
                <w:rFonts w:hint="default" w:ascii="Times New Roman" w:hAnsi="Times New Roman" w:eastAsia="宋体" w:cs="Times New Roman"/>
              </w:rPr>
            </w:pPr>
            <w:r>
              <w:rPr>
                <w:rFonts w:hint="default" w:ascii="Times New Roman" w:hAnsi="Times New Roman" w:eastAsia="宋体" w:cs="Times New Roman"/>
              </w:rPr>
              <w:t>本项目检测能力具体见表2-4。</w:t>
            </w:r>
          </w:p>
          <w:p>
            <w:pPr>
              <w:pStyle w:val="39"/>
              <w:adjustRightInd w:val="0"/>
              <w:snapToGrid w:val="0"/>
              <w:jc w:val="center"/>
              <w:rPr>
                <w:rFonts w:hint="default" w:ascii="Times New Roman" w:hAnsi="Times New Roman" w:eastAsia="宋体" w:cs="Times New Roman"/>
                <w:b/>
                <w:sz w:val="21"/>
                <w:szCs w:val="20"/>
                <w:lang w:eastAsia="zh-CN"/>
              </w:rPr>
            </w:pPr>
            <w:r>
              <w:rPr>
                <w:rFonts w:hint="default" w:ascii="Times New Roman" w:hAnsi="Times New Roman" w:eastAsia="宋体" w:cs="Times New Roman"/>
                <w:b/>
                <w:sz w:val="21"/>
                <w:szCs w:val="20"/>
                <w:lang w:eastAsia="zh-CN"/>
              </w:rPr>
              <w:t>表2-4      项目实验室检测能力范围一览表</w:t>
            </w:r>
          </w:p>
          <w:tbl>
            <w:tblPr>
              <w:tblStyle w:val="27"/>
              <w:tblW w:w="869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745"/>
              <w:gridCol w:w="59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1745"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名称</w:t>
                  </w:r>
                </w:p>
              </w:tc>
              <w:tc>
                <w:tcPr>
                  <w:tcW w:w="5993"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依据标准方法及标准号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w:t>
                  </w:r>
                </w:p>
              </w:tc>
              <w:tc>
                <w:tcPr>
                  <w:tcW w:w="7738" w:type="dxa"/>
                  <w:gridSpan w:val="2"/>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水和废水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水温的测定 温度计或颠倒温度计测定法》（GB/T 13195-1991）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pH值</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pH值的测定 电极法》（HJ 1147-2020）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嗅</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《臭 文字描述法》（《水和废水分析监测方法》）（第四版）国家环境保护总局）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流量</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《河流流量测验规范（流速仪法）》(GB 50179)、《水污染物排放总量监测技术规范（流量 流速仪法）》(HJ/T 92)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溶解氧</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便携式溶解氧仪法《水和废水监测分析方法》（第四版）国家环境保护总局（2002年）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溶解氧的测定 碘量法》（GB/T 7489-1987）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浑浊度</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浊度的测定 浊度计法》（HJ 1075-2019）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耗氧量</w:t>
                  </w:r>
                </w:p>
              </w:tc>
              <w:tc>
                <w:tcPr>
                  <w:tcW w:w="5993"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高锰酸盐指数的测定》（GB/T 11892-1989）</w:t>
                  </w:r>
                </w:p>
                <w:p>
                  <w:pPr>
                    <w:pStyle w:val="33"/>
                    <w:jc w:val="center"/>
                    <w:rPr>
                      <w:rFonts w:hint="default" w:ascii="Times New Roman" w:hAnsi="Times New Roman" w:eastAsia="宋体" w:cs="Times New Roman"/>
                      <w:color w:val="auto"/>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高锰酸盐指数</w:t>
                  </w:r>
                </w:p>
              </w:tc>
              <w:tc>
                <w:tcPr>
                  <w:tcW w:w="5993"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化学需氧量</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化学需氧量的测定 重铬酸盐法》（HJ 828-2017）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生化需氧量</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五日生化需氧量(BOD5)的测定 稀释与接种法》（HJ 505-2009）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氨氮</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氨氮测定 纳氏试剂分光光度法》（HJ 535-2009）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总磷</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《水质总磷的测定 钼酸铵分光光度法》         (GB/T 11893-1989 )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总氮</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总氮的测定 碱性过硫酸钾消解紫外分光光度法》（HJ 636-2012)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铜</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镉</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铅</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16</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锌</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铁</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钠</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镍</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银</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铝</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23</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砷</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汞、砷、硒、铋和锑的测定 原子荧光法》     （HJ 694-2014)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汞</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汞、砷、硒、铋和锑的测定 原子荧光法》     （HJ 694-2014)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25</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硒</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汞、砷、硒、铋和锑的测定 原子荧光法》     （HJ 694-2014)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26</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铬（六价）</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六价铬的测定 二苯碳酰二肼分光光度法》（GB/T 7467-1987)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27</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总铬</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总铬的测定》（GB 7466-1987)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65种元素的测定 电感耦合等离子体质谱法》（HJ700-2014）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氰化物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氰化物的测定 容量法和分光光度法》      （HJ 484-2009）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阴离子表面活性剂</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阴离子表面活性剂的测定 亚甲蓝分光光度法》（GB7494-1987）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挥发酚</w:t>
                  </w:r>
                </w:p>
              </w:tc>
              <w:tc>
                <w:tcPr>
                  <w:tcW w:w="5993"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挥发酚的测定 4-氨基安替比林分光光度法》（HJ 503-2009)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挥发性酚类</w:t>
                  </w:r>
                </w:p>
              </w:tc>
              <w:tc>
                <w:tcPr>
                  <w:tcW w:w="5993"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碘化物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碘化物的测定 离子色谱法》（HJ778-2015）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《水质 硫化物的测定 亚甲基蓝分光光度法》     </w:t>
                  </w:r>
                </w:p>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（HJ 1226-2021）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亚硝酸盐</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亚硝酸盐氮的测定 分光光度法》        （GB/T 7493-1987）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34</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石油类</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石油类的测定 紫外分光光度法（试行）》     (HJ 970-2018）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石油类和动植物油类的测定 红外分光光度法》(HJ 637-2018）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动植物油</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石油类和动植物油类的测定 红外分光光度法》(HJ 637-2018）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36</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色度</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色度的测定 》   （GB 11903-89）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色度的测定 稀释倍数法》   （HJ 1182-2021）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嗅和味</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生活饮用水标准检验方法 感官性状和物理指标   （GB/T 5750.4-2006）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肉眼可见物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生活饮用水标准检验方法 感官性状和物理指标   GB/T 5750.4-2006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39</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氟化物的测定 离子选择电极法》          （GB 7484-1987）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无机阴离子（F-、Cl-、NO2-、Br-、NO3-、PO43-、SO32-、SO42-）的测定 离子色谱法》（HJ84-2016)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40</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硫酸盐</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无机阴离子（F-、Cl-、NO2-、Br-、NO3-、PO43-、SO32-、SO42-）的测定 离子色谱法》（HJ84-2016)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硫酸盐的测定  铬酸钡分光光度法（试行）》（HJ/T 342-2007）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41</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氯化物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无机阴离子（F-、Cl-、NO2-、Br-、NO3-、PO43-、SO32-、SO42-）的测定 离子色谱法》（HJ84-2016)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氯化物的测定 硝酸银滴定法》          （GB/T 11896-1989）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42</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硝酸盐</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无机阴离子（F-、Cl-、NO2-、Br-、NO3-、PO43-、SO32-、SO42-）的测定 离子色谱法》（HJ84-2016)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硝酸盐氮的测定 紫外分光光度法（试行）》（HJ/T 346-2007）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溶解性总固体</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生活饮用水标准检验方法 感官性状和物理指标     GB/T 5750.4-2006（8.1称量法）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总硬度</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钙和镁总量的测定 EDTA滴定法》          （GB 7477-1987）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悬浮物的测定 重量法》（GB/T 11901-1989)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46</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总余氯</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游离氯和总氯的测定 N,N－二乙基—1,4—苯二胺分光光度法》（HJ 586-2010）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甲醛</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甲醛的测定 乙酰丙酮分光光度法》        （HJ 601-2011）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电导率</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生活饮用水标准检验方法 感官性状和物理指标     GB/T 5750.4-2006（6.1电极法）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苯</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苯系物的测定 顶空气相色谱法》    （HJ 1067-2019）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三氯甲烷</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挥发性卤代烃的测定 顶空气相色谱法》    （HJ 620-2011）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甲苯</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《水质 苯系物的测定 顶空气相色谱法》    （HJ 1067-2019）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四氯化碳</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《水质 挥发性卤代烃的测定 顶空气相色谱法》    （HJ 620-2011）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甲醇</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《水质 甲醇和丙酮的测定 顶空/气相色谱法》     （HJ 895-2017）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二</w:t>
                  </w:r>
                </w:p>
              </w:tc>
              <w:tc>
                <w:tcPr>
                  <w:tcW w:w="7738" w:type="dxa"/>
                  <w:gridSpan w:val="2"/>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空气和废气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臭氧</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臭氧的测定 靛蓝二磺酸钠分光光度法》（HJ 504-2009）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PM10</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PM10和PM 2.5的测定 重量法》         （HJ 618-2011）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56</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PM2.5</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PM10和PM 2.5的测定 重量法》         （HJ 618-2011）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总悬浮颗粒物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总悬浮颗粒物的测定 重量法》       （GB/T 15432-1995）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二氧化硫</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二氧化硫的测定 定电位电解法》（HJ 57-2017）《环境空气 二氧化硫的测定 甲醛吸收-副玫瑰苯胺分光光度法》（HJ 482-2009）、《固定污染源排气中二氧化硫的测定便携式紫外吸收法》（HJ 1131-2020）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氮氧化物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氮氧化物的测定 定电位电解法》（ HJ 693-2014）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一氧化碳</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一氧化碳的测定定电位电解法》（HJ 973-2018）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氰化氢</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氰化氢 异烟酸-吡唑啉酮分光光度法》（《空气和废气监测分析方法》（第四版）国家环境保护总局）、《固定污染源排气中氰化氢的测定 异烟酸-吡唑啉酮分光光度法》（HJ/T 28-1999）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氯化氢</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氯化氢 硫氰酸汞分光光度法》(《空气和废气监测分析方法》(第四版）国家环境保护总局)、《固定污染源 氯化氢的测定 硝酸银容量法》(HJ 548-2016)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氟化物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《环境空气 氟化物的测定 滤膜采样/氟离子选择电极法》（HJ 955-2018）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64</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颗粒物</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颗粒物的测定与气态污染物采样方法》（GB/T 16157-1996）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低浓度颗粒物的测定 重量法》   （HJ 836-2017）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烟气黑度</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《固定污染源排放 烟气黑度的测定 林格曼烟气黑度图法》（HJ/T 398-2007）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66</w:t>
                  </w:r>
                </w:p>
              </w:tc>
              <w:tc>
                <w:tcPr>
                  <w:tcW w:w="1745" w:type="dxa"/>
                  <w:vMerge w:val="restart"/>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烟尘</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《固定污染源排气 颗粒物的测定与气态污染物采样方法》（ GB/T 16157-1996）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1745" w:type="dxa"/>
                  <w:vMerge w:val="continue"/>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《固定污染源废气 低浓度颗粒物的测定 重量法》   （HJ 836-2017）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三</w:t>
                  </w:r>
                </w:p>
              </w:tc>
              <w:tc>
                <w:tcPr>
                  <w:tcW w:w="7738" w:type="dxa"/>
                  <w:gridSpan w:val="2"/>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67</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区域环境及道路交通噪声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《声环境质量标准》 （GB 3096-2008）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68</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环境噪声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《声环境质量标准》 （GB 3096-2008）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69</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城市道路交通噪声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《声学 环境噪声的描述、测量与评价 第2部分：环境噪声级测定》 （GB/T 3222.2-2009）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70</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工业企业厂界噪声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《工业企业厂界环境噪声排放标准》 （GB 12348-2008）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71</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建筑施工场界噪声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《建筑施工场界环境噪声排放标准》 （GB 12523-2011）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72</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铁路边界噪声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《铁路边界噪声只做值及其测量方法》（ GB/T 12525-1990）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73</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社会生活环境噪声</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《社会生活环境噪声排放标准》（GB 22337）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四</w:t>
                  </w:r>
                </w:p>
              </w:tc>
              <w:tc>
                <w:tcPr>
                  <w:tcW w:w="7738" w:type="dxa"/>
                  <w:gridSpan w:val="2"/>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土壤和水系沉积物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74</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pH</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《pH 玻璃电极法》（《土壤元素的近代分析方法》中国环境监测总站）、《土壤pH的测定》（NY/T 1377-2007）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961" w:type="dxa"/>
                  <w:tcBorders>
                    <w:tl2br w:val="nil"/>
                    <w:tr2bl w:val="nil"/>
                  </w:tcBorders>
                  <w:noWrap/>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75</w:t>
                  </w:r>
                </w:p>
              </w:tc>
              <w:tc>
                <w:tcPr>
                  <w:tcW w:w="1745"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水分</w:t>
                  </w:r>
                </w:p>
              </w:tc>
              <w:tc>
                <w:tcPr>
                  <w:tcW w:w="5993" w:type="dxa"/>
                  <w:tcBorders>
                    <w:tl2br w:val="nil"/>
                    <w:tr2bl w:val="nil"/>
                  </w:tcBorders>
                  <w:vAlign w:val="center"/>
                </w:tcPr>
                <w:p>
                  <w:pPr>
                    <w:pStyle w:val="33"/>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《土壤 干物质和水分的测定 重量法》（HJ 613-2011）</w:t>
                  </w:r>
                </w:p>
              </w:tc>
            </w:tr>
          </w:tbl>
          <w:p>
            <w:pPr>
              <w:spacing w:line="360" w:lineRule="auto"/>
              <w:ind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4、项目原辅材料及主要能源消耗</w:t>
            </w:r>
          </w:p>
          <w:p>
            <w:pPr>
              <w:pStyle w:val="40"/>
              <w:spacing w:line="360" w:lineRule="auto"/>
              <w:ind w:firstLine="482"/>
              <w:rPr>
                <w:rFonts w:hint="default" w:ascii="Times New Roman" w:hAnsi="Times New Roman" w:eastAsia="宋体" w:cs="Times New Roman"/>
                <w:spacing w:val="-9"/>
                <w:sz w:val="24"/>
                <w:lang w:eastAsia="zh-CN"/>
              </w:rPr>
            </w:pPr>
            <w:r>
              <w:rPr>
                <w:rFonts w:hint="default" w:ascii="Times New Roman" w:hAnsi="Times New Roman" w:eastAsia="宋体" w:cs="Times New Roman"/>
                <w:spacing w:val="-9"/>
                <w:sz w:val="24"/>
              </w:rPr>
              <w:t>本项目建成后，主要原辅材料见表</w:t>
            </w:r>
            <w:r>
              <w:rPr>
                <w:rFonts w:hint="default" w:ascii="Times New Roman" w:hAnsi="Times New Roman" w:eastAsia="宋体" w:cs="Times New Roman"/>
                <w:spacing w:val="-9"/>
                <w:sz w:val="24"/>
                <w:lang w:eastAsia="zh-CN"/>
              </w:rPr>
              <w:t>2-5</w:t>
            </w:r>
            <w:r>
              <w:rPr>
                <w:rFonts w:hint="default" w:ascii="Times New Roman" w:hAnsi="Times New Roman" w:eastAsia="宋体" w:cs="Times New Roman"/>
                <w:spacing w:val="-9"/>
                <w:sz w:val="24"/>
              </w:rPr>
              <w:t>。</w:t>
            </w:r>
            <w:r>
              <w:rPr>
                <w:rFonts w:hint="default" w:ascii="Times New Roman" w:hAnsi="Times New Roman" w:eastAsia="宋体" w:cs="Times New Roman"/>
                <w:spacing w:val="-9"/>
                <w:sz w:val="24"/>
                <w:lang w:eastAsia="zh-CN"/>
              </w:rPr>
              <w:t>易制毒试剂用量见表2-6。</w:t>
            </w:r>
          </w:p>
          <w:p>
            <w:pPr>
              <w:pStyle w:val="39"/>
              <w:adjustRightInd w:val="0"/>
              <w:snapToGrid w:val="0"/>
              <w:jc w:val="center"/>
              <w:rPr>
                <w:rFonts w:hint="default" w:ascii="Times New Roman" w:hAnsi="Times New Roman" w:eastAsia="宋体" w:cs="Times New Roman"/>
                <w:b/>
                <w:sz w:val="21"/>
                <w:szCs w:val="20"/>
                <w:lang w:eastAsia="zh-CN"/>
              </w:rPr>
            </w:pPr>
            <w:r>
              <w:rPr>
                <w:rFonts w:hint="default" w:ascii="Times New Roman" w:hAnsi="Times New Roman" w:eastAsia="宋体" w:cs="Times New Roman"/>
                <w:b/>
                <w:sz w:val="21"/>
                <w:szCs w:val="20"/>
                <w:lang w:eastAsia="zh-CN"/>
              </w:rPr>
              <w:t>表2-5      主要原辅材料一览表</w:t>
            </w:r>
          </w:p>
          <w:tbl>
            <w:tblPr>
              <w:tblStyle w:val="28"/>
              <w:tblW w:w="8677"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39"/>
              <w:gridCol w:w="1109"/>
              <w:gridCol w:w="1185"/>
              <w:gridCol w:w="1036"/>
              <w:gridCol w:w="1267"/>
              <w:gridCol w:w="128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序号</w:t>
                  </w:r>
                </w:p>
              </w:tc>
              <w:tc>
                <w:tcPr>
                  <w:tcW w:w="117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名称</w:t>
                  </w:r>
                </w:p>
              </w:tc>
              <w:tc>
                <w:tcPr>
                  <w:tcW w:w="638"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规格型号</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消耗瓶量/年</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最大储存量</w:t>
                  </w:r>
                </w:p>
              </w:tc>
              <w:tc>
                <w:tcPr>
                  <w:tcW w:w="72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包装/瓶</w:t>
                  </w:r>
                </w:p>
              </w:tc>
              <w:tc>
                <w:tcPr>
                  <w:tcW w:w="73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存放地点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碘化钾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磷酸氢二钾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6瓶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邻苯二甲酸氢钾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无水碳酸钾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铁氰化钾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酒石酸锑钾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溴化钾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氟化钾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无水磷酸氢二钠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8瓶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结晶乙酸钠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溴化钠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四硼酸钠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草酸钠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6瓶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水杨酸钠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无水碳酸钠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无水亚硫酸钠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碳酸氢钠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硫代硫酸钠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乙二胺四乙酸二钠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酒石酸钾钠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十二烷基苯磺酸钠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硫化钠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乙二胺四乙酸二钠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乙二胺四乙酸二钠镁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无水碳酸钠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亚硝基铁氰化钠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氯化铵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硫酸铁铵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乙酸铵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硫酸亚铁铵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四水合钼酸铵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磷酸氢二铵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氨基磺酸铵</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34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硅酸镁吸附剂</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35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硼酸</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36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碳酸钙</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37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可溶性淀粉</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氧化镁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二水合乙酸锌</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氨基磺酸</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磺胺</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姜黄素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丙烯基硫脲</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4-氨基安替比林</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甲基红</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次甲基兰</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靛蓝二磺酰钠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甲基橙</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酸性洛兰K</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N-1-萘乙二胺盐酸盐</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对二甲氨基苯甲醛</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氢氧化钠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氢氧化钾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8瓶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氢氧化钙</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氢氧化钡</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无水硫酸镁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硫酸亚铁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结晶硫酸镁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硫酸锰</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硫酸铝</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硫酸钾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无水硫酸钠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硫酸铝钾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氨胺T</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无水氯化钙</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结晶氯化铝</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氯化钾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三氯化铁</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69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四氯化碳</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含量&gt;99.5%</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无水乙醇</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乙醇</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95%</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氨水</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30%过氧化氢</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苯</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N,N-二甲基对苯二胺二盐酸盐</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冰乙酸</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N-N-二甲基甲酰胺</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500ml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铬酸钾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250g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碘酸钾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79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N,N-二甲基对苯二胺盐酸盐</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硫酸锌</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抗坏血酸</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甲醇</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色谱纯</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4L</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氟试剂</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N,N-二甲基对苯二胺</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碘化汞</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二苯基碳酰二肼</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酚试剂</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溴甲酚紫</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89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邻菲罗啉</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碘酸钾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硫脲</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无水磷酸二氢钠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氯化钠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N,N-二乙基-2-1-甲基-1,4-苯二胺盐酸盐</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95</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硅藻土</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柠檬酸三钠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97</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无水乙酸钠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98</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磷酸二氢钠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99</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磷酸氢二钠</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100</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硼氢化钾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100g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101</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硝酸钾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102</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溴酸钾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103</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重铬酸钾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GR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104</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磷酸二氢钾</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500g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bidi="ar"/>
                    </w:rPr>
                  </w:pPr>
                  <w:r>
                    <w:rPr>
                      <w:rFonts w:hint="default" w:ascii="Times New Roman" w:hAnsi="Times New Roman" w:eastAsia="宋体" w:cs="Times New Roman"/>
                      <w:sz w:val="21"/>
                      <w:szCs w:val="21"/>
                      <w:lang w:eastAsia="zh-CN" w:bidi="ar"/>
                    </w:rPr>
                    <w:t>105</w:t>
                  </w:r>
                </w:p>
              </w:tc>
              <w:tc>
                <w:tcPr>
                  <w:tcW w:w="1174"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硝酸</w:t>
                  </w:r>
                </w:p>
              </w:tc>
              <w:tc>
                <w:tcPr>
                  <w:tcW w:w="638"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GR</w:t>
                  </w:r>
                </w:p>
              </w:tc>
              <w:tc>
                <w:tcPr>
                  <w:tcW w:w="682"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500mL</w:t>
                  </w:r>
                </w:p>
              </w:tc>
              <w:tc>
                <w:tcPr>
                  <w:tcW w:w="7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bidi="ar"/>
                    </w:rPr>
                    <w:t>106</w:t>
                  </w:r>
                </w:p>
              </w:tc>
              <w:tc>
                <w:tcPr>
                  <w:tcW w:w="1174"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氯化汞</w:t>
                  </w:r>
                </w:p>
              </w:tc>
              <w:tc>
                <w:tcPr>
                  <w:tcW w:w="638"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AR</w:t>
                  </w:r>
                </w:p>
              </w:tc>
              <w:tc>
                <w:tcPr>
                  <w:tcW w:w="682"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widowControl/>
                    <w:jc w:val="center"/>
                    <w:textAlignment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bidi="ar"/>
                    </w:rPr>
                    <w:t>250g</w:t>
                  </w:r>
                </w:p>
              </w:tc>
              <w:tc>
                <w:tcPr>
                  <w:tcW w:w="737"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7"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bidi="ar"/>
                    </w:rPr>
                  </w:pPr>
                  <w:r>
                    <w:rPr>
                      <w:rFonts w:hint="default" w:ascii="Times New Roman" w:hAnsi="Times New Roman" w:eastAsia="宋体" w:cs="Times New Roman"/>
                      <w:sz w:val="21"/>
                      <w:szCs w:val="21"/>
                      <w:lang w:eastAsia="zh-CN" w:bidi="ar"/>
                    </w:rPr>
                    <w:t>107</w:t>
                  </w:r>
                </w:p>
              </w:tc>
              <w:tc>
                <w:tcPr>
                  <w:tcW w:w="1174"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磷酸</w:t>
                  </w:r>
                </w:p>
              </w:tc>
              <w:tc>
                <w:tcPr>
                  <w:tcW w:w="638"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AR</w:t>
                  </w:r>
                </w:p>
              </w:tc>
              <w:tc>
                <w:tcPr>
                  <w:tcW w:w="682" w:type="pct"/>
                  <w:tcBorders>
                    <w:tl2br w:val="nil"/>
                    <w:tr2bl w:val="nil"/>
                  </w:tcBorders>
                  <w:vAlign w:val="center"/>
                </w:tcPr>
                <w:p>
                  <w:pPr>
                    <w:spacing w:line="220" w:lineRule="atLeas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4瓶</w:t>
                  </w:r>
                </w:p>
              </w:tc>
              <w:tc>
                <w:tcPr>
                  <w:tcW w:w="596"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729"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500mL</w:t>
                  </w:r>
                </w:p>
              </w:tc>
              <w:tc>
                <w:tcPr>
                  <w:tcW w:w="737"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bl>
          <w:p>
            <w:pPr>
              <w:pStyle w:val="39"/>
              <w:adjustRightInd w:val="0"/>
              <w:snapToGrid w:val="0"/>
              <w:jc w:val="center"/>
              <w:rPr>
                <w:rFonts w:hint="default" w:ascii="Times New Roman" w:hAnsi="Times New Roman" w:eastAsia="宋体" w:cs="Times New Roman"/>
                <w:b/>
                <w:sz w:val="21"/>
                <w:szCs w:val="20"/>
                <w:lang w:eastAsia="zh-CN"/>
              </w:rPr>
            </w:pPr>
            <w:r>
              <w:rPr>
                <w:rFonts w:hint="default" w:ascii="Times New Roman" w:hAnsi="Times New Roman" w:eastAsia="宋体" w:cs="Times New Roman"/>
                <w:b/>
                <w:sz w:val="21"/>
                <w:szCs w:val="20"/>
                <w:lang w:eastAsia="zh-CN"/>
              </w:rPr>
              <w:t>表2-6     易制毒试剂一览表</w:t>
            </w:r>
          </w:p>
          <w:tbl>
            <w:tblPr>
              <w:tblStyle w:val="28"/>
              <w:tblW w:w="86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25"/>
              <w:gridCol w:w="1322"/>
              <w:gridCol w:w="1381"/>
              <w:gridCol w:w="1567"/>
              <w:gridCol w:w="2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序号</w:t>
                  </w:r>
                </w:p>
              </w:tc>
              <w:tc>
                <w:tcPr>
                  <w:tcW w:w="933" w:type="pct"/>
                  <w:tcBorders>
                    <w:tl2br w:val="nil"/>
                    <w:tr2bl w:val="nil"/>
                  </w:tcBorders>
                  <w:vAlign w:val="center"/>
                </w:tcPr>
                <w:p>
                  <w:pPr>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名称</w:t>
                  </w:r>
                </w:p>
              </w:tc>
              <w:tc>
                <w:tcPr>
                  <w:tcW w:w="760" w:type="pct"/>
                  <w:tcBorders>
                    <w:tl2br w:val="nil"/>
                    <w:tr2bl w:val="nil"/>
                  </w:tcBorders>
                  <w:vAlign w:val="center"/>
                </w:tcPr>
                <w:p>
                  <w:pPr>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使用量</w:t>
                  </w:r>
                </w:p>
              </w:tc>
              <w:tc>
                <w:tcPr>
                  <w:tcW w:w="794"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最大储存量</w:t>
                  </w:r>
                </w:p>
              </w:tc>
              <w:tc>
                <w:tcPr>
                  <w:tcW w:w="900"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包装/瓶</w:t>
                  </w:r>
                </w:p>
              </w:tc>
              <w:tc>
                <w:tcPr>
                  <w:tcW w:w="1225"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存放地点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p>
              </w:tc>
              <w:tc>
                <w:tcPr>
                  <w:tcW w:w="93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硫酸</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p>
              </w:tc>
              <w:tc>
                <w:tcPr>
                  <w:tcW w:w="93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盐酸</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p>
              </w:tc>
              <w:tc>
                <w:tcPr>
                  <w:tcW w:w="93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丙酮</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p>
              </w:tc>
              <w:tc>
                <w:tcPr>
                  <w:tcW w:w="93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三氯甲烷</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c>
                <w:tcPr>
                  <w:tcW w:w="933"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四氯化碳</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p>
              </w:tc>
              <w:tc>
                <w:tcPr>
                  <w:tcW w:w="933"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四氯乙烯</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p>
              </w:tc>
              <w:tc>
                <w:tcPr>
                  <w:tcW w:w="93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硫酸汞</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100g</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50g</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w:t>
                  </w:r>
                </w:p>
              </w:tc>
              <w:tc>
                <w:tcPr>
                  <w:tcW w:w="933"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正己烷</w:t>
                  </w:r>
                </w:p>
              </w:tc>
              <w:tc>
                <w:tcPr>
                  <w:tcW w:w="760"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试剂间易制毒专柜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lang w:eastAsia="zh-CN" w:bidi="ar"/>
                    </w:rPr>
                    <w:t>乙醚</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甲苯</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醋酸酐</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12</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氯酸钾</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13</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硝酸钾</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14</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氰化钾</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甲醇</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乙醇</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500ml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17</w:t>
                  </w:r>
                </w:p>
              </w:tc>
              <w:tc>
                <w:tcPr>
                  <w:tcW w:w="933" w:type="pct"/>
                  <w:tcBorders>
                    <w:tl2br w:val="nil"/>
                    <w:tr2bl w:val="nil"/>
                  </w:tcBorders>
                  <w:vAlign w:val="center"/>
                </w:tcPr>
                <w:p>
                  <w:pPr>
                    <w:widowControl/>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lang w:eastAsia="zh-CN" w:bidi="ar"/>
                    </w:rPr>
                    <w:t>汞</w:t>
                  </w:r>
                </w:p>
              </w:tc>
              <w:tc>
                <w:tcPr>
                  <w:tcW w:w="76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10瓶</w:t>
                  </w:r>
                </w:p>
              </w:tc>
              <w:tc>
                <w:tcPr>
                  <w:tcW w:w="794"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2瓶</w:t>
                  </w:r>
                </w:p>
              </w:tc>
              <w:tc>
                <w:tcPr>
                  <w:tcW w:w="90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10ml</w:t>
                  </w:r>
                </w:p>
              </w:tc>
              <w:tc>
                <w:tcPr>
                  <w:tcW w:w="1225"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试剂间</w:t>
                  </w:r>
                </w:p>
              </w:tc>
            </w:tr>
          </w:tbl>
          <w:p>
            <w:pPr>
              <w:pStyle w:val="39"/>
              <w:adjustRightInd w:val="0"/>
              <w:snapToGrid w:val="0"/>
              <w:jc w:val="center"/>
              <w:rPr>
                <w:rFonts w:hint="default" w:ascii="Times New Roman" w:hAnsi="Times New Roman" w:eastAsia="宋体" w:cs="Times New Roman"/>
                <w:b/>
                <w:sz w:val="21"/>
                <w:szCs w:val="20"/>
                <w:lang w:eastAsia="zh-CN"/>
              </w:rPr>
            </w:pPr>
          </w:p>
          <w:p>
            <w:pPr>
              <w:pStyle w:val="39"/>
              <w:adjustRightInd w:val="0"/>
              <w:snapToGrid w:val="0"/>
              <w:jc w:val="center"/>
              <w:rPr>
                <w:rFonts w:hint="default" w:ascii="Times New Roman" w:hAnsi="Times New Roman" w:eastAsia="宋体" w:cs="Times New Roman"/>
                <w:b/>
                <w:sz w:val="21"/>
                <w:szCs w:val="20"/>
                <w:lang w:eastAsia="zh-CN"/>
              </w:rPr>
            </w:pPr>
            <w:r>
              <w:rPr>
                <w:rFonts w:hint="default" w:ascii="Times New Roman" w:hAnsi="Times New Roman" w:eastAsia="宋体" w:cs="Times New Roman"/>
                <w:b/>
                <w:sz w:val="21"/>
                <w:szCs w:val="20"/>
                <w:lang w:eastAsia="zh-CN"/>
              </w:rPr>
              <w:t>表2-7      药品理化性质</w:t>
            </w:r>
          </w:p>
          <w:tbl>
            <w:tblPr>
              <w:tblStyle w:val="27"/>
              <w:tblW w:w="859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0" w:type="dxa"/>
                <w:bottom w:w="0" w:type="dxa"/>
                <w:right w:w="0" w:type="dxa"/>
              </w:tblCellMar>
            </w:tblPr>
            <w:tblGrid>
              <w:gridCol w:w="405"/>
              <w:gridCol w:w="1076"/>
              <w:gridCol w:w="1087"/>
              <w:gridCol w:w="3955"/>
              <w:gridCol w:w="207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3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试剂</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分子式</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理化性质、爆炸性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主要危险性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氢氧化钠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俗称烧碱、火碱、苛性钠，纯品是无色透明的晶体，具有高腐蚀性、潮解性；密度2.130、熔点318.4℃、沸点1390℃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：无资料；刺激性：家兔经眼：1%重度刺激；家兔经皮：50mg/24小时，重度刺激</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2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氢氧化钾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白色粉末或片状固体，具强碱性及腐蚀性，溶于水，能溶于乙醇和甘油。相对密度2.044。熔点380℃（无水）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：1230mg/kg(大鼠经口)；LC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氢氧化铝</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Al(OH)</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固态，是铝的氢氧化物。是一种碱，由于又显一定的酸性，所以又可称之为一水合偏铝酸（HAlO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氢氧化钡</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Ba(OH)</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无色透明结晶或白色粉末。可溶于水和甲醇，微溶于乙醇，几乎不溶于丙酮。相对密度2.188，熔点78℃，折光率1.471；有毒、有腐蚀性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：255mg/kg(小鼠腹腔)；LC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碳酸钙</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vertAlign w:val="subscript"/>
                      <w:lang w:eastAsia="zh-CN"/>
                    </w:rPr>
                  </w:pPr>
                  <w:r>
                    <w:rPr>
                      <w:rFonts w:hint="default" w:ascii="Times New Roman" w:hAnsi="Times New Roman" w:eastAsia="宋体" w:cs="Times New Roman"/>
                      <w:sz w:val="21"/>
                      <w:szCs w:val="21"/>
                      <w:lang w:eastAsia="zh-CN"/>
                    </w:rPr>
                    <w:t>CaCO</w:t>
                  </w:r>
                  <w:r>
                    <w:rPr>
                      <w:rFonts w:hint="default" w:ascii="Times New Roman" w:hAnsi="Times New Roman" w:eastAsia="宋体" w:cs="Times New Roman"/>
                      <w:sz w:val="21"/>
                      <w:szCs w:val="21"/>
                      <w:vertAlign w:val="subscript"/>
                      <w:lang w:eastAsia="zh-CN"/>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白色微细结晶粉末，无臭无味，能吸收臭气。熔点（ºC）：1339℃825-896.6</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急性毒性：LD50：6450mg/Kg（大白鼠经口），对眼睛有强烈刺激作用，对皮肤有中度刺激作用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盐酸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俗称氢氯酸，为一元强酸，具有刺激性气味。熔点（℃）：</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-114.8（纯HCl），沸点（℃）：</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108.6（20%恒沸溶液），相对密度(水=1)：1.20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：无资料；慢性影响：长期接触，引起慢性鼻炎、慢性支气管炎、牙齿酸蚀及皮肤损害</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硝酸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HNO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是一种强氧化性、腐蚀性的强酸。相对密度(d204)1.41，熔点-42℃（无水），沸点120.5℃（68%）</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：无资料；强氧化剂，能与多种物质猛烈反应，甚至发生爆炸</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是一种常见的无机酸，是中强酸。白色固体或者无色粘稠液体（&gt;42℃），密度：1.685g/ml（液体状态），熔点：42.35℃（316K），沸点：158℃（431K）</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：1530mg/kg(大鼠经口)；2740mg/kg(兔经皮)LC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03"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透明无色无臭液体，一种最活泼的二元无机强酸，沸点338℃，相对密度1.84</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：2140mg/kg(大鼠经口)；LC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：510mg/m</w:t>
                  </w:r>
                  <w:r>
                    <w:rPr>
                      <w:rFonts w:hint="default" w:ascii="Times New Roman" w:hAnsi="Times New Roman" w:eastAsia="宋体" w:cs="Times New Roman"/>
                      <w:sz w:val="21"/>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高氯酸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HClO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无机化合物，六大无机强酸之一。无水物为无色透明的发烟液体。可助燃，具强腐蚀性、强刺激性。熔点(℃)：-122，相对密度（水=1）：1.76，沸点：203℃</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:1100mg/kg(大鼠经口)；</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硼酸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BO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为白色粉末状结晶或三斜轴面鳞片状光泽结晶，有滑腻手感，无臭味。溶于水、酒精、甘油、醚类及香精油中，水溶液呈弱酸性。熔点：169℃，沸点：300℃，密度：1.43</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:2660mg/kg(大鼠经口)；LC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2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淀粉</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)n</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是葡萄糖的高聚体，白色粉末；无臭。在冷水或乙醇中均不溶解</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9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亚硝酸钠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NaNO</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式：白色至浅黄色粒状、棒状或粉末。有吸湿性。加热至320℃以上分解。在空气中慢慢氧化为硝酸钠。遇弱酸分解放出棕色三氧化二氮气体。溶于1.5份冷水、0.6份沸水，微溶于乙醇。水溶液呈碱性，pH约9。相对密度2.17。熔点271℃。有氧化性，与有机物接触能燃烧和爆炸，并放出有毒和刺激性的过氧化氮和氧化氮的气体</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:180mg/kg(大鼠经口)；LC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5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氯化钙</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CaCl</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立方结晶体，白色或灰白色，有粒状、蜂窝块状、圆球状、不规则颗粒状、粉末状。无毒、无臭、味微苦。吸湿性极强，暴露于空气中极易潮解。易溶于水，同时放出大量的热（氯化钙的溶解焓为-176.2cal/g），其水溶液呈微碱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：1000mg/kg(大鼠经口)；LC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无水硫酸钠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白色均匀细颗粒或粉末。无嗅，味咸而带苦。密度：2.68g/cm3。熔点884℃。易溶于水，溶解度在0-30.4℃内随温度的升高而迅速增大。溶于甘油，不溶于乙醇。水溶液呈中性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:5989mg/kg(小鼠经口)；LC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氯化铵</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无色晶体或白色颗粒性粉末，无臭、味咸、容易吸潮的白色粉末或结晶颗粒，分子量:53.49；熔点:520℃；密度（水=1）:1.53；溶解性:微溶于乙醇，溶于水，溶于甘油</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：1650mg/kg(大鼠经口)；LC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乙醇</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无色液体,有酒香。主要用于制酒工业、有机合成、消毒以及</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作溶剂等。熔点：-114.1℃，沸点：78.3℃，饱和蒸汽压：5.8KPa/20℃；相对密度（水=1）：0.79；溶解性：溶于水，可混溶于醚、氯仿、甘油等多数有机溶剂。危险性类别：第3.2中闪点易燃液体。爆炸上限[%（V/V）]：19%</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：7060mg/kg(兔经口)；LC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：37620mg/m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，10小时(大鼠吸入)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磷酸二氢钠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结晶或白色结晶性粉末。无臭，味咸，酸。热至100℃失去全部结晶水，灼热变成偏磷酸钠。易溶于水，几乎不溶于乙醇，其水溶液呈酸性。0.1mol/L水溶液在25℃时的pH为4.5。相对密度1.915。熔点60℃。商品也有一分子结晶水的</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磷酸氢二钾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结晶或白色结晶性粉末。无臭，味咸，酸。热至100℃失去全部结晶水，灼热变成偏磷酸钠。易溶于水，几乎不溶于乙醇，其水溶液呈酸性。0.1mol/L水溶液在25℃时的pH为4.5。相对密度1.915。熔点60℃。商品也有一分子结晶水的</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碘化汞</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HgI</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一种是红色碘化汞，四角晶体，相对密度6.36g/cm³(25℃)。在127℃转变为黄色，冷却时再变为红色。一种是黄色碘化汞，正交晶体，相对密度6.094g/cm³(127℃)。熔点259℃。沸点354℃</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"https://baike.so.com/doc/6921075-7143035.html"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急性毒</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性:</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"https://baike.so.com/doc/5568176-5783336.html"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LC50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:18mg/kg(大鼠经</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"https://baike.so.com/doc/6701985-6915935.html"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LD50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:75mg/kg(大鼠经皮)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分子量:105.99；熔点（ºC）:851；密度（水=1）:2.53；溶解性:易溶于水，不溶于乙醇、乙醚等；外观与性状:白色粉末或细颗粒(无水纯品)，味涩</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：4090mg/kg（大鼠经口）LC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：2300mg/m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，2小时（大鼠吸入）；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47"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磷酸二氢钾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白色粉末，熔点（ºC）:8257.6；密度2.238；在空气中稳定，溶于水，不溶于乙醇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：无资料；眼接触后：微刺激；食用大量后：反胃、呕吐、胃痛、腹泻，一般不适感觉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异丙醇</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8</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无色透明液体，溶于水，也溶于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"https://baike.so.com/doc/18539-19230.html"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"https://baike.so.com/doc/1396101-1475990.html"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醚</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"https://baike.so.com/doc/3194557-3366490.html"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苯</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、氯仿等多数有机溶剂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急性毒性：LD50：5045mg/kg(大鼠经口)；12800mg/kg(兔经皮)LC50：无资料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硫代硫酸钠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硫代硫酸钠，又名次亚硫酸钠、大苏打、海波。它是无色透明的单斜晶体，密度1.667g/cm3。熔点48摄氏度</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：腹膜内的-老鼠</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-5200mg/kg；LC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硫酸镁</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常温下纯品为无色或微紫色的棱柱形晶体，工业品因含杂质常为粉红、棕红色、土黄色块。具有臭味。溶解于冷水，极易溶于热水，微溶于醇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：820mg/kg(小鼠经口)；950mg/kg(小鼠静注)；LC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常温下纯品为无色或微紫色的棱柱形晶体，工业品因含杂质常为粉红、棕红色、土黄色块。具有臭味。溶解于冷水，极易溶于热水，微溶于醇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：820mg/kg(小鼠经口)；950mg/kg(小鼠静注)；LC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无色立方结晶或细小结晶粉末，味咸。外观是白色晶体状，其来源主要是海水，是食盐的主要成分。易溶于水、甘油，微溶于乙醇（酒精）、液氨；不溶于浓盐酸。不纯的氯化钠在空气中有潮解性。稳定性比较好</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：3000mg/kg(oral，rat)；10000mg/kg(dermal，rabbit)；LC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四氯乙烯</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室温下是不易燃的液体。容易挥发，有刺激的甜味</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半数致死量（LD50）：</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（大鼠，经口）13g/kg；</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（小鼠，经口）8.4g/kg</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C₆H₆</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苯沸点为80.1℃，熔点为5.5℃，在常温下为一种高度易燃，有香味的无色的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"https://baike.so.com/doc/5944437-6157371.html"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液体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，为一种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"https://baike.so.com/doc/1104012-1168170.html"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有</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机化合物，也是组成结构最简单的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"https://baike.so.com/doc/1210869-1280884.html"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芳香烃</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。苯有高的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"https://baike.so.com/doc/5993718-6206689.html"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毒性</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，也是一种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"https://baike.so.com/doc/2620622-2767138.html"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致癌</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物质。它难溶于水，且密度小于水，易溶于有机溶剂，本身也可作为有机溶剂。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急性毒性：口服-大鼠LD50:930毫克/公斤;口服-小鼠LD50:4700毫克/公斤(溶剂苯)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密度(水=1)（固体）：1.98；熔点：770℃；外观：白色结晶或结晶性粉末；沸点：1500℃（部分会升华）；溶解性：1g溶于2.8ml水、1.8ml沸水、14ml甘油、约250ml乙醇，不溶于乙醚、丙酮和盐酸，氯化镁、氯化钠能降低其在水中溶解度</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：2600mg/kg(大鼠经口)，LC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：无资料；眼睛接触后：微刺激</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三氯化铁</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FeCl</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与性状：黑棕色结晶，也有薄片状；熔点(℃)：306；沸点(℃)：319；临界温度(℃)：315；闪点(℃)：无意义；溶解性：易溶于水，不溶于甘油，易溶于甲醇、乙醇、丙酮、乙醚；相对密度(水=1)：2.90；相对蒸气密度(空气=1)：5.61；分子量：162.21；主要用途：用作饮水和废水的处理剂，染料工业的氧化剂和媒染剂，有机合成的催化剂和氧化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：1872mg/kg(大鼠经口)；LC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亚甲基蓝</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16</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18</w:t>
                  </w:r>
                  <w:r>
                    <w:rPr>
                      <w:rFonts w:hint="default" w:ascii="Times New Roman" w:hAnsi="Times New Roman" w:eastAsia="宋体" w:cs="Times New Roman"/>
                      <w:sz w:val="21"/>
                      <w:szCs w:val="21"/>
                    </w:rPr>
                    <w:t>CIN</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S</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为深绿色青铜光泽结晶（三水合物），熔点215ºC，闪点14℃，密度1g/mL。可溶于水/乙醇，不溶于醚类。亚甲基蓝在空气中较稳定，其水溶液呈碱性，有毒。亚甲基蓝广泛应用于化学指示剂、染料、生物染色剂和药物等方面</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：1180mg/kg(大鼠经口)；LC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06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CH₃COOH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乙酸在常温下是一种有强烈刺激性酸味的无色液体。乙酸</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"https://baike.so.com/doc/367780-389604.html"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的熔点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为16.6℃（289.6K）。沸点117.9℃(391.2K）。相对</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"https://baike.so.com/doc/4210704-4411860.html"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密</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度1.05，</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"https://baike.so.com/doc/720555-762868.html"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闪点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39℃，</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"https://baike.so.com/doc/625906-662542.html"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爆炸极限</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4%～17%（体积）。纯的乙酸在低于熔点时会冻结成冰状</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"https://baike.so.com/doc/191492-202333.html"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晶</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体，所以无水乙酸又称为冰醋酸。乙酸易溶于水和乙醇，其水溶液呈弱酸性。乙酸盐也易溶于水，水溶液呈碱性。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急性毒性[17]LD50：3530mg/kg（大鼠经口）；1060mg/kg（兔经皮）LC50：13791mg/m3（小鼠吸入，1h）</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乙二胺四乙酸二钠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C10H14N2Na2O8</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白色晶体状粉末，是一种重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"https://baike.so.com/doc/6045856.html"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要络合剂</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。用于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"https://baike.so.com/doc/6562232.html"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化学镀铜</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、镀金、镀铅锡合金、钢铁件的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"https://baike.so.com/doc/6947575.html"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电化学</w:t>
                  </w:r>
                  <w:r>
                    <w:rPr>
                      <w:rFonts w:hint="default" w:ascii="Times New Roman" w:hAnsi="Times New Roman" w:eastAsia="宋体" w:cs="Times New Roman"/>
                      <w:sz w:val="21"/>
                      <w:szCs w:val="21"/>
                    </w:rPr>
                    <w:fldChar w:fldCharType="end"/>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抛光和铜件镀银前的溶液中，也可用EDTA-Na代替</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酒石酸钾钠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NaKC</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·4H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也称酒石酸钠钾、罗氏盐、罗谢尔盐，是酒石酸钠与酒石酸钾形成的复盐。它是无色至蓝白色正交晶系晶体，可溶于水，微溶于醇，味咸而凉，水溶液呈微碱性。60℃时开始失去结晶水，215℃时失去其全部结晶水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：无资料；本品无毒，对胃肠道有强烈刺激作用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丙酮</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香气味，极易挥发。熔点-94.6℃，沸点56.5℃，密度0.79，相对蒸汽密度1.59，与水混溶，可混溶于醚、氯仿、甘油等多数有机溶剂。爆炸上限13.0%（V/V），爆炸下限2.5%（V/V），闪点－20℃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：5800mg/kg(大鼠经口)；20000mg/kg(兔经皮)；LC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06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苯酚</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C₆H₆O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又名石炭酸、羟基苯，是最简单的酚类有机物，一种弱酸。常温下为一种无色晶体，有毒。苯酚是一种常见的化学品，是生产某些树脂、杀菌剂、防腐剂以及药物（如阿司匹林）的重要原料。苯酚有腐蚀性，常温下微溶于水，易溶于有机溶液；当温度高于65℃时，能跟水以任意比例互溶。其溶液沾到皮肤上可用酒精洗涤，苯酚暴露在空气中呈粉红色。</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6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COONa</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三水合乙酸钠为无色透明或白色颗粒结晶，在空气中可被风化，可燃。易溶于水，微溶于乙醇，不溶于乙醚。123℃时失去结晶水。但是通常湿法制取的有醋酸的味道。水中发生</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"https://baike.so.com/doc/1558182-1647140.html"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水</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解</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大鼠经口LD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：3530mg/kg大鼠吸入LC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：&gt;30gm/m3/1H小鼠经口LD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：6891mg/kg</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小鼠皮下LD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：3200mg/kg小鼠静脉注射LD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：1195mg/kg兔子皮肤LD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：&gt;10gm/kg兔子经静脉注射LD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：1300mg/kg</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水杨酸钠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7</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NaO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CAS号为54-21-7，为白色鳞片状结晶或粉末，主治活动性风湿病、类风湿性关节炎及急等症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264"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四氯化碳</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CCl</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与性状：无色有特臭的透明液体，极易挥发；熔点(℃)：-22.6；沸点(℃)：76.8；相对密度(水=1)：1.6相对蒸气密度(空气=1)：5.3；饱和蒸气压(kPa)：13.33(23℃))；燃烧热(kJ/mol)：364.9；临界温度(℃)：283.2；临界压力(MPa)：45.58；辛醇/水分配系数的对数值：2.6；溶解性：微溶于水，易溶于多数有机溶剂；主要用途：用于有机合成、致冷剂、杀虫剂。亦作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：2350mg/kg(大鼠经口)；5070mg/kg(大鼠经皮)；LC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：50400mg/m3，4小时(大鼠吸入)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三氯甲烷</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CHCl</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无色透明重质液体，易挥发，有特殊气味。沸点61.3℃，熔点-63.5℃，相对水密度1.50，不溶于水，溶于醇、醚、苯</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LD50：908mg/kg（大鼠经口）；LC50：47702mg/kg，4小时（大鼠吸入）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钼酸铵</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8</w:t>
                  </w:r>
                  <w:r>
                    <w:rPr>
                      <w:rFonts w:hint="default" w:ascii="Times New Roman" w:hAnsi="Times New Roman" w:eastAsia="宋体" w:cs="Times New Roman"/>
                      <w:sz w:val="21"/>
                      <w:szCs w:val="21"/>
                    </w:rPr>
                    <w:t>MoN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钼酸铵(又特种钼酸铵;(T-4)-钼酸铵;四钼酸铵;钼酸二铵;)易于纯化、易于溶解、易于热解离</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CrO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黄色固体，是</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"https://baike.so.com/doc/5710042-7117149.html"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铬酸</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所成的钾盐，用于鉴别氯离子。铬酸钾中铬为六价，属于二级</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"https://baike.so.com/doc/5696479-5909184.html"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致癌物质</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，吸入或吞食会导致癌症。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铁氰化钾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[Fe(CN)</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铁氰化钾是深红色</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"https://baike.so.com/doc/191492-202333.html"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晶体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(单斜、</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"https://baike.so.com/doc/6451532-6665216.html"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八面体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)，水溶液呈黄色。熔点:300℃，573K，无特殊气味，:能溶于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"https://baike.so.com/doc/5342961-7116906.html"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水</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"https://baike.so.com/doc/252057-266820.html"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丙酮</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"https://baike.so.com/doc/3036121-3200992.html"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乙醇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，不溶于醋酸甲酯与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"https://baike.so.com/doc/717651-759720.html"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液氮</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甲烷</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无色无味，比较稳定，与高锰酸钾等强氧化剂不反应，与强酸、强碱也不反应。但是在特定条件下，甲烷也会发生某些反应。</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急性毒性：小鼠吸入2%浓度×60分钟，麻醉作用；兔吸入2%浓度×60分钟，麻醉作用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高锰酸钾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KMnO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分子量:158.03；熔点:240℃；密度:相对密度(水=1)2.7；蒸汽压:溶解性:溶于水、碱液，微溶于甲醇、丙酮、硫酸；外观与性状:深紫色细长斜方柱状结晶，有金属光泽。</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:1090mg/kg(大鼠经口)；LC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氨水</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分子式：NH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OH；分子量：35.05，熔点（℃）：-77，沸点（℃）：36，无色透明液体。有强烈的刺激性臭味。溶于水、醇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：350mg/kg(大鼠经口)；LC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5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无色或白色结晶、颗粒或粉末。无气味，味苦。质硬。</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"https://baike.so.com/doc/4543147-4753508.html"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化学性</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质不活泼。在空气中稳定。</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"https://baike.so.com/doc/4210704-4411860.html"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密</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度2.66g/cm。</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"https://baike.so.com/doc/367780-389604.html"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熔点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1069℃。水溶液呈中性，常温下pH约为7。1g溶于8.3ml水、4ml沸水、75ml甘油，不溶于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"https://baike.so.com/doc/3036121-3200992.html"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乙醇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lang w:eastAsia="zh-CN"/>
                    </w:rPr>
                    <w:t>49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硝酸钠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NaNO</w:t>
                  </w:r>
                  <w:r>
                    <w:rPr>
                      <w:rFonts w:hint="default" w:ascii="Times New Roman" w:hAnsi="Times New Roman" w:eastAsia="宋体" w:cs="Times New Roman"/>
                      <w:sz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熔点为306.8℃，密度为2.257g/cm</w:t>
                  </w:r>
                  <w:r>
                    <w:rPr>
                      <w:rFonts w:hint="default" w:ascii="Times New Roman" w:hAnsi="Times New Roman" w:eastAsia="宋体" w:cs="Times New Roman"/>
                      <w:sz w:val="13"/>
                    </w:rPr>
                    <w:t>3</w:t>
                  </w:r>
                  <w:r>
                    <w:rPr>
                      <w:rFonts w:hint="default" w:ascii="Times New Roman" w:hAnsi="Times New Roman" w:eastAsia="宋体" w:cs="Times New Roman"/>
                      <w:sz w:val="21"/>
                    </w:rPr>
                    <w:t>（20℃时），为无色透明或白微带黄色菱形晶体。其味苦咸，易溶于水和液氨，微溶于甘油和乙醇中，易潮解，特别在含有极少量氯化钠杂质时，硝酸钠潮解性就大为增加。当溶解于水时其溶液温度降低，溶液呈中性。在加热时，硝酸钠易成分解成亚硝酸钠和氧气</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LD</w:t>
                  </w:r>
                  <w:r>
                    <w:rPr>
                      <w:rFonts w:hint="default" w:ascii="Times New Roman" w:hAnsi="Times New Roman" w:eastAsia="宋体" w:cs="Times New Roman"/>
                      <w:sz w:val="21"/>
                      <w:vertAlign w:val="subscript"/>
                    </w:rPr>
                    <w:t>50</w:t>
                  </w:r>
                  <w:r>
                    <w:rPr>
                      <w:rFonts w:hint="default" w:ascii="Times New Roman" w:hAnsi="Times New Roman" w:eastAsia="宋体" w:cs="Times New Roman"/>
                      <w:sz w:val="21"/>
                    </w:rPr>
                    <w:t>：大鼠口服3236mg/kg体重；兔口服2680mg/kg体重。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1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lang w:eastAsia="zh-CN"/>
                    </w:rPr>
                    <w:t>50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碘化钾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KI</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白色立方结晶或粉末。在潮湿空气中微有吸湿性，久置析出游离碘而变成黄色，并能形成微量碘酸盐。密度3.123g/cm</w:t>
                  </w:r>
                  <w:r>
                    <w:rPr>
                      <w:rFonts w:hint="default" w:ascii="Times New Roman" w:hAnsi="Times New Roman" w:eastAsia="宋体" w:cs="Times New Roman"/>
                      <w:sz w:val="13"/>
                    </w:rPr>
                    <w:t>3</w:t>
                  </w:r>
                  <w:r>
                    <w:rPr>
                      <w:rFonts w:hint="default" w:ascii="Times New Roman" w:hAnsi="Times New Roman" w:eastAsia="宋体" w:cs="Times New Roman"/>
                      <w:sz w:val="21"/>
                    </w:rPr>
                    <w:t>，熔点681°C(954K)，沸点1330°C(1603K)</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LD</w:t>
                  </w:r>
                  <w:r>
                    <w:rPr>
                      <w:rFonts w:hint="default" w:ascii="Times New Roman" w:hAnsi="Times New Roman" w:eastAsia="宋体" w:cs="Times New Roman"/>
                      <w:sz w:val="21"/>
                      <w:vertAlign w:val="subscript"/>
                    </w:rPr>
                    <w:t>50</w:t>
                  </w:r>
                  <w:r>
                    <w:rPr>
                      <w:rFonts w:hint="default" w:ascii="Times New Roman" w:hAnsi="Times New Roman" w:eastAsia="宋体" w:cs="Times New Roman"/>
                      <w:sz w:val="21"/>
                    </w:rPr>
                    <w:t>：2779mg/kg（大鼠经口）</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67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sz w:val="23"/>
                      <w:lang w:eastAsia="zh-CN"/>
                    </w:rPr>
                    <w:t>51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碘化汞</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HgI</w:t>
                  </w:r>
                  <w:r>
                    <w:rPr>
                      <w:rFonts w:hint="default" w:ascii="Times New Roman" w:hAnsi="Times New Roman" w:eastAsia="宋体" w:cs="Times New Roman"/>
                      <w:sz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四角晶体，相对密度6.36g/cm³</w:t>
                  </w:r>
                </w:p>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（25℃）。在127℃转变为黄色，冷却时再变为红色。一种是黄色碘化汞，正交晶体，相对密度6.094g/cm³（127℃）。熔点259℃。沸点354℃。在室温下不稳定，经过几小时后就转变为稳定的红色变体。不溶于水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u w:val="single"/>
                    </w:rPr>
                    <w:t>LC50</w:t>
                  </w:r>
                  <w:r>
                    <w:rPr>
                      <w:rFonts w:hint="default" w:ascii="Times New Roman" w:hAnsi="Times New Roman" w:eastAsia="宋体" w:cs="Times New Roman"/>
                      <w:sz w:val="21"/>
                    </w:rPr>
                    <w:t>：18mg/kg（大鼠经口）</w:t>
                  </w:r>
                </w:p>
              </w:tc>
            </w:tr>
          </w:tbl>
          <w:p>
            <w:pPr>
              <w:pStyle w:val="39"/>
              <w:numPr>
                <w:ilvl w:val="0"/>
                <w:numId w:val="3"/>
              </w:numPr>
              <w:spacing w:line="360" w:lineRule="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平面布置的合理性分析</w:t>
            </w:r>
          </w:p>
          <w:p>
            <w:pPr>
              <w:adjustRightInd w:val="0"/>
              <w:snapToGrid w:val="0"/>
              <w:spacing w:line="360" w:lineRule="auto"/>
              <w:ind w:firstLine="480" w:firstLineChars="200"/>
              <w:jc w:val="both"/>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eastAsia="zh-CN"/>
              </w:rPr>
              <w:t>项目位于宁县辑宁北路东城社区3号1栋。项目实验区分布在一至四层，一层设样品交接间、留样室、器皿室、试剂间、危化品室、环境应急仪器室、危废暂存间、气瓶室楼梯间。 二层设会议室、办公室、档案室、综合办公室、卫生间、楼梯间等。 三层设测油室、高温室、比色间、恒重室、前室、天平间、理化分析 室 1、纯水洗涤间、理化分析室 2、卫生间、楼梯间等。 四层设有机前处理室、气相室、气质室、离子色谱室、缓冲间、ICP-MS、 原子吸收室、辅助设备间、原子荧光室、无机前处理室、楼梯间等。项目平面布置基本合理。具体平面布置见附图3。</w:t>
            </w:r>
          </w:p>
          <w:p>
            <w:pPr>
              <w:adjustRightInd w:val="0"/>
              <w:snapToGrid w:val="0"/>
              <w:spacing w:line="360" w:lineRule="auto"/>
              <w:ind w:firstLine="480" w:firstLineChars="200"/>
              <w:jc w:val="both"/>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eastAsia="zh-CN"/>
              </w:rPr>
              <w:t>综合分析，项目平面布置合理。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FF0000"/>
                <w:sz w:val="24"/>
                <w:lang w:eastAsia="zh-CN"/>
              </w:rPr>
            </w:pPr>
            <w:r>
              <w:rPr>
                <w:rFonts w:hint="default" w:ascii="Times New Roman" w:hAnsi="Times New Roman" w:eastAsia="宋体" w:cs="Times New Roman"/>
                <w:b/>
                <w:sz w:val="24"/>
                <w:lang w:eastAsia="zh-CN"/>
              </w:rPr>
              <w:t>6</w:t>
            </w:r>
            <w:r>
              <w:rPr>
                <w:rFonts w:hint="default" w:ascii="Times New Roman" w:hAnsi="Times New Roman" w:eastAsia="宋体" w:cs="Times New Roman"/>
                <w:b/>
                <w:color w:val="FF0000"/>
                <w:sz w:val="24"/>
                <w:lang w:eastAsia="zh-CN"/>
              </w:rPr>
              <w:t>、公用工程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FF0000"/>
                <w:sz w:val="24"/>
                <w:highlight w:val="none"/>
                <w:lang w:eastAsia="zh-CN"/>
              </w:rPr>
              <w:t>（</w:t>
            </w:r>
            <w:r>
              <w:rPr>
                <w:rFonts w:hint="default" w:ascii="Times New Roman" w:hAnsi="Times New Roman" w:cs="Times New Roman"/>
                <w:color w:val="FF0000"/>
                <w:sz w:val="24"/>
                <w:highlight w:val="none"/>
                <w:lang w:val="en-US" w:eastAsia="zh-CN"/>
              </w:rPr>
              <w:t>1</w:t>
            </w:r>
            <w:r>
              <w:rPr>
                <w:rFonts w:hint="default" w:ascii="Times New Roman" w:hAnsi="Times New Roman" w:cs="Times New Roman"/>
                <w:color w:val="FF0000"/>
                <w:sz w:val="24"/>
                <w:highlight w:val="none"/>
                <w:lang w:eastAsia="zh-CN"/>
              </w:rPr>
              <w:t>）</w:t>
            </w:r>
            <w:r>
              <w:rPr>
                <w:rFonts w:hint="default" w:ascii="Times New Roman" w:hAnsi="Times New Roman" w:cs="Times New Roman"/>
                <w:color w:val="FF0000"/>
                <w:sz w:val="24"/>
                <w:highlight w:val="none"/>
                <w:lang w:val="en-US" w:eastAsia="zh-CN"/>
              </w:rPr>
              <w:t>给水</w:t>
            </w:r>
          </w:p>
          <w:p>
            <w:pPr>
              <w:pStyle w:val="119"/>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本项目用水主要包括地面清洁用水、实验用水(试剂配制用水、器皿清洗用水)及生活用水，由当地自来水管网供给，项目新鲜水年用量约368.5m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/a。项目采用自来水为水源进行纯水的制备，纯水的产生比例为80%，因此项目纯水制备过程自来水的使用量为22.5m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FF0000"/>
                <w:sz w:val="24"/>
                <w:highlight w:val="none"/>
                <w:lang w:val="en-US" w:eastAsia="zh-CN"/>
              </w:rPr>
              <w:t>①地面清洁用水</w:t>
            </w:r>
          </w:p>
          <w:p>
            <w:pPr>
              <w:pStyle w:val="119"/>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本根据建设单位提供资料，本项目需清洁的地面面积约78.31m</w:t>
            </w:r>
            <w:r>
              <w:rPr>
                <w:rFonts w:hint="default" w:ascii="Times New Roman" w:hAnsi="Times New Roman" w:cs="Times New Roman"/>
                <w:bCs w:val="0"/>
                <w:color w:val="FF0000"/>
                <w:sz w:val="24"/>
                <w:highlight w:val="none"/>
                <w:vertAlign w:val="superscript"/>
                <w:lang w:val="en-US" w:eastAsia="zh-CN"/>
              </w:rPr>
              <w:t>2</w:t>
            </w:r>
            <w:r>
              <w:rPr>
                <w:rFonts w:hint="default" w:ascii="Times New Roman" w:hAnsi="Times New Roman" w:cs="Times New Roman"/>
                <w:bCs w:val="0"/>
                <w:color w:val="FF0000"/>
                <w:sz w:val="24"/>
                <w:highlight w:val="none"/>
                <w:lang w:val="en-US" w:eastAsia="zh-CN"/>
              </w:rPr>
              <w:t>，地面约3天清洁一次。根据《建筑给水排水设计手册》（2008年10月1日出版），场地清洗水用水量为1.0～2.0L/次•m</w:t>
            </w:r>
            <w:r>
              <w:rPr>
                <w:rFonts w:hint="default" w:ascii="Times New Roman" w:hAnsi="Times New Roman" w:cs="Times New Roman"/>
                <w:bCs w:val="0"/>
                <w:color w:val="FF0000"/>
                <w:sz w:val="24"/>
                <w:highlight w:val="none"/>
                <w:vertAlign w:val="superscript"/>
                <w:lang w:val="en-US" w:eastAsia="zh-CN"/>
              </w:rPr>
              <w:t>2</w:t>
            </w:r>
            <w:r>
              <w:rPr>
                <w:rFonts w:hint="default" w:ascii="Times New Roman" w:hAnsi="Times New Roman" w:cs="Times New Roman"/>
                <w:bCs w:val="0"/>
                <w:color w:val="FF0000"/>
                <w:sz w:val="24"/>
                <w:highlight w:val="none"/>
                <w:lang w:val="en-US" w:eastAsia="zh-CN"/>
              </w:rPr>
              <w:t>，由于本项目采取拖把清理方式，不直接冲洗房间地面，故本次环评地面清洁用水量按标准的10%计，即0.2L/次•m</w:t>
            </w:r>
            <w:r>
              <w:rPr>
                <w:rFonts w:hint="default" w:ascii="Times New Roman" w:hAnsi="Times New Roman" w:cs="Times New Roman"/>
                <w:bCs w:val="0"/>
                <w:color w:val="FF0000"/>
                <w:sz w:val="24"/>
                <w:highlight w:val="none"/>
                <w:vertAlign w:val="superscript"/>
                <w:lang w:val="en-US" w:eastAsia="zh-CN"/>
              </w:rPr>
              <w:t>2</w:t>
            </w:r>
            <w:r>
              <w:rPr>
                <w:rFonts w:hint="default" w:ascii="Times New Roman" w:hAnsi="Times New Roman" w:cs="Times New Roman"/>
                <w:bCs w:val="0"/>
                <w:color w:val="FF0000"/>
                <w:sz w:val="24"/>
                <w:highlight w:val="none"/>
                <w:lang w:val="en-US" w:eastAsia="zh-CN"/>
              </w:rPr>
              <w:t>计算，则地面清洁用水量约为16m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/a，采用新鲜水。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highlight w:val="none"/>
                <w:lang w:val="en-US" w:eastAsia="zh-CN"/>
              </w:rPr>
            </w:pPr>
            <w:r>
              <w:rPr>
                <w:rFonts w:hint="default" w:ascii="Times New Roman" w:hAnsi="Times New Roman" w:cs="Times New Roman"/>
                <w:color w:val="FF0000"/>
                <w:sz w:val="24"/>
                <w:highlight w:val="none"/>
                <w:lang w:val="en-US" w:eastAsia="zh-CN"/>
              </w:rPr>
              <w:t>②实验用水</w:t>
            </w:r>
          </w:p>
          <w:p>
            <w:pPr>
              <w:pStyle w:val="119"/>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根据建设单位提供技术资料，项目实验用水主要包括试剂配制用水、器皿清洗用水。试剂配制用水和器皿清洗用水均使用纯水，类比同行业环境检测实验数据，试剂配制用水量约为5m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/a，器皿清洗用纯水量量约为13m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FF0000"/>
                <w:sz w:val="24"/>
                <w:highlight w:val="none"/>
                <w:lang w:val="en-US" w:eastAsia="zh-CN"/>
              </w:rPr>
              <w:t>③生活用水</w:t>
            </w:r>
          </w:p>
          <w:p>
            <w:pPr>
              <w:pStyle w:val="119"/>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本项目职工定员10人，员工不在内食宿，用水量参考《甘肃省行业用水定额》（2023）中“城镇居民生活”用水量标准，本次评价取100L/人·d，项目年运行时间250天，则项目用水量为1m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/d，330m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object>
                <v:shape id="_x0000_i1025" o:spt="75" type="#_x0000_t75" style="height:190pt;width:356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pStyle w:val="53"/>
              <w:adjustRightInd w:val="0"/>
              <w:snapToGrid w:val="0"/>
              <w:spacing w:line="360" w:lineRule="auto"/>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图2-1  项目水平衡图</w:t>
            </w:r>
          </w:p>
          <w:p>
            <w:pPr>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（2）排水</w:t>
            </w:r>
          </w:p>
          <w:p>
            <w:pPr>
              <w:pStyle w:val="119"/>
              <w:jc w:val="left"/>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本项目废水主要为纯水制备废水、实验废水、地面清洁废水和职工生活污水。</w:t>
            </w:r>
          </w:p>
          <w:p>
            <w:pPr>
              <w:pStyle w:val="119"/>
              <w:jc w:val="left"/>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①纯水制备废水</w:t>
            </w:r>
          </w:p>
          <w:p>
            <w:pPr>
              <w:pStyle w:val="119"/>
              <w:jc w:val="left"/>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项目纯水制备装置产生的排污水量为4.5m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/a，经废水处理设备处理后，进入排水管道排入市政污水管网。</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②实验废水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实验废液：实验废液包括配置废水和废液体溶剂。实验废液产生量为4.06m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a、实验配制废水：实验配制废水产生量按用水量的80%计，则实验配制废水产生量为4m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b、废液体溶剂：根据表2-5项目的原辅材料一览表可知，本项目使用液体溶剂量约为0.06m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/a。本项目废液体溶剂产生量按100%计，则废液体溶剂产生量为0.06m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②器皿清洗废水：器皿清洗废水产生量按用水量的80%计，则器皿清洗废水产生量为10.4m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③职工生活污水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项目生活污水产生量按生活用水量的80%计，则生活污水产生量为264m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④地面清洁污水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地面清洁废水产生量按用水量的80%计，即地面清洁废水产生量约为12.8m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spacing w:line="360" w:lineRule="auto"/>
              <w:ind w:firstLine="480" w:firstLineChars="200"/>
              <w:jc w:val="both"/>
              <w:rPr>
                <w:rFonts w:hint="default" w:ascii="Times New Roman" w:hAnsi="Times New Roman" w:eastAsia="宋体" w:cs="Times New Roman"/>
                <w:color w:val="FF0000"/>
                <w:sz w:val="24"/>
                <w:highlight w:val="none"/>
                <w:lang w:eastAsia="zh-CN"/>
              </w:rPr>
            </w:pP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3</w:t>
            </w: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供电</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本项目供电由宁县市政电网接入供给。</w:t>
            </w:r>
          </w:p>
          <w:p>
            <w:pPr>
              <w:spacing w:line="360" w:lineRule="auto"/>
              <w:ind w:firstLine="480" w:firstLineChars="200"/>
              <w:jc w:val="both"/>
              <w:rPr>
                <w:rFonts w:hint="default" w:ascii="Times New Roman" w:hAnsi="Times New Roman" w:eastAsia="宋体" w:cs="Times New Roman"/>
                <w:color w:val="FF0000"/>
                <w:sz w:val="24"/>
                <w:highlight w:val="none"/>
                <w:lang w:eastAsia="zh-CN"/>
              </w:rPr>
            </w:pP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4</w:t>
            </w: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供热</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本项目供暖由宁县城区集中供热站供给。</w:t>
            </w:r>
          </w:p>
          <w:p>
            <w:pPr>
              <w:spacing w:line="360" w:lineRule="auto"/>
              <w:rPr>
                <w:rFonts w:hint="default" w:ascii="Times New Roman" w:hAnsi="Times New Roman" w:eastAsia="宋体" w:cs="Times New Roman"/>
                <w:b/>
                <w:color w:val="FF0000"/>
                <w:sz w:val="24"/>
                <w:szCs w:val="24"/>
                <w:lang w:eastAsia="zh-CN"/>
              </w:rPr>
            </w:pPr>
            <w:r>
              <w:rPr>
                <w:rFonts w:hint="default" w:ascii="Times New Roman" w:hAnsi="Times New Roman" w:eastAsia="宋体" w:cs="Times New Roman"/>
                <w:b/>
                <w:color w:val="FF0000"/>
                <w:sz w:val="24"/>
                <w:szCs w:val="24"/>
                <w:lang w:eastAsia="zh-CN"/>
              </w:rPr>
              <w:t>7、劳动定员及工作制度</w:t>
            </w:r>
          </w:p>
          <w:p>
            <w:pPr>
              <w:rPr>
                <w:rFonts w:hint="default" w:ascii="Times New Roman" w:hAnsi="Times New Roman" w:cs="Times New Roman"/>
              </w:rPr>
            </w:pPr>
            <w:r>
              <w:rPr>
                <w:rFonts w:hint="default" w:ascii="Times New Roman" w:hAnsi="Times New Roman" w:eastAsia="宋体" w:cs="Times New Roman"/>
                <w:color w:val="FF0000"/>
                <w:spacing w:val="-2"/>
                <w:sz w:val="24"/>
                <w:szCs w:val="24"/>
                <w:lang w:eastAsia="zh-CN"/>
              </w:rPr>
              <w:tab/>
            </w:r>
            <w:r>
              <w:rPr>
                <w:rFonts w:hint="default" w:ascii="Times New Roman" w:hAnsi="Times New Roman" w:eastAsia="宋体" w:cs="Times New Roman"/>
                <w:color w:val="FF0000"/>
                <w:spacing w:val="-2"/>
                <w:sz w:val="24"/>
                <w:szCs w:val="24"/>
                <w:lang w:eastAsia="zh-CN"/>
              </w:rPr>
              <w:t>项目定员</w:t>
            </w:r>
            <w:r>
              <w:rPr>
                <w:rFonts w:hint="default" w:ascii="Times New Roman" w:hAnsi="Times New Roman" w:eastAsia="宋体" w:cs="Times New Roman"/>
                <w:color w:val="FF0000"/>
                <w:spacing w:val="-2"/>
                <w:sz w:val="24"/>
                <w:szCs w:val="24"/>
                <w:lang w:val="en-US" w:eastAsia="zh-CN"/>
              </w:rPr>
              <w:t>10</w:t>
            </w:r>
            <w:r>
              <w:rPr>
                <w:rFonts w:hint="default" w:ascii="Times New Roman" w:hAnsi="Times New Roman" w:eastAsia="宋体" w:cs="Times New Roman"/>
                <w:color w:val="FF0000"/>
                <w:spacing w:val="-2"/>
                <w:sz w:val="24"/>
                <w:szCs w:val="24"/>
                <w:lang w:eastAsia="zh-CN"/>
              </w:rPr>
              <w:t>人，年工作</w:t>
            </w:r>
            <w:r>
              <w:rPr>
                <w:rFonts w:hint="default" w:ascii="Times New Roman" w:hAnsi="Times New Roman" w:eastAsia="宋体" w:cs="Times New Roman"/>
                <w:color w:val="FF0000"/>
                <w:spacing w:val="-2"/>
                <w:sz w:val="24"/>
                <w:szCs w:val="24"/>
                <w:lang w:val="en-US" w:eastAsia="zh-CN"/>
              </w:rPr>
              <w:t>250</w:t>
            </w:r>
            <w:r>
              <w:rPr>
                <w:rFonts w:hint="default" w:ascii="Times New Roman" w:hAnsi="Times New Roman" w:eastAsia="宋体" w:cs="Times New Roman"/>
                <w:color w:val="FF0000"/>
                <w:spacing w:val="-2"/>
                <w:sz w:val="24"/>
                <w:szCs w:val="24"/>
                <w:lang w:eastAsia="zh-CN"/>
              </w:rPr>
              <w:t>天，每天工作8小时。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572" w:type="dxa"/>
            <w:vAlign w:val="center"/>
          </w:tcPr>
          <w:p>
            <w:pPr>
              <w:pStyle w:val="37"/>
              <w:ind w:right="1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工艺流程和产排污环节</w:t>
            </w:r>
          </w:p>
        </w:tc>
        <w:tc>
          <w:tcPr>
            <w:tcW w:w="8789" w:type="dxa"/>
          </w:tcPr>
          <w:p>
            <w:pPr>
              <w:numPr>
                <w:ilvl w:val="0"/>
                <w:numId w:val="4"/>
              </w:numPr>
              <w:adjustRightInd w:val="0"/>
              <w:snapToGrid w:val="0"/>
              <w:spacing w:line="360" w:lineRule="auto"/>
              <w:rPr>
                <w:rFonts w:hint="default" w:ascii="Times New Roman" w:hAnsi="Times New Roman" w:eastAsia="宋体" w:cs="Times New Roman"/>
                <w:lang w:eastAsia="zh-CN"/>
              </w:rPr>
            </w:pPr>
            <w:r>
              <w:rPr>
                <w:rFonts w:hint="default" w:ascii="Times New Roman" w:hAnsi="Times New Roman" w:eastAsia="宋体" w:cs="Times New Roman"/>
                <w:b/>
                <w:sz w:val="24"/>
                <w:lang w:eastAsia="zh-CN"/>
              </w:rPr>
              <w:t>施工期工艺流程简述（图示）</w:t>
            </w:r>
            <w:r>
              <w:rPr>
                <w:rFonts w:hint="default" w:ascii="Times New Roman" w:hAnsi="Times New Roman" w:eastAsia="宋体" w:cs="Times New Roman"/>
                <w:lang w:eastAsia="zh-CN"/>
              </w:rPr>
              <w:t>：</w:t>
            </w:r>
          </w:p>
          <w:p>
            <w:pPr>
              <w:pStyle w:val="10"/>
              <w:numPr>
                <w:ilvl w:val="0"/>
                <w:numId w:val="0"/>
              </w:numPr>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drawing>
                <wp:anchor distT="0" distB="0" distL="114300" distR="114300" simplePos="0" relativeHeight="251661312" behindDoc="0" locked="0" layoutInCell="1" allowOverlap="1">
                  <wp:simplePos x="0" y="0"/>
                  <wp:positionH relativeFrom="page">
                    <wp:posOffset>41910</wp:posOffset>
                  </wp:positionH>
                  <wp:positionV relativeFrom="paragraph">
                    <wp:posOffset>1511935</wp:posOffset>
                  </wp:positionV>
                  <wp:extent cx="5255895" cy="2345690"/>
                  <wp:effectExtent l="0" t="0" r="1905" b="16510"/>
                  <wp:wrapTopAndBottom/>
                  <wp:docPr id="4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a:picLocks noChangeAspect="1"/>
                          </pic:cNvPicPr>
                        </pic:nvPicPr>
                        <pic:blipFill>
                          <a:blip r:embed="rId10"/>
                          <a:stretch>
                            <a:fillRect/>
                          </a:stretch>
                        </pic:blipFill>
                        <pic:spPr>
                          <a:xfrm>
                            <a:off x="0" y="0"/>
                            <a:ext cx="5255895" cy="2345690"/>
                          </a:xfrm>
                          <a:prstGeom prst="rect">
                            <a:avLst/>
                          </a:prstGeom>
                          <a:noFill/>
                          <a:ln>
                            <a:noFill/>
                          </a:ln>
                        </pic:spPr>
                      </pic:pic>
                    </a:graphicData>
                  </a:graphic>
                </wp:anchor>
              </w:drawing>
            </w:r>
            <w:r>
              <w:rPr>
                <w:rFonts w:hint="default" w:ascii="Times New Roman" w:hAnsi="Times New Roman" w:eastAsia="宋体" w:cs="Times New Roman"/>
                <w:sz w:val="24"/>
                <w:szCs w:val="24"/>
              </w:rPr>
              <w:t>本项目办公实验用房</w:t>
            </w:r>
            <w:r>
              <w:rPr>
                <w:rFonts w:hint="default" w:ascii="Times New Roman" w:hAnsi="Times New Roman" w:eastAsia="宋体" w:cs="Times New Roman"/>
                <w:sz w:val="24"/>
                <w:szCs w:val="24"/>
                <w:lang w:eastAsia="zh-CN"/>
              </w:rPr>
              <w:t>已建成</w:t>
            </w:r>
            <w:r>
              <w:rPr>
                <w:rFonts w:hint="default" w:ascii="Times New Roman" w:hAnsi="Times New Roman" w:eastAsia="宋体" w:cs="Times New Roman"/>
                <w:sz w:val="24"/>
                <w:szCs w:val="24"/>
              </w:rPr>
              <w:t>，不存在土建工程，施工内容仅有水电气路改造和通风系统、实验室仪器设备安装，对环境产生的影响较小，施工期全过程按作业性质可以分为下列几个阶段：内部改造、内部装修工程阶段、设备设施安装工程等。因此，在施工装修过程中产生的污染主要为扬尘、噪声、装修固体废物、生活污水、生活垃圾等。</w:t>
            </w:r>
          </w:p>
          <w:p>
            <w:pPr>
              <w:widowControl/>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图</w:t>
            </w:r>
            <w:r>
              <w:rPr>
                <w:rFonts w:hint="default" w:ascii="Times New Roman" w:hAnsi="Times New Roman" w:eastAsia="宋体" w:cs="Times New Roman"/>
                <w:b/>
                <w:bCs/>
                <w:sz w:val="24"/>
                <w:szCs w:val="24"/>
                <w:lang w:eastAsia="zh-CN"/>
              </w:rPr>
              <w:t>2</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eastAsia="zh-CN"/>
              </w:rPr>
              <w:t xml:space="preserve">2    </w:t>
            </w:r>
            <w:r>
              <w:rPr>
                <w:rFonts w:hint="default" w:ascii="Times New Roman" w:hAnsi="Times New Roman" w:eastAsia="宋体" w:cs="Times New Roman"/>
                <w:b/>
                <w:bCs/>
                <w:sz w:val="24"/>
                <w:szCs w:val="24"/>
              </w:rPr>
              <w:t>施工期工艺流程与污染产生环节</w:t>
            </w:r>
            <w:r>
              <w:rPr>
                <w:rFonts w:hint="default" w:ascii="Times New Roman" w:hAnsi="Times New Roman" w:eastAsia="宋体" w:cs="Times New Roman"/>
                <w:b/>
                <w:bCs/>
                <w:sz w:val="24"/>
                <w:szCs w:val="24"/>
                <w:lang w:val="en-US" w:eastAsia="zh-CN"/>
              </w:rPr>
              <w:t>图</w:t>
            </w:r>
          </w:p>
          <w:p>
            <w:pPr>
              <w:adjustRightInd w:val="0"/>
              <w:snapToGrid w:val="0"/>
              <w:spacing w:line="360" w:lineRule="auto"/>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2、运营期工艺流程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 xml:space="preserve">（1）运营期检测流程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 xml:space="preserve">本项目主要进行水质常规理化检测、环境空气常规理化检测、废气常规理化检测、重金属检测等技术服务，其服务流程及产污环节分述如下：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1）水质样品检测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本项目水质检测过程如下：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cs="Times New Roman"/>
                <w:color w:val="FF0000"/>
              </w:rPr>
              <w:drawing>
                <wp:inline distT="0" distB="0" distL="114300" distR="114300">
                  <wp:extent cx="5043170" cy="1369695"/>
                  <wp:effectExtent l="0" t="0" r="11430" b="190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1"/>
                          <a:stretch>
                            <a:fillRect/>
                          </a:stretch>
                        </pic:blipFill>
                        <pic:spPr>
                          <a:xfrm>
                            <a:off x="0" y="0"/>
                            <a:ext cx="5043170" cy="1369695"/>
                          </a:xfrm>
                          <a:prstGeom prst="rect">
                            <a:avLst/>
                          </a:prstGeom>
                          <a:noFill/>
                          <a:ln>
                            <a:noFill/>
                          </a:ln>
                        </pic:spPr>
                      </pic:pic>
                    </a:graphicData>
                  </a:graphic>
                </wp:inline>
              </w:drawing>
            </w:r>
          </w:p>
          <w:p>
            <w:pPr>
              <w:widowControl/>
              <w:jc w:val="center"/>
              <w:rPr>
                <w:rFonts w:hint="default" w:ascii="Times New Roman" w:hAnsi="Times New Roman" w:eastAsia="宋体" w:cs="Times New Roman"/>
                <w:b/>
                <w:bCs/>
                <w:color w:val="FF0000"/>
                <w:sz w:val="24"/>
                <w:szCs w:val="24"/>
              </w:rPr>
            </w:pPr>
            <w:r>
              <w:rPr>
                <w:rFonts w:hint="default" w:ascii="Times New Roman" w:hAnsi="Times New Roman" w:eastAsia="宋体" w:cs="Times New Roman"/>
                <w:b/>
                <w:bCs/>
                <w:color w:val="FF0000"/>
                <w:sz w:val="24"/>
                <w:szCs w:val="24"/>
              </w:rPr>
              <w:t>图2-</w:t>
            </w:r>
            <w:r>
              <w:rPr>
                <w:rFonts w:hint="default" w:ascii="Times New Roman" w:hAnsi="Times New Roman" w:eastAsia="宋体" w:cs="Times New Roman"/>
                <w:b/>
                <w:bCs/>
                <w:color w:val="FF0000"/>
                <w:sz w:val="24"/>
                <w:szCs w:val="24"/>
                <w:lang w:val="en-US" w:eastAsia="zh-CN"/>
              </w:rPr>
              <w:t>3</w:t>
            </w:r>
            <w:r>
              <w:rPr>
                <w:rFonts w:hint="default" w:ascii="Times New Roman" w:hAnsi="Times New Roman" w:eastAsia="宋体" w:cs="Times New Roman"/>
                <w:b/>
                <w:bCs/>
                <w:color w:val="FF0000"/>
                <w:sz w:val="24"/>
                <w:szCs w:val="24"/>
              </w:rPr>
              <w:t xml:space="preserve">  </w:t>
            </w:r>
            <w:r>
              <w:rPr>
                <w:rFonts w:hint="default" w:ascii="Times New Roman" w:hAnsi="Times New Roman" w:eastAsia="宋体" w:cs="Times New Roman"/>
                <w:b/>
                <w:bCs/>
                <w:color w:val="FF0000"/>
                <w:sz w:val="24"/>
                <w:szCs w:val="24"/>
                <w:lang w:val="en-US" w:eastAsia="zh-CN"/>
              </w:rPr>
              <w:t>水质检测</w:t>
            </w:r>
            <w:r>
              <w:rPr>
                <w:rFonts w:hint="default" w:ascii="Times New Roman" w:hAnsi="Times New Roman" w:eastAsia="宋体" w:cs="Times New Roman"/>
                <w:b/>
                <w:bCs/>
                <w:color w:val="FF0000"/>
                <w:sz w:val="24"/>
                <w:szCs w:val="24"/>
              </w:rPr>
              <w:t>工艺流程及产污节点图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工艺简述：接受客户检测委托后，到指定地点采集样品，对水质样品进行接收和登记，并验收标本的登记及完整性等，然后将样品交由实验室进行处理；水质样品先经过蒸馏或萃取后，并同时绘制曲线，然后再进行检测分析，根据检测结果处理数据，出具检测报告，交给客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2）气体样品检验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本项目气体样品检测流程如下</w:t>
            </w:r>
            <w:r>
              <w:rPr>
                <w:rFonts w:hint="default" w:ascii="Times New Roman" w:hAnsi="Times New Roman" w:cs="Times New Roman"/>
                <w:color w:val="FF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20" w:firstLineChars="100"/>
              <w:jc w:val="center"/>
              <w:textAlignment w:val="auto"/>
              <w:rPr>
                <w:rFonts w:hint="default" w:ascii="Times New Roman" w:hAnsi="Times New Roman" w:eastAsia="宋体" w:cs="Times New Roman"/>
                <w:b/>
                <w:bCs/>
                <w:color w:val="FF0000"/>
                <w:sz w:val="24"/>
                <w:szCs w:val="24"/>
                <w:lang w:val="en-US" w:eastAsia="zh-CN"/>
              </w:rPr>
            </w:pPr>
            <w:r>
              <w:rPr>
                <w:rFonts w:hint="default" w:ascii="Times New Roman" w:hAnsi="Times New Roman" w:cs="Times New Roman"/>
                <w:color w:val="FF0000"/>
              </w:rPr>
              <w:drawing>
                <wp:inline distT="0" distB="0" distL="114300" distR="114300">
                  <wp:extent cx="5043805" cy="947420"/>
                  <wp:effectExtent l="0" t="0" r="10795" b="508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2"/>
                          <a:stretch>
                            <a:fillRect/>
                          </a:stretch>
                        </pic:blipFill>
                        <pic:spPr>
                          <a:xfrm>
                            <a:off x="0" y="0"/>
                            <a:ext cx="5043805" cy="947420"/>
                          </a:xfrm>
                          <a:prstGeom prst="rect">
                            <a:avLst/>
                          </a:prstGeom>
                          <a:noFill/>
                          <a:ln>
                            <a:noFill/>
                          </a:ln>
                        </pic:spPr>
                      </pic:pic>
                    </a:graphicData>
                  </a:graphic>
                </wp:inline>
              </w:drawing>
            </w:r>
          </w:p>
          <w:p>
            <w:pPr>
              <w:widowControl/>
              <w:jc w:val="center"/>
              <w:rPr>
                <w:rFonts w:hint="default" w:ascii="Times New Roman" w:hAnsi="Times New Roman" w:eastAsia="宋体" w:cs="Times New Roman"/>
                <w:b/>
                <w:bCs/>
                <w:color w:val="FF0000"/>
                <w:sz w:val="24"/>
                <w:szCs w:val="24"/>
              </w:rPr>
            </w:pPr>
            <w:r>
              <w:rPr>
                <w:rFonts w:hint="default" w:ascii="Times New Roman" w:hAnsi="Times New Roman" w:eastAsia="宋体" w:cs="Times New Roman"/>
                <w:b/>
                <w:bCs/>
                <w:color w:val="FF0000"/>
                <w:sz w:val="24"/>
                <w:szCs w:val="24"/>
              </w:rPr>
              <w:t>图2-</w:t>
            </w:r>
            <w:r>
              <w:rPr>
                <w:rFonts w:hint="default" w:ascii="Times New Roman" w:hAnsi="Times New Roman" w:eastAsia="宋体" w:cs="Times New Roman"/>
                <w:b/>
                <w:bCs/>
                <w:color w:val="FF0000"/>
                <w:sz w:val="24"/>
                <w:szCs w:val="24"/>
                <w:lang w:val="en-US" w:eastAsia="zh-CN"/>
              </w:rPr>
              <w:t>4</w:t>
            </w:r>
            <w:r>
              <w:rPr>
                <w:rFonts w:hint="default" w:ascii="Times New Roman" w:hAnsi="Times New Roman" w:eastAsia="宋体" w:cs="Times New Roman"/>
                <w:b/>
                <w:bCs/>
                <w:color w:val="FF0000"/>
                <w:sz w:val="24"/>
                <w:szCs w:val="24"/>
              </w:rPr>
              <w:t xml:space="preserve">  </w:t>
            </w:r>
            <w:r>
              <w:rPr>
                <w:rFonts w:hint="default" w:ascii="Times New Roman" w:hAnsi="Times New Roman" w:eastAsia="宋体" w:cs="Times New Roman"/>
                <w:b/>
                <w:bCs/>
                <w:color w:val="FF0000"/>
                <w:sz w:val="24"/>
                <w:szCs w:val="24"/>
                <w:lang w:val="en-US" w:eastAsia="zh-CN"/>
              </w:rPr>
              <w:t>气体质检测</w:t>
            </w:r>
            <w:r>
              <w:rPr>
                <w:rFonts w:hint="default" w:ascii="Times New Roman" w:hAnsi="Times New Roman" w:eastAsia="宋体" w:cs="Times New Roman"/>
                <w:b/>
                <w:bCs/>
                <w:color w:val="FF0000"/>
                <w:sz w:val="24"/>
                <w:szCs w:val="24"/>
              </w:rPr>
              <w:t>工艺流程及产污节点图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FF0000"/>
                <w:sz w:val="24"/>
                <w:szCs w:val="24"/>
                <w:lang w:val="en-US" w:eastAsia="zh-CN"/>
              </w:rPr>
            </w:pPr>
            <w:r>
              <w:rPr>
                <w:rFonts w:hint="default" w:ascii="Times New Roman" w:hAnsi="Times New Roman" w:eastAsia="宋体" w:cs="Times New Roman"/>
                <w:color w:val="FF0000"/>
                <w:kern w:val="0"/>
                <w:sz w:val="24"/>
                <w:szCs w:val="24"/>
                <w:lang w:val="en-US" w:eastAsia="zh-CN"/>
              </w:rPr>
              <w:t>工艺简述：接受客户检测委托后，到指定地点采集样品，然后进行前处理，并同时绘制曲线，然后再进行检测，根据检测结果处理数据，出具检测报告，交给客户。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FF0000"/>
                <w:sz w:val="24"/>
                <w:szCs w:val="24"/>
                <w:lang w:val="en-US" w:eastAsia="zh-CN"/>
              </w:rPr>
            </w:pPr>
            <w:r>
              <w:rPr>
                <w:rFonts w:hint="default" w:ascii="Times New Roman" w:hAnsi="Times New Roman" w:cs="Times New Roman"/>
                <w:b w:val="0"/>
                <w:bCs w:val="0"/>
                <w:color w:val="FF0000"/>
                <w:sz w:val="24"/>
                <w:szCs w:val="24"/>
                <w:lang w:val="en-US" w:eastAsia="zh-CN"/>
              </w:rPr>
              <w:t>（2）实验室检测方法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 xml:space="preserve">实验室涉及的主要检测方法如下：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 xml:space="preserve">1）化学分析法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化学分析又称为经典分析，以物质的化学反应为基础，根据样品的量、反应产物的量或所消耗试剂的量及反应的化学计量关系，通过计算得待测组分的量。化学分析根据其操作方法的不同，可将其分为滴定分析和重量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 xml:space="preserve">①滴定分析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根据滴定所消耗标准溶液的浓度和体积以及被测物质与标准溶液所进行的化学反应计量关系，求出被测物质的含量。滴定分析利用了溶液的四大平衡关系：酸碱（电离）平衡、氧化还原平衡、络合（配位）平衡、沉淀溶解平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②重量分析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根据物质的化学性质，选择合适的化学反应，将被测组分转化为一种组成固定的沉淀或气体形式，通过钝化、干燥、灼烧或吸收剂的吸收等一系列的处理后，精确称量，求出被测组分的含量。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2）电化学分析法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根据溶液中物质的电化学性质及其变化规律，建立在以电位、电导、电流和电量等电学量与被测物质某些量之间的计量关系的基础之上，对组分进行定性和定量的仪器分析方法。电化学分析法概括起来一般可以分为三大类。第一类是通过试液的浓度在特定实验条件下与化学电池某一电参数之间的关系求得分析结果的方法。这是电化学分析法的主要类型，电导分析法、库仑分析法、电位法、伏安法和极谱分析法等，均属于这种类型</w:t>
            </w:r>
            <w:r>
              <w:rPr>
                <w:rFonts w:hint="default" w:ascii="Times New Roman" w:hAnsi="Times New Roman" w:cs="Times New Roman"/>
                <w:color w:val="FF0000"/>
                <w:kern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第二类是利用电参数的变化来指示容量分析终点的方法。这类方法仍然以容量分析为基础，根据所用标准溶液的浓度和消耗的体积求出分析结果</w:t>
            </w:r>
            <w:r>
              <w:rPr>
                <w:rFonts w:hint="default" w:ascii="Times New Roman" w:hAnsi="Times New Roman" w:cs="Times New Roman"/>
                <w:color w:val="FF0000"/>
                <w:kern w:val="0"/>
                <w:sz w:val="24"/>
                <w:szCs w:val="24"/>
                <w:lang w:val="en-US" w:eastAsia="zh-CN"/>
              </w:rPr>
              <w:t>。</w:t>
            </w:r>
            <w:r>
              <w:rPr>
                <w:rFonts w:hint="default" w:ascii="Times New Roman" w:hAnsi="Times New Roman" w:eastAsia="宋体" w:cs="Times New Roman"/>
                <w:color w:val="FF0000"/>
                <w:kern w:val="0"/>
                <w:sz w:val="24"/>
                <w:szCs w:val="24"/>
                <w:lang w:val="en-US" w:eastAsia="zh-CN"/>
              </w:rPr>
              <w:t xml:space="preserve">这类方法根据所测定的电参数不同而分为电导滴定，电位滴定和电流滴定法。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第三类是电重量法，或称电解分析法。这类方法将直流电流通过试液，使被测组分在电极上还原沉积析出与共存组分分离，然后再对电极上的析出物进行重量分析以求出被测组分的含量。离子选择电极法是一类利用膜电位测定溶液中离子活度或浓度的电化学方法。离子选择电极是膜电极，其核心部件是电极尖端的感应膜。按构造可分为固体膜电极、液膜电极和隔膜电极。离子选择电极具有将溶液中某种特定离子的活度转化成一定电位的能力，其电位与溶液中给定离子活度的对数成线性关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3）比色法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比色法是以生成有色化合物的显色反应为基础，通过比较或测量有色物质溶液颜色深度来确定待测组分含量的方法。比色分析对显色反应的基本要求是：反应应当具有较高的灵敏度和选择性，反应生成的有色化合物的组成恒定且较稳定，它和显色剂的颜色差别较大。选择适当的显色反应和控制好适宜的反应条件，是比色分析的关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常用的比色法有两种：目视比色法和光电比色法，两种方法都是以朗伯—比尔定律为基础。常用的目视比色法是标准系列法，即用不同量的待测物标准溶液在完全相同的一组比色管中，先按分析步骤显色，配成颜色逐渐递变的标准色阶。试样溶液也在完全相同条件下显色，和标准色阶作比较，目视找出色泽最相近的那一份标准，由其中所含标准溶液的量，计算确定试样中待测组分的含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4）分光光度法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eastAsia="宋体" w:cs="Times New Roman"/>
                <w:color w:val="FF0000"/>
                <w:kern w:val="0"/>
                <w:sz w:val="24"/>
                <w:szCs w:val="24"/>
                <w:lang w:val="en-US" w:eastAsia="zh-CN"/>
              </w:rPr>
              <w:t>也称为吸收光谱法，是通过测定被测物质在特定波长处或一定波长范围内光的吸收度，对该物质进行定性和定量分析的方法。在分光光度计中，将不同波长的光连续地照射到一定浓度的样品溶液时，便可得到与众不同波长相对应的吸收强度。如以波长（λ）为横坐标，吸收强度（A）为纵坐标，就可绘出该物质的吸收光谱曲线。利用该曲线进行物 质的定性、定量的分析方法。用紫外光源测定无色物质的方法，称为紫外分光光度法；用可见光光源测定有色物质的方法，称为可见光光度法。紫外光区与可见光区是常用的。但分光光度法的应用光区包括紫外光区（200～400nm），可见光区（400～760nm），红外光区（2.5～25μ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572" w:type="dxa"/>
            <w:vAlign w:val="center"/>
          </w:tcPr>
          <w:p>
            <w:pPr>
              <w:adjustRightInd w:val="0"/>
              <w:snapToGrid w:val="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与项目有关的原有污染问题</w:t>
            </w:r>
          </w:p>
        </w:tc>
        <w:tc>
          <w:tcPr>
            <w:tcW w:w="8789" w:type="dxa"/>
          </w:tcPr>
          <w:p>
            <w:pPr>
              <w:adjustRightInd w:val="0"/>
              <w:snapToGrid w:val="0"/>
              <w:spacing w:line="360" w:lineRule="auto"/>
              <w:rPr>
                <w:rFonts w:hint="default" w:ascii="Times New Roman" w:hAnsi="Times New Roman" w:eastAsia="宋体" w:cs="Times New Roman"/>
                <w:b/>
                <w:sz w:val="24"/>
                <w:lang w:eastAsia="zh-CN"/>
              </w:rPr>
            </w:pPr>
          </w:p>
          <w:p>
            <w:pPr>
              <w:pStyle w:val="7"/>
              <w:widowControl/>
              <w:spacing w:line="360" w:lineRule="auto"/>
              <w:ind w:firstLine="480"/>
              <w:rPr>
                <w:rFonts w:hint="default" w:ascii="Times New Roman" w:hAnsi="Times New Roman" w:cs="Times New Roman"/>
                <w:color w:val="FF0000"/>
                <w:kern w:val="0"/>
                <w:sz w:val="24"/>
              </w:rPr>
            </w:pPr>
            <w:r>
              <w:rPr>
                <w:rFonts w:hint="default" w:ascii="Times New Roman" w:hAnsi="Times New Roman" w:eastAsia="宋体" w:cs="Times New Roman"/>
                <w:color w:val="FF0000"/>
                <w:kern w:val="0"/>
                <w:sz w:val="24"/>
                <w:szCs w:val="24"/>
                <w:lang w:val="en-US" w:eastAsia="zh-CN"/>
              </w:rPr>
              <w:t>本项目位于</w:t>
            </w:r>
            <w:r>
              <w:rPr>
                <w:rFonts w:hint="default" w:ascii="Times New Roman" w:hAnsi="Times New Roman" w:cs="Times New Roman"/>
                <w:color w:val="FF0000"/>
                <w:kern w:val="0"/>
                <w:sz w:val="24"/>
                <w:szCs w:val="24"/>
                <w:lang w:val="en-US" w:eastAsia="zh-CN"/>
              </w:rPr>
              <w:t>庆阳市</w:t>
            </w:r>
            <w:r>
              <w:rPr>
                <w:rFonts w:hint="default" w:ascii="Times New Roman" w:hAnsi="Times New Roman" w:eastAsia="宋体" w:cs="Times New Roman"/>
                <w:color w:val="FF0000"/>
                <w:sz w:val="24"/>
                <w:lang w:eastAsia="zh-CN"/>
              </w:rPr>
              <w:t>宁县辑宁北路东城社区3号1栋</w:t>
            </w:r>
            <w:r>
              <w:rPr>
                <w:rFonts w:hint="default" w:ascii="Times New Roman" w:hAnsi="Times New Roman" w:eastAsia="宋体" w:cs="Times New Roman"/>
                <w:color w:val="FF0000"/>
                <w:kern w:val="0"/>
                <w:sz w:val="24"/>
                <w:szCs w:val="24"/>
                <w:lang w:val="en-US" w:eastAsia="zh-CN"/>
              </w:rPr>
              <w:t>，</w:t>
            </w:r>
            <w:r>
              <w:rPr>
                <w:rFonts w:hint="default" w:ascii="Times New Roman" w:hAnsi="Times New Roman" w:cs="Times New Roman"/>
                <w:color w:val="FF0000"/>
                <w:kern w:val="0"/>
                <w:sz w:val="24"/>
                <w:szCs w:val="24"/>
                <w:lang w:val="en-US" w:eastAsia="zh-CN"/>
              </w:rPr>
              <w:t>利</w:t>
            </w:r>
            <w:r>
              <w:rPr>
                <w:rFonts w:hint="default" w:ascii="Times New Roman" w:hAnsi="Times New Roman" w:eastAsia="宋体" w:cs="Times New Roman"/>
                <w:color w:val="FF0000"/>
                <w:kern w:val="0"/>
                <w:sz w:val="24"/>
                <w:szCs w:val="24"/>
                <w:lang w:val="en-US" w:eastAsia="zh-CN"/>
              </w:rPr>
              <w:t>用</w:t>
            </w:r>
            <w:r>
              <w:rPr>
                <w:rFonts w:hint="default" w:ascii="Times New Roman" w:hAnsi="Times New Roman" w:cs="Times New Roman"/>
                <w:color w:val="FF0000"/>
                <w:kern w:val="0"/>
                <w:sz w:val="24"/>
                <w:szCs w:val="24"/>
                <w:lang w:val="en-US" w:eastAsia="zh-CN"/>
              </w:rPr>
              <w:t>庆阳市生态环境局宁县分局办公楼西楼，</w:t>
            </w:r>
            <w:r>
              <w:rPr>
                <w:rFonts w:hint="default" w:ascii="Times New Roman" w:hAnsi="Times New Roman" w:eastAsia="宋体" w:cs="Times New Roman"/>
                <w:color w:val="FF0000"/>
                <w:kern w:val="0"/>
                <w:sz w:val="24"/>
                <w:szCs w:val="24"/>
                <w:lang w:val="en-US" w:eastAsia="zh-CN"/>
              </w:rPr>
              <w:t>本项目</w:t>
            </w:r>
            <w:r>
              <w:rPr>
                <w:rFonts w:hint="default" w:ascii="Times New Roman" w:hAnsi="Times New Roman" w:cs="Times New Roman"/>
                <w:color w:val="FF0000"/>
                <w:kern w:val="0"/>
                <w:sz w:val="24"/>
                <w:szCs w:val="24"/>
                <w:lang w:val="en-US" w:eastAsia="zh-CN"/>
              </w:rPr>
              <w:t>用房</w:t>
            </w:r>
            <w:r>
              <w:rPr>
                <w:rFonts w:hint="default" w:ascii="Times New Roman" w:hAnsi="Times New Roman" w:eastAsia="宋体" w:cs="Times New Roman"/>
                <w:color w:val="FF0000"/>
                <w:kern w:val="0"/>
                <w:sz w:val="24"/>
                <w:szCs w:val="24"/>
                <w:lang w:val="en-US" w:eastAsia="zh-CN"/>
              </w:rPr>
              <w:t>未经任何生产或办公使用，本项目为新建项目，不存在遗留的环境问题。</w:t>
            </w:r>
          </w:p>
          <w:p>
            <w:pPr>
              <w:pStyle w:val="24"/>
              <w:jc w:val="left"/>
              <w:rPr>
                <w:rFonts w:hint="default" w:ascii="Times New Roman" w:hAnsi="Times New Roman" w:eastAsia="宋体" w:cs="Times New Roman"/>
                <w:color w:val="FF0000"/>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eastAsia="宋体" w:cs="Times New Roman"/>
                <w:sz w:val="24"/>
                <w:szCs w:val="24"/>
                <w:lang w:eastAsia="zh-CN"/>
              </w:rPr>
            </w:pPr>
          </w:p>
          <w:p>
            <w:pPr>
              <w:pStyle w:val="11"/>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pStyle w:val="10"/>
              <w:rPr>
                <w:rFonts w:hint="default" w:ascii="Times New Roman" w:hAnsi="Times New Roman" w:cs="Times New Roman"/>
                <w:lang w:eastAsia="zh-CN"/>
              </w:rPr>
            </w:pPr>
          </w:p>
          <w:p>
            <w:pPr>
              <w:pStyle w:val="11"/>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lang w:eastAsia="zh-CN"/>
              </w:rPr>
            </w:pPr>
          </w:p>
          <w:p>
            <w:pPr>
              <w:rPr>
                <w:rFonts w:hint="default" w:ascii="Times New Roman" w:hAnsi="Times New Roman" w:cs="Times New Roman"/>
                <w:szCs w:val="21"/>
              </w:rPr>
            </w:pPr>
          </w:p>
        </w:tc>
      </w:tr>
    </w:tbl>
    <w:p>
      <w:pPr>
        <w:pStyle w:val="37"/>
        <w:spacing w:before="123" w:line="360" w:lineRule="auto"/>
        <w:ind w:left="1332"/>
        <w:outlineLvl w:val="0"/>
        <w:rPr>
          <w:rFonts w:hint="default" w:ascii="Times New Roman" w:hAnsi="Times New Roman" w:eastAsia="宋体" w:cs="Times New Roman"/>
          <w:b/>
          <w:lang w:eastAsia="zh-CN"/>
        </w:rPr>
      </w:pPr>
      <w:bookmarkStart w:id="2" w:name="_Toc28623"/>
      <w:r>
        <w:rPr>
          <w:rFonts w:hint="default" w:ascii="Times New Roman" w:hAnsi="Times New Roman" w:eastAsia="宋体" w:cs="Times New Roman"/>
          <w:b/>
          <w:lang w:eastAsia="zh-CN"/>
        </w:rPr>
        <w:t>三、区域环境质量现状、环境保护目标及评价标准</w:t>
      </w:r>
      <w:bookmarkEnd w:id="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19" w:type="dxa"/>
            <w:vAlign w:val="center"/>
          </w:tcPr>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区域</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环境</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质量</w:t>
            </w:r>
          </w:p>
          <w:p>
            <w:pPr>
              <w:pStyle w:val="23"/>
              <w:adjustRightInd w:val="0"/>
              <w:snapToGrid w:val="0"/>
              <w:spacing w:before="0" w:beforeAutospacing="0" w:after="0" w:afterAutospacing="0"/>
              <w:jc w:val="center"/>
              <w:rPr>
                <w:rFonts w:hint="default" w:ascii="Times New Roman" w:hAnsi="Times New Roman" w:cs="Times New Roman"/>
                <w:szCs w:val="24"/>
              </w:rPr>
            </w:pPr>
            <w:r>
              <w:rPr>
                <w:rFonts w:hint="default" w:ascii="Times New Roman" w:hAnsi="Times New Roman" w:cs="Times New Roman"/>
                <w:kern w:val="2"/>
                <w:szCs w:val="24"/>
                <w:lang w:val="zh-CN"/>
              </w:rPr>
              <w:t>现状</w:t>
            </w:r>
          </w:p>
        </w:tc>
        <w:tc>
          <w:tcPr>
            <w:tcW w:w="8190" w:type="dxa"/>
            <w:vAlign w:val="center"/>
          </w:tcPr>
          <w:p>
            <w:pPr>
              <w:spacing w:line="360" w:lineRule="auto"/>
              <w:ind w:firstLine="482" w:firstLineChars="200"/>
              <w:rPr>
                <w:rFonts w:hint="default" w:ascii="Times New Roman" w:hAnsi="Times New Roman" w:eastAsia="宋体" w:cs="Times New Roman"/>
                <w:b/>
                <w:sz w:val="24"/>
                <w:szCs w:val="24"/>
                <w:lang w:val="zh-CN" w:eastAsia="zh-CN"/>
              </w:rPr>
            </w:pPr>
            <w:r>
              <w:rPr>
                <w:rFonts w:hint="default" w:ascii="Times New Roman" w:hAnsi="Times New Roman" w:eastAsia="宋体" w:cs="Times New Roman"/>
                <w:b/>
                <w:sz w:val="24"/>
                <w:szCs w:val="24"/>
                <w:lang w:val="zh-CN" w:eastAsia="zh-CN"/>
              </w:rPr>
              <w:t>1、环境空气质量现状监测与评价</w:t>
            </w:r>
          </w:p>
          <w:p>
            <w:pPr>
              <w:spacing w:line="360" w:lineRule="auto"/>
              <w:ind w:firstLine="482" w:firstLineChars="200"/>
              <w:rPr>
                <w:rFonts w:hint="default" w:ascii="Times New Roman" w:hAnsi="Times New Roman" w:eastAsia="宋体" w:cs="Times New Roman"/>
                <w:b/>
                <w:bCs/>
                <w:kern w:val="11"/>
                <w:sz w:val="24"/>
                <w:lang w:eastAsia="zh-CN"/>
              </w:rPr>
            </w:pPr>
            <w:r>
              <w:rPr>
                <w:rFonts w:hint="default" w:ascii="Times New Roman" w:hAnsi="Times New Roman" w:eastAsia="宋体" w:cs="Times New Roman"/>
                <w:b/>
                <w:bCs/>
                <w:kern w:val="11"/>
                <w:sz w:val="24"/>
                <w:lang w:eastAsia="zh-CN"/>
              </w:rPr>
              <w:t>1、环境空气</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（1）</w:t>
            </w:r>
            <w:r>
              <w:rPr>
                <w:rFonts w:hint="default" w:ascii="Times New Roman" w:hAnsi="Times New Roman" w:eastAsia="宋体" w:cs="Times New Roman"/>
                <w:b/>
                <w:bCs/>
                <w:sz w:val="24"/>
                <w:szCs w:val="24"/>
              </w:rPr>
              <w:t>区域达标分析</w:t>
            </w:r>
          </w:p>
          <w:p>
            <w:pPr>
              <w:adjustRightInd w:val="0"/>
              <w:snapToGrid w:val="0"/>
              <w:spacing w:line="360" w:lineRule="auto"/>
              <w:ind w:firstLine="480" w:firstLineChars="200"/>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根据《环境影响评价技术导则 大气环境》（HJ2.2-2018）中6.4.1.1中的内容“城市环境空气质量达标评价指标为SO</w:t>
            </w:r>
            <w:r>
              <w:rPr>
                <w:rFonts w:hint="default" w:ascii="Times New Roman" w:hAnsi="Times New Roman" w:cs="Times New Roman"/>
                <w:sz w:val="24"/>
                <w:szCs w:val="32"/>
                <w:vertAlign w:val="subscript"/>
                <w:lang w:eastAsia="zh-CN"/>
              </w:rPr>
              <w:t>2</w:t>
            </w:r>
            <w:r>
              <w:rPr>
                <w:rFonts w:hint="default" w:ascii="Times New Roman" w:hAnsi="Times New Roman" w:cs="Times New Roman"/>
                <w:sz w:val="24"/>
                <w:szCs w:val="32"/>
                <w:lang w:eastAsia="zh-CN"/>
              </w:rPr>
              <w:t>、NO</w:t>
            </w:r>
            <w:r>
              <w:rPr>
                <w:rFonts w:hint="default" w:ascii="Times New Roman" w:hAnsi="Times New Roman" w:cs="Times New Roman"/>
                <w:sz w:val="24"/>
                <w:szCs w:val="32"/>
                <w:vertAlign w:val="subscript"/>
                <w:lang w:eastAsia="zh-CN"/>
              </w:rPr>
              <w:t>2</w:t>
            </w:r>
            <w:r>
              <w:rPr>
                <w:rFonts w:hint="default" w:ascii="Times New Roman" w:hAnsi="Times New Roman" w:cs="Times New Roman"/>
                <w:sz w:val="24"/>
                <w:szCs w:val="32"/>
                <w:lang w:eastAsia="zh-CN"/>
              </w:rPr>
              <w:t>、PM</w:t>
            </w:r>
            <w:r>
              <w:rPr>
                <w:rFonts w:hint="default" w:ascii="Times New Roman" w:hAnsi="Times New Roman" w:cs="Times New Roman"/>
                <w:sz w:val="24"/>
                <w:szCs w:val="32"/>
                <w:vertAlign w:val="subscript"/>
                <w:lang w:eastAsia="zh-CN"/>
              </w:rPr>
              <w:t>10</w:t>
            </w:r>
            <w:r>
              <w:rPr>
                <w:rFonts w:hint="default" w:ascii="Times New Roman" w:hAnsi="Times New Roman" w:cs="Times New Roman"/>
                <w:sz w:val="24"/>
                <w:szCs w:val="32"/>
                <w:lang w:eastAsia="zh-CN"/>
              </w:rPr>
              <w:t>、PM</w:t>
            </w:r>
            <w:r>
              <w:rPr>
                <w:rFonts w:hint="default" w:ascii="Times New Roman" w:hAnsi="Times New Roman" w:cs="Times New Roman"/>
                <w:sz w:val="24"/>
                <w:szCs w:val="32"/>
                <w:vertAlign w:val="subscript"/>
                <w:lang w:eastAsia="zh-CN"/>
              </w:rPr>
              <w:t>2.5</w:t>
            </w:r>
            <w:r>
              <w:rPr>
                <w:rFonts w:hint="default" w:ascii="Times New Roman" w:hAnsi="Times New Roman" w:cs="Times New Roman"/>
                <w:sz w:val="24"/>
                <w:szCs w:val="32"/>
                <w:lang w:eastAsia="zh-CN"/>
              </w:rPr>
              <w:t>、CO和O</w:t>
            </w:r>
            <w:r>
              <w:rPr>
                <w:rFonts w:hint="default" w:ascii="Times New Roman" w:hAnsi="Times New Roman" w:cs="Times New Roman"/>
                <w:sz w:val="24"/>
                <w:szCs w:val="32"/>
                <w:vertAlign w:val="subscript"/>
                <w:lang w:eastAsia="zh-CN"/>
              </w:rPr>
              <w:t>3</w:t>
            </w:r>
            <w:r>
              <w:rPr>
                <w:rFonts w:hint="default" w:ascii="Times New Roman" w:hAnsi="Times New Roman" w:cs="Times New Roman"/>
                <w:sz w:val="24"/>
                <w:szCs w:val="32"/>
                <w:lang w:eastAsia="zh-CN"/>
              </w:rPr>
              <w:t>，六项污染物全部达标即为城市环境空气质量达标”。</w:t>
            </w:r>
          </w:p>
          <w:p>
            <w:pPr>
              <w:adjustRightInd w:val="0"/>
              <w:snapToGrid w:val="0"/>
              <w:spacing w:line="360" w:lineRule="auto"/>
              <w:ind w:firstLine="480" w:firstLineChars="200"/>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根据《环境影响评价技术导则 大气环境》（HJ2.2-2018），项目所在区域达标判定，优先采用国家或地方生态环境主管部门公开发布的评价基准年环境质量公告或环境质量报告中的数据或结论。其中评价基准年为近3年中数据相对完整的1个日历年作为评价基准年。</w:t>
            </w:r>
          </w:p>
          <w:p>
            <w:pPr>
              <w:adjustRightInd w:val="0"/>
              <w:snapToGrid w:val="0"/>
              <w:spacing w:line="360" w:lineRule="auto"/>
              <w:ind w:firstLine="480" w:firstLineChars="200"/>
              <w:rPr>
                <w:rFonts w:hint="default" w:ascii="Times New Roman" w:hAnsi="Times New Roman" w:cs="Times New Roman"/>
                <w:bCs/>
                <w:color w:val="auto"/>
                <w:sz w:val="24"/>
                <w:szCs w:val="32"/>
                <w:lang w:eastAsia="zh-CN"/>
              </w:rPr>
            </w:pPr>
            <w:r>
              <w:rPr>
                <w:rFonts w:hint="default" w:ascii="Times New Roman" w:hAnsi="Times New Roman" w:cs="Times New Roman"/>
                <w:color w:val="auto"/>
                <w:sz w:val="24"/>
                <w:szCs w:val="32"/>
                <w:lang w:eastAsia="zh-CN"/>
              </w:rPr>
              <w:t>本项目位于庆阳市宁县，本次环境质量现状数据引用庆阳市生态环境局公开公布的环境质量公告中的数据，2022年庆阳市宁县每月SO</w:t>
            </w:r>
            <w:r>
              <w:rPr>
                <w:rFonts w:hint="default" w:ascii="Times New Roman" w:hAnsi="Times New Roman" w:cs="Times New Roman"/>
                <w:color w:val="auto"/>
                <w:sz w:val="24"/>
                <w:szCs w:val="32"/>
                <w:vertAlign w:val="subscript"/>
                <w:lang w:eastAsia="zh-CN"/>
              </w:rPr>
              <w:t>2</w:t>
            </w:r>
            <w:r>
              <w:rPr>
                <w:rFonts w:hint="default" w:ascii="Times New Roman" w:hAnsi="Times New Roman" w:cs="Times New Roman"/>
                <w:color w:val="auto"/>
                <w:sz w:val="24"/>
                <w:szCs w:val="32"/>
                <w:lang w:eastAsia="zh-CN"/>
              </w:rPr>
              <w:t>、NO</w:t>
            </w:r>
            <w:r>
              <w:rPr>
                <w:rFonts w:hint="default" w:ascii="Times New Roman" w:hAnsi="Times New Roman" w:cs="Times New Roman"/>
                <w:color w:val="auto"/>
                <w:sz w:val="24"/>
                <w:szCs w:val="32"/>
                <w:vertAlign w:val="subscript"/>
                <w:lang w:eastAsia="zh-CN"/>
              </w:rPr>
              <w:t>2</w:t>
            </w:r>
            <w:r>
              <w:rPr>
                <w:rFonts w:hint="default" w:ascii="Times New Roman" w:hAnsi="Times New Roman" w:cs="Times New Roman"/>
                <w:color w:val="auto"/>
                <w:sz w:val="24"/>
                <w:szCs w:val="32"/>
                <w:lang w:eastAsia="zh-CN"/>
              </w:rPr>
              <w:t>、PM</w:t>
            </w:r>
            <w:r>
              <w:rPr>
                <w:rFonts w:hint="default" w:ascii="Times New Roman" w:hAnsi="Times New Roman" w:cs="Times New Roman"/>
                <w:color w:val="auto"/>
                <w:sz w:val="24"/>
                <w:szCs w:val="32"/>
                <w:vertAlign w:val="subscript"/>
                <w:lang w:eastAsia="zh-CN"/>
              </w:rPr>
              <w:t>10</w:t>
            </w:r>
            <w:r>
              <w:rPr>
                <w:rFonts w:hint="default" w:ascii="Times New Roman" w:hAnsi="Times New Roman" w:cs="Times New Roman"/>
                <w:color w:val="auto"/>
                <w:sz w:val="24"/>
                <w:szCs w:val="32"/>
                <w:lang w:eastAsia="zh-CN"/>
              </w:rPr>
              <w:t>、PM</w:t>
            </w:r>
            <w:r>
              <w:rPr>
                <w:rFonts w:hint="default" w:ascii="Times New Roman" w:hAnsi="Times New Roman" w:cs="Times New Roman"/>
                <w:color w:val="auto"/>
                <w:sz w:val="24"/>
                <w:szCs w:val="32"/>
                <w:vertAlign w:val="subscript"/>
                <w:lang w:eastAsia="zh-CN"/>
              </w:rPr>
              <w:t>2.5</w:t>
            </w:r>
            <w:r>
              <w:rPr>
                <w:rFonts w:hint="default" w:ascii="Times New Roman" w:hAnsi="Times New Roman" w:cs="Times New Roman"/>
                <w:color w:val="auto"/>
                <w:sz w:val="24"/>
                <w:szCs w:val="32"/>
                <w:lang w:eastAsia="zh-CN"/>
              </w:rPr>
              <w:t>、CO和O</w:t>
            </w:r>
            <w:r>
              <w:rPr>
                <w:rFonts w:hint="default" w:ascii="Times New Roman" w:hAnsi="Times New Roman" w:cs="Times New Roman"/>
                <w:color w:val="auto"/>
                <w:sz w:val="24"/>
                <w:szCs w:val="32"/>
                <w:vertAlign w:val="subscript"/>
                <w:lang w:eastAsia="zh-CN"/>
              </w:rPr>
              <w:t>3</w:t>
            </w:r>
            <w:r>
              <w:rPr>
                <w:rFonts w:hint="default" w:ascii="Times New Roman" w:hAnsi="Times New Roman" w:cs="Times New Roman"/>
                <w:color w:val="auto"/>
                <w:sz w:val="24"/>
                <w:szCs w:val="32"/>
                <w:lang w:eastAsia="zh-CN"/>
              </w:rPr>
              <w:t>六项基本因子的监测数据</w:t>
            </w:r>
            <w:r>
              <w:rPr>
                <w:rFonts w:hint="default" w:ascii="Times New Roman" w:hAnsi="Times New Roman" w:cs="Times New Roman"/>
                <w:bCs/>
                <w:color w:val="auto"/>
                <w:sz w:val="24"/>
                <w:szCs w:val="32"/>
                <w:lang w:eastAsia="zh-CN"/>
              </w:rPr>
              <w:t>，具体情况见下表3-1。</w:t>
            </w:r>
          </w:p>
          <w:p>
            <w:pPr>
              <w:keepNext/>
              <w:keepLines/>
              <w:jc w:val="center"/>
              <w:outlineLvl w:val="1"/>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表3-1   2022年宁县环境空气年均值情况表</w:t>
            </w:r>
          </w:p>
          <w:tbl>
            <w:tblPr>
              <w:tblStyle w:val="27"/>
              <w:tblW w:w="8357" w:type="dxa"/>
              <w:jc w:val="center"/>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926"/>
              <w:gridCol w:w="1154"/>
              <w:gridCol w:w="1158"/>
              <w:gridCol w:w="945"/>
              <w:gridCol w:w="1120"/>
              <w:gridCol w:w="1414"/>
            </w:tblGrid>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640"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日期</w:t>
                  </w:r>
                </w:p>
              </w:tc>
              <w:tc>
                <w:tcPr>
                  <w:tcW w:w="926"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SO</w:t>
                  </w:r>
                  <w:r>
                    <w:rPr>
                      <w:rFonts w:hint="default" w:ascii="Times New Roman" w:hAnsi="Times New Roman" w:cs="Times New Roman"/>
                      <w:color w:val="auto"/>
                      <w:kern w:val="2"/>
                      <w:sz w:val="21"/>
                      <w:szCs w:val="21"/>
                      <w:vertAlign w:val="subscript"/>
                      <w:lang w:eastAsia="zh-CN"/>
                    </w:rPr>
                    <w:t>2</w:t>
                  </w:r>
                </w:p>
              </w:tc>
              <w:tc>
                <w:tcPr>
                  <w:tcW w:w="1154"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NO</w:t>
                  </w:r>
                  <w:r>
                    <w:rPr>
                      <w:rFonts w:hint="default" w:ascii="Times New Roman" w:hAnsi="Times New Roman" w:cs="Times New Roman"/>
                      <w:color w:val="auto"/>
                      <w:kern w:val="2"/>
                      <w:sz w:val="21"/>
                      <w:szCs w:val="21"/>
                      <w:vertAlign w:val="subscript"/>
                      <w:lang w:eastAsia="zh-CN"/>
                    </w:rPr>
                    <w:t>2</w:t>
                  </w:r>
                </w:p>
              </w:tc>
              <w:tc>
                <w:tcPr>
                  <w:tcW w:w="1158"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PM</w:t>
                  </w:r>
                  <w:r>
                    <w:rPr>
                      <w:rFonts w:hint="default" w:ascii="Times New Roman" w:hAnsi="Times New Roman" w:cs="Times New Roman"/>
                      <w:color w:val="auto"/>
                      <w:kern w:val="2"/>
                      <w:sz w:val="21"/>
                      <w:szCs w:val="21"/>
                      <w:vertAlign w:val="subscript"/>
                      <w:lang w:eastAsia="zh-CN"/>
                    </w:rPr>
                    <w:t>10</w:t>
                  </w:r>
                </w:p>
              </w:tc>
              <w:tc>
                <w:tcPr>
                  <w:tcW w:w="945"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PM</w:t>
                  </w:r>
                  <w:r>
                    <w:rPr>
                      <w:rFonts w:hint="default" w:ascii="Times New Roman" w:hAnsi="Times New Roman" w:cs="Times New Roman"/>
                      <w:color w:val="auto"/>
                      <w:kern w:val="2"/>
                      <w:sz w:val="21"/>
                      <w:szCs w:val="21"/>
                      <w:vertAlign w:val="subscript"/>
                      <w:lang w:eastAsia="zh-CN"/>
                    </w:rPr>
                    <w:t>2.5</w:t>
                  </w:r>
                </w:p>
              </w:tc>
              <w:tc>
                <w:tcPr>
                  <w:tcW w:w="1120"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CO第95百分位数</w:t>
                  </w:r>
                </w:p>
              </w:tc>
              <w:tc>
                <w:tcPr>
                  <w:tcW w:w="1414" w:type="dxa"/>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O3_8h第90百分位</w:t>
                  </w:r>
                  <w:r>
                    <w:rPr>
                      <w:rFonts w:hint="default" w:ascii="Times New Roman" w:hAnsi="Times New Roman" w:cs="Times New Roman"/>
                      <w:color w:val="auto"/>
                      <w:kern w:val="2"/>
                      <w:sz w:val="21"/>
                      <w:szCs w:val="21"/>
                      <w:lang w:eastAsia="zh-CN"/>
                    </w:rPr>
                    <w:cr/>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2020年1月</w:t>
                  </w:r>
                </w:p>
              </w:tc>
              <w:tc>
                <w:tcPr>
                  <w:tcW w:w="926"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10</w:t>
                  </w:r>
                </w:p>
              </w:tc>
              <w:tc>
                <w:tcPr>
                  <w:tcW w:w="1154"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15</w:t>
                  </w:r>
                </w:p>
              </w:tc>
              <w:tc>
                <w:tcPr>
                  <w:tcW w:w="1158"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97</w:t>
                  </w:r>
                </w:p>
              </w:tc>
              <w:tc>
                <w:tcPr>
                  <w:tcW w:w="945"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46</w:t>
                  </w:r>
                </w:p>
              </w:tc>
              <w:tc>
                <w:tcPr>
                  <w:tcW w:w="112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0.9</w:t>
                  </w:r>
                </w:p>
              </w:tc>
              <w:tc>
                <w:tcPr>
                  <w:tcW w:w="1414"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69</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2020年2月</w:t>
                  </w:r>
                </w:p>
              </w:tc>
              <w:tc>
                <w:tcPr>
                  <w:tcW w:w="926"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8"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82</w:t>
                  </w:r>
                </w:p>
              </w:tc>
              <w:tc>
                <w:tcPr>
                  <w:tcW w:w="945"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46</w:t>
                  </w:r>
                </w:p>
              </w:tc>
              <w:tc>
                <w:tcPr>
                  <w:tcW w:w="112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0.8</w:t>
                  </w:r>
                </w:p>
              </w:tc>
              <w:tc>
                <w:tcPr>
                  <w:tcW w:w="1414"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2020年3月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12</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95</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35</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0.6</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100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2020年4月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10</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13</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74</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29</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0.</w:t>
                  </w:r>
                  <w:r>
                    <w:rPr>
                      <w:rFonts w:hint="default" w:ascii="Times New Roman" w:hAnsi="Times New Roman" w:cs="Times New Roman"/>
                      <w:color w:val="auto"/>
                      <w:kern w:val="2"/>
                      <w:sz w:val="21"/>
                      <w:szCs w:val="21"/>
                      <w:lang w:eastAsia="zh-CN"/>
                    </w:rPr>
                    <w:t>9</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125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2020年5月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12</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12</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70</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25</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1.4</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131</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2020年6月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11</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67</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24</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0.6</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138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2020年7月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59</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24</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0.6</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127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2020年8月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5</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51</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22</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0.6</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112</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2020年9月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15</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67</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28</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0.4</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85</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2020年10月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16</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66</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28</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0.4</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2020年11</w:t>
                  </w:r>
                  <w:r>
                    <w:rPr>
                      <w:rFonts w:hint="default" w:ascii="Times New Roman" w:hAnsi="Times New Roman" w:cs="Times New Roman"/>
                      <w:color w:val="auto"/>
                      <w:kern w:val="2"/>
                      <w:sz w:val="21"/>
                      <w:szCs w:val="21"/>
                      <w:lang w:eastAsia="zh-CN"/>
                    </w:rPr>
                    <w:cr/>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17</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96</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48</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0.8</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2020年12月</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17</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86</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46</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1.0</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68</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年均值</w:t>
                  </w:r>
                </w:p>
              </w:tc>
              <w:tc>
                <w:tcPr>
                  <w:tcW w:w="926"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9</w:t>
                  </w:r>
                </w:p>
              </w:tc>
              <w:tc>
                <w:tcPr>
                  <w:tcW w:w="115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13</w:t>
                  </w:r>
                </w:p>
              </w:tc>
              <w:tc>
                <w:tcPr>
                  <w:tcW w:w="1158"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76</w:t>
                  </w:r>
                </w:p>
              </w:tc>
              <w:tc>
                <w:tcPr>
                  <w:tcW w:w="945"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34</w:t>
                  </w:r>
                </w:p>
              </w:tc>
              <w:tc>
                <w:tcPr>
                  <w:tcW w:w="1120"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0.9</w:t>
                  </w:r>
                </w:p>
              </w:tc>
              <w:tc>
                <w:tcPr>
                  <w:tcW w:w="1414" w:type="dxa"/>
                  <w:tcBorders>
                    <w:bottom w:val="single" w:color="auto" w:sz="4" w:space="0"/>
                  </w:tcBorders>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116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640" w:type="dxa"/>
                  <w:tcBorders>
                    <w:right w:val="single" w:color="auto" w:sz="4" w:space="0"/>
                  </w:tcBorders>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标准值</w:t>
                  </w:r>
                </w:p>
              </w:tc>
              <w:tc>
                <w:tcPr>
                  <w:tcW w:w="926"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150</w:t>
                  </w:r>
                </w:p>
              </w:tc>
              <w:tc>
                <w:tcPr>
                  <w:tcW w:w="1154"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80</w:t>
                  </w:r>
                </w:p>
              </w:tc>
              <w:tc>
                <w:tcPr>
                  <w:tcW w:w="1158"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150</w:t>
                  </w:r>
                </w:p>
              </w:tc>
              <w:tc>
                <w:tcPr>
                  <w:tcW w:w="945"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75</w:t>
                  </w:r>
                </w:p>
              </w:tc>
              <w:tc>
                <w:tcPr>
                  <w:tcW w:w="112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w:t>
                  </w:r>
                </w:p>
              </w:tc>
              <w:tc>
                <w:tcPr>
                  <w:tcW w:w="1414"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160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jc w:val="center"/>
              </w:trPr>
              <w:tc>
                <w:tcPr>
                  <w:tcW w:w="1640" w:type="dxa"/>
                  <w:tcBorders>
                    <w:right w:val="single" w:color="auto" w:sz="4" w:space="0"/>
                  </w:tcBorders>
                  <w:noWrap w:val="0"/>
                  <w:vAlign w:val="center"/>
                </w:tcPr>
                <w:p>
                  <w:pPr>
                    <w:tabs>
                      <w:tab w:val="left" w:pos="220"/>
                      <w:tab w:val="left" w:pos="430"/>
                    </w:tabs>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超标倍数</w:t>
                  </w:r>
                </w:p>
              </w:tc>
              <w:tc>
                <w:tcPr>
                  <w:tcW w:w="926"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c>
                <w:tcPr>
                  <w:tcW w:w="1154"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c>
                <w:tcPr>
                  <w:tcW w:w="1158"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c>
                <w:tcPr>
                  <w:tcW w:w="945"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c>
                <w:tcPr>
                  <w:tcW w:w="1120" w:type="dxa"/>
                  <w:noWrap w:val="0"/>
                  <w:vAlign w:val="center"/>
                </w:tcPr>
                <w:p>
                  <w:pPr>
                    <w:widowControl/>
                    <w:jc w:val="center"/>
                    <w:textAlignment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c>
                <w:tcPr>
                  <w:tcW w:w="1414" w:type="dxa"/>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w:t>
                  </w:r>
                </w:p>
              </w:tc>
            </w:tr>
          </w:tbl>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color w:val="auto"/>
                <w:kern w:val="2"/>
                <w:sz w:val="24"/>
                <w:szCs w:val="24"/>
                <w:lang w:eastAsia="zh-CN"/>
              </w:rPr>
              <w:t>二氧化硫：宁县月均值浓度范围为5～12微</w:t>
            </w:r>
            <w:r>
              <w:rPr>
                <w:rFonts w:hint="default" w:ascii="Times New Roman" w:hAnsi="Times New Roman" w:cs="Times New Roman"/>
                <w:kern w:val="2"/>
                <w:sz w:val="24"/>
                <w:szCs w:val="24"/>
                <w:lang w:eastAsia="zh-CN"/>
              </w:rPr>
              <w:t>克/立方米，月均值达标率为 100%；年均值为9微克/立方米，达标。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二氧化氮：宁县月均值浓度范围为8~17微克/立方米，月均值达标率为 100%；年均值为13微克/立方米，达标。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可吸入颗粒物：宁县月均值浓度范围为51～96 微克/立方米，月均值达标率为100%；年均值为76微克/立方米，达标。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细颗粒物：宁县月均值浓度范围为22～48 微克/立方米，月均值达标率为100%；年均值为34微克/立方米，达标。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一氧化碳：宁县月均值浓度范围为 0.4～1.4毫克/立方米，月均值达标率为 100%；年均值第 95 百分位数为 0.9 毫克/立方米，达标。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臭氧；宁县月最大 8 小时滑动平均的浓度范围为 68～138 微克/立方米，月最大 8 小时滑动平均值达标率为100%；年最大8 小时滑动平均的第 90 百分位数为116微克/立方米，达标。</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根据上述数据，庆阳市宁县2021年环境空气监测数据中二氧化硫、二氧化氮、可吸入颗粒物（PM10）、细颗粒物（PM2.5）、臭氧、一氧化碳均达到《环境空气质量标准》（GB3095-2012）二级标准，项目所在地属于达标区</w:t>
            </w:r>
          </w:p>
          <w:p>
            <w:pPr>
              <w:adjustRightInd w:val="0"/>
              <w:snapToGrid w:val="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（2）补充监测数据</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根据本项目污染物排放特点，项目运营期排放特征污染物氯化氢、硫酸雾、非甲烷总烃，特征污染物现状数据委托甘肃清绿源环境检测有限公司进行检测</w:t>
            </w:r>
            <w:r>
              <w:rPr>
                <w:rFonts w:hint="default" w:ascii="Times New Roman" w:hAnsi="Times New Roman" w:eastAsia="宋体" w:cs="Times New Roman"/>
                <w:color w:val="000000"/>
                <w:sz w:val="24"/>
              </w:rPr>
              <w:t>。项目检测点位</w:t>
            </w:r>
            <w:r>
              <w:rPr>
                <w:rFonts w:hint="default" w:ascii="Times New Roman" w:hAnsi="Times New Roman" w:eastAsia="宋体" w:cs="Times New Roman"/>
                <w:color w:val="000000"/>
                <w:sz w:val="24"/>
                <w:lang w:eastAsia="zh-CN"/>
              </w:rPr>
              <w:t>见下表3-1</w:t>
            </w:r>
            <w:r>
              <w:rPr>
                <w:rFonts w:hint="default" w:ascii="Times New Roman" w:hAnsi="Times New Roman" w:eastAsia="宋体" w:cs="Times New Roman"/>
                <w:color w:val="000000"/>
                <w:sz w:val="24"/>
              </w:rPr>
              <w:t>。</w:t>
            </w:r>
          </w:p>
          <w:p>
            <w:pPr>
              <w:jc w:val="center"/>
              <w:rPr>
                <w:rFonts w:hint="default" w:ascii="Times New Roman" w:hAnsi="Times New Roman" w:eastAsia="宋体" w:cs="Times New Roman"/>
                <w:b/>
                <w:bCs/>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eastAsia="zh-CN"/>
                <w14:textFill>
                  <w14:solidFill>
                    <w14:schemeClr w14:val="tx1"/>
                  </w14:solidFill>
                </w14:textFill>
              </w:rPr>
              <w:t>表3-1    项目补充检测点位信息一览表</w:t>
            </w:r>
          </w:p>
          <w:tbl>
            <w:tblPr>
              <w:tblStyle w:val="27"/>
              <w:tblW w:w="80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52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755" w:type="dxa"/>
                  <w:vAlign w:val="center"/>
                </w:tcPr>
                <w:p>
                  <w:pPr>
                    <w:jc w:val="center"/>
                    <w:rPr>
                      <w:rFonts w:hint="default" w:ascii="Times New Roman" w:hAnsi="Times New Roman" w:eastAsia="宋体" w:cs="Times New Roman"/>
                      <w:szCs w:val="21"/>
                      <w:highlight w:val="yellow"/>
                    </w:rPr>
                  </w:pPr>
                  <w:r>
                    <w:rPr>
                      <w:rFonts w:hint="default" w:ascii="Times New Roman" w:hAnsi="Times New Roman" w:eastAsia="宋体" w:cs="Times New Roman"/>
                      <w:szCs w:val="21"/>
                    </w:rPr>
                    <w:t>序号</w:t>
                  </w:r>
                </w:p>
              </w:tc>
              <w:tc>
                <w:tcPr>
                  <w:tcW w:w="526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75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5264" w:type="dxa"/>
                  <w:vAlign w:val="center"/>
                </w:tcPr>
                <w:p>
                  <w:pPr>
                    <w:jc w:val="center"/>
                    <w:rPr>
                      <w:rFonts w:hint="default" w:ascii="Times New Roman" w:hAnsi="Times New Roman" w:eastAsia="宋体" w:cs="Times New Roman"/>
                      <w:szCs w:val="21"/>
                      <w:highlight w:val="yellow"/>
                      <w:lang w:eastAsia="zh-CN"/>
                    </w:rPr>
                  </w:pPr>
                  <w:r>
                    <w:rPr>
                      <w:rFonts w:hint="default" w:ascii="Times New Roman" w:hAnsi="Times New Roman" w:eastAsia="宋体" w:cs="Times New Roman"/>
                      <w:szCs w:val="21"/>
                    </w:rPr>
                    <w:t>项目</w:t>
                  </w:r>
                  <w:r>
                    <w:rPr>
                      <w:rFonts w:hint="default" w:ascii="Times New Roman" w:hAnsi="Times New Roman" w:eastAsia="宋体" w:cs="Times New Roman"/>
                      <w:szCs w:val="21"/>
                      <w:lang w:eastAsia="zh-CN"/>
                    </w:rPr>
                    <w:t>区</w:t>
                  </w:r>
                </w:p>
              </w:tc>
            </w:tr>
          </w:tbl>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检测因子：氯化氢、硫酸雾、非甲烷总烃</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监测频次：连续监测三天</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监测结果：特征污染物检测结果见表3-</w:t>
            </w:r>
            <w:r>
              <w:rPr>
                <w:rFonts w:hint="default" w:ascii="Times New Roman" w:hAnsi="Times New Roman" w:eastAsia="宋体" w:cs="Times New Roman"/>
                <w:color w:val="000000"/>
                <w:sz w:val="24"/>
                <w:lang w:eastAsia="zh-CN"/>
              </w:rPr>
              <w:t>2</w:t>
            </w:r>
            <w:r>
              <w:rPr>
                <w:rFonts w:hint="default" w:ascii="Times New Roman" w:hAnsi="Times New Roman" w:eastAsia="宋体" w:cs="Times New Roman"/>
                <w:color w:val="000000"/>
                <w:sz w:val="24"/>
              </w:rPr>
              <w:t>。</w:t>
            </w:r>
          </w:p>
          <w:p>
            <w:pPr>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表3-</w:t>
            </w:r>
            <w:r>
              <w:rPr>
                <w:rFonts w:hint="default" w:ascii="Times New Roman" w:hAnsi="Times New Roman" w:eastAsia="宋体" w:cs="Times New Roman"/>
                <w:b/>
                <w:color w:val="000000"/>
                <w:szCs w:val="21"/>
                <w:lang w:eastAsia="zh-CN"/>
              </w:rPr>
              <w:t>2</w:t>
            </w:r>
            <w:r>
              <w:rPr>
                <w:rFonts w:hint="default" w:ascii="Times New Roman" w:hAnsi="Times New Roman" w:eastAsia="宋体" w:cs="Times New Roman"/>
                <w:b/>
                <w:color w:val="000000"/>
                <w:szCs w:val="21"/>
              </w:rPr>
              <w:t xml:space="preserve">     </w:t>
            </w:r>
            <w:r>
              <w:rPr>
                <w:rFonts w:hint="default" w:ascii="Times New Roman" w:hAnsi="Times New Roman" w:eastAsia="宋体" w:cs="Times New Roman"/>
                <w:b/>
                <w:color w:val="000000"/>
                <w:szCs w:val="21"/>
                <w:lang w:eastAsia="zh-CN"/>
              </w:rPr>
              <w:t>项目补充</w:t>
            </w:r>
            <w:r>
              <w:rPr>
                <w:rFonts w:hint="default" w:ascii="Times New Roman" w:hAnsi="Times New Roman" w:eastAsia="宋体" w:cs="Times New Roman"/>
                <w:b/>
                <w:color w:val="000000"/>
                <w:szCs w:val="21"/>
              </w:rPr>
              <w:t>监测结果一览表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50"/>
              <w:gridCol w:w="1765"/>
              <w:gridCol w:w="176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blHeader/>
                <w:jc w:val="center"/>
              </w:trPr>
              <w:tc>
                <w:tcPr>
                  <w:tcW w:w="882" w:type="pct"/>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检测日期</w:t>
                  </w:r>
                </w:p>
              </w:tc>
              <w:tc>
                <w:tcPr>
                  <w:tcW w:w="785" w:type="pct"/>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检测频次</w:t>
                  </w:r>
                </w:p>
              </w:tc>
              <w:tc>
                <w:tcPr>
                  <w:tcW w:w="3332" w:type="pct"/>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下风向检测结果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rPr>
                  </w:pPr>
                </w:p>
              </w:tc>
              <w:tc>
                <w:tcPr>
                  <w:tcW w:w="78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rPr>
                  </w:pPr>
                </w:p>
              </w:tc>
              <w:tc>
                <w:tcPr>
                  <w:tcW w:w="1108"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rPr>
                    <w:t>非甲烷总烃（</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109"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氯化氢</w:t>
                  </w:r>
                </w:p>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115"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硫酸雾</w:t>
                  </w:r>
                </w:p>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6</w:t>
                  </w:r>
                  <w:r>
                    <w:rPr>
                      <w:rFonts w:hint="default" w:ascii="Times New Roman" w:hAnsi="Times New Roman" w:eastAsia="宋体" w:cs="Times New Roman"/>
                      <w:b w:val="0"/>
                      <w:bCs w:val="0"/>
                      <w:color w:val="000000"/>
                      <w:sz w:val="21"/>
                      <w:szCs w:val="21"/>
                    </w:rPr>
                    <w:t>月</w:t>
                  </w:r>
                  <w:r>
                    <w:rPr>
                      <w:rFonts w:hint="default" w:ascii="Times New Roman" w:hAnsi="Times New Roman" w:eastAsia="宋体" w:cs="Times New Roman"/>
                      <w:b w:val="0"/>
                      <w:bCs w:val="0"/>
                      <w:color w:val="000000"/>
                      <w:sz w:val="21"/>
                      <w:szCs w:val="21"/>
                      <w:lang w:val="en-US" w:eastAsia="zh-CN"/>
                    </w:rPr>
                    <w:t>20</w:t>
                  </w:r>
                  <w:r>
                    <w:rPr>
                      <w:rFonts w:hint="default" w:ascii="Times New Roman" w:hAnsi="Times New Roman" w:eastAsia="宋体" w:cs="Times New Roman"/>
                      <w:b w:val="0"/>
                      <w:bCs w:val="0"/>
                      <w:color w:val="000000"/>
                      <w:sz w:val="21"/>
                      <w:szCs w:val="21"/>
                    </w:rPr>
                    <w:t>日</w:t>
                  </w: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第一次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0.55</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第二次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0.58</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第三次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0.56</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第四次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0.52</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6</w:t>
                  </w:r>
                  <w:r>
                    <w:rPr>
                      <w:rFonts w:hint="default" w:ascii="Times New Roman" w:hAnsi="Times New Roman" w:eastAsia="宋体" w:cs="Times New Roman"/>
                      <w:b w:val="0"/>
                      <w:bCs w:val="0"/>
                      <w:color w:val="000000"/>
                      <w:sz w:val="21"/>
                      <w:szCs w:val="21"/>
                    </w:rPr>
                    <w:t>月</w:t>
                  </w:r>
                  <w:r>
                    <w:rPr>
                      <w:rFonts w:hint="default" w:ascii="Times New Roman" w:hAnsi="Times New Roman" w:eastAsia="宋体" w:cs="Times New Roman"/>
                      <w:b w:val="0"/>
                      <w:bCs w:val="0"/>
                      <w:color w:val="000000"/>
                      <w:sz w:val="21"/>
                      <w:szCs w:val="21"/>
                      <w:lang w:val="en-US" w:eastAsia="zh-CN"/>
                    </w:rPr>
                    <w:t>21</w:t>
                  </w:r>
                  <w:r>
                    <w:rPr>
                      <w:rFonts w:hint="default" w:ascii="Times New Roman" w:hAnsi="Times New Roman" w:eastAsia="宋体" w:cs="Times New Roman"/>
                      <w:b w:val="0"/>
                      <w:bCs w:val="0"/>
                      <w:color w:val="000000"/>
                      <w:sz w:val="21"/>
                      <w:szCs w:val="21"/>
                    </w:rPr>
                    <w:t>日</w:t>
                  </w: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第一次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0.58</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第二次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0.56</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第三次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0.55</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第四次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0.51</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6</w:t>
                  </w:r>
                  <w:r>
                    <w:rPr>
                      <w:rFonts w:hint="default" w:ascii="Times New Roman" w:hAnsi="Times New Roman" w:eastAsia="宋体" w:cs="Times New Roman"/>
                      <w:b w:val="0"/>
                      <w:bCs w:val="0"/>
                      <w:color w:val="000000"/>
                      <w:sz w:val="21"/>
                      <w:szCs w:val="21"/>
                    </w:rPr>
                    <w:t>月</w:t>
                  </w:r>
                  <w:r>
                    <w:rPr>
                      <w:rFonts w:hint="default" w:ascii="Times New Roman" w:hAnsi="Times New Roman" w:eastAsia="宋体" w:cs="Times New Roman"/>
                      <w:b w:val="0"/>
                      <w:bCs w:val="0"/>
                      <w:color w:val="000000"/>
                      <w:sz w:val="21"/>
                      <w:szCs w:val="21"/>
                      <w:lang w:val="en-US" w:eastAsia="zh-CN"/>
                    </w:rPr>
                    <w:t>22</w:t>
                  </w:r>
                  <w:r>
                    <w:rPr>
                      <w:rFonts w:hint="default" w:ascii="Times New Roman" w:hAnsi="Times New Roman" w:eastAsia="宋体" w:cs="Times New Roman"/>
                      <w:b w:val="0"/>
                      <w:bCs w:val="0"/>
                      <w:color w:val="000000"/>
                      <w:sz w:val="21"/>
                      <w:szCs w:val="21"/>
                    </w:rPr>
                    <w:t>日</w:t>
                  </w: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第一次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0.50</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第二次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0.49</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第三次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0.50</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8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78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第四次</w:t>
                  </w:r>
                </w:p>
              </w:tc>
              <w:tc>
                <w:tcPr>
                  <w:tcW w:w="1108"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0.51</w:t>
                  </w:r>
                </w:p>
              </w:tc>
              <w:tc>
                <w:tcPr>
                  <w:tcW w:w="1109"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c>
                <w:tcPr>
                  <w:tcW w:w="1115" w:type="pct"/>
                  <w:noWrap w:val="0"/>
                  <w:vAlign w:val="center"/>
                </w:tcPr>
                <w:p>
                  <w:pPr>
                    <w:keepNext w:val="0"/>
                    <w:keepLines w:val="0"/>
                    <w:pageBreakBefore w:val="0"/>
                    <w:widowControl w:val="0"/>
                    <w:kinsoku/>
                    <w:wordWrap/>
                    <w:overflowPunct/>
                    <w:topLinePunct w:val="0"/>
                    <w:autoSpaceDE/>
                    <w:autoSpaceDN/>
                    <w:bidi w:val="0"/>
                    <w:adjustRightInd/>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未检出</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由上表可知，HCl、硫酸</w:t>
            </w:r>
            <w:r>
              <w:rPr>
                <w:rFonts w:hint="default" w:ascii="Times New Roman" w:hAnsi="Times New Roman" w:eastAsia="宋体" w:cs="Times New Roman"/>
                <w:color w:val="000000"/>
                <w:sz w:val="24"/>
                <w:szCs w:val="24"/>
                <w:lang w:val="en-US" w:eastAsia="zh-CN"/>
              </w:rPr>
              <w:t>雾未检出，</w:t>
            </w:r>
            <w:r>
              <w:rPr>
                <w:rFonts w:hint="default" w:ascii="Times New Roman" w:hAnsi="Times New Roman" w:eastAsia="宋体" w:cs="Times New Roman"/>
                <w:color w:val="000000"/>
                <w:sz w:val="24"/>
                <w:szCs w:val="24"/>
              </w:rPr>
              <w:t>满足《环境影响评价技术导则 大 气环境》  (HJ2.2-2018) 附录 D 中标准，非甲烷总烃满足《大气污染物综合排放 标准详解》中一次浓度限值要求。</w:t>
            </w:r>
          </w:p>
          <w:p>
            <w:pPr>
              <w:spacing w:line="360" w:lineRule="auto"/>
              <w:ind w:firstLine="482" w:firstLineChars="200"/>
              <w:rPr>
                <w:rFonts w:hint="default" w:ascii="Times New Roman" w:hAnsi="Times New Roman" w:eastAsia="宋体" w:cs="Times New Roman"/>
                <w:b/>
                <w:color w:val="000000" w:themeColor="text1"/>
                <w:sz w:val="24"/>
                <w:szCs w:val="24"/>
                <w:lang w:eastAsia="zh-CN"/>
                <w14:textFill>
                  <w14:solidFill>
                    <w14:schemeClr w14:val="tx1"/>
                  </w14:solidFill>
                </w14:textFill>
              </w:rPr>
            </w:pPr>
            <w:r>
              <w:rPr>
                <w:rFonts w:hint="default" w:ascii="Times New Roman" w:hAnsi="Times New Roman" w:eastAsia="宋体" w:cs="Times New Roman"/>
                <w:b/>
                <w:sz w:val="24"/>
                <w:szCs w:val="24"/>
                <w:lang w:eastAsia="zh-CN"/>
              </w:rPr>
              <w:t>2、地</w:t>
            </w:r>
            <w:r>
              <w:rPr>
                <w:rFonts w:hint="default" w:ascii="Times New Roman" w:hAnsi="Times New Roman" w:eastAsia="宋体" w:cs="Times New Roman"/>
                <w:b/>
                <w:color w:val="000000" w:themeColor="text1"/>
                <w:sz w:val="24"/>
                <w:szCs w:val="24"/>
                <w:lang w:eastAsia="zh-CN"/>
                <w14:textFill>
                  <w14:solidFill>
                    <w14:schemeClr w14:val="tx1"/>
                  </w14:solidFill>
                </w14:textFill>
              </w:rPr>
              <w:t>表水质量现状监测与评价</w:t>
            </w:r>
          </w:p>
          <w:p>
            <w:pPr>
              <w:adjustRightInd w:val="0"/>
              <w:snapToGrid w:val="0"/>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根据《甘肃省地表水功能区划（2012-2030）》，项目区附近无常年地表径流，本项目所涉及地表水为马莲河，为</w:t>
            </w:r>
            <w:r>
              <w:rPr>
                <w:rFonts w:hint="default" w:ascii="Times New Roman" w:hAnsi="Times New Roman" w:cs="Times New Roman"/>
                <w:kern w:val="2"/>
                <w:sz w:val="24"/>
                <w:szCs w:val="24"/>
                <w:lang w:eastAsia="zh-CN"/>
              </w:rPr>
              <w:fldChar w:fldCharType="begin"/>
            </w:r>
            <w:r>
              <w:rPr>
                <w:rFonts w:hint="default" w:ascii="Times New Roman" w:hAnsi="Times New Roman" w:cs="Times New Roman"/>
                <w:kern w:val="2"/>
                <w:sz w:val="24"/>
                <w:szCs w:val="24"/>
                <w:lang w:eastAsia="zh-CN"/>
              </w:rPr>
              <w:instrText xml:space="preserve"> = 4 \* ROMAN \* MERGEFORMAT </w:instrText>
            </w:r>
            <w:r>
              <w:rPr>
                <w:rFonts w:hint="default" w:ascii="Times New Roman" w:hAnsi="Times New Roman" w:cs="Times New Roman"/>
                <w:kern w:val="2"/>
                <w:sz w:val="24"/>
                <w:szCs w:val="24"/>
                <w:lang w:eastAsia="zh-CN"/>
              </w:rPr>
              <w:fldChar w:fldCharType="separate"/>
            </w:r>
            <w:r>
              <w:rPr>
                <w:rFonts w:hint="default" w:ascii="Times New Roman" w:hAnsi="Times New Roman" w:cs="Times New Roman"/>
                <w:kern w:val="2"/>
                <w:sz w:val="24"/>
                <w:szCs w:val="24"/>
                <w:lang w:eastAsia="zh-CN"/>
              </w:rPr>
              <w:t>IV</w:t>
            </w:r>
            <w:r>
              <w:rPr>
                <w:rFonts w:hint="default" w:ascii="Times New Roman" w:hAnsi="Times New Roman" w:cs="Times New Roman"/>
                <w:kern w:val="2"/>
                <w:sz w:val="24"/>
                <w:szCs w:val="24"/>
                <w:lang w:eastAsia="zh-CN"/>
              </w:rPr>
              <w:fldChar w:fldCharType="end"/>
            </w:r>
            <w:r>
              <w:rPr>
                <w:rFonts w:hint="default" w:ascii="Times New Roman" w:hAnsi="Times New Roman" w:cs="Times New Roman"/>
                <w:kern w:val="2"/>
                <w:sz w:val="24"/>
                <w:szCs w:val="24"/>
                <w:lang w:val="zh-CN" w:eastAsia="zh-CN"/>
              </w:rPr>
              <w:t>类水域功能区</w:t>
            </w:r>
            <w:r>
              <w:rPr>
                <w:rFonts w:hint="default" w:ascii="Times New Roman" w:hAnsi="Times New Roman" w:cs="Times New Roman"/>
                <w:kern w:val="2"/>
                <w:sz w:val="24"/>
                <w:szCs w:val="24"/>
                <w:lang w:eastAsia="zh-CN"/>
              </w:rPr>
              <w:t>。</w:t>
            </w:r>
          </w:p>
          <w:p>
            <w:pPr>
              <w:spacing w:line="360" w:lineRule="auto"/>
              <w:ind w:firstLine="480" w:firstLineChars="200"/>
              <w:jc w:val="both"/>
              <w:rPr>
                <w:rFonts w:hint="default" w:ascii="Times New Roman" w:hAnsi="Times New Roman" w:cs="Times New Roman"/>
                <w:kern w:val="2"/>
                <w:sz w:val="24"/>
                <w:szCs w:val="24"/>
                <w:highlight w:val="yellow"/>
                <w:lang w:val="en-GB" w:eastAsia="zh-CN"/>
              </w:rPr>
            </w:pPr>
            <w:r>
              <w:rPr>
                <w:rFonts w:hint="default" w:ascii="Times New Roman" w:hAnsi="Times New Roman" w:cs="Times New Roman"/>
                <w:kern w:val="2"/>
                <w:sz w:val="24"/>
                <w:szCs w:val="24"/>
                <w:lang w:eastAsia="zh-CN"/>
              </w:rPr>
              <w:t>本项目地表水质量现状引用庆阳市生态环境局宁县分局例行监测，魏家川四组马莲河</w:t>
            </w:r>
            <w:r>
              <w:rPr>
                <w:rFonts w:hint="default" w:ascii="Times New Roman" w:hAnsi="Times New Roman" w:cs="Times New Roman"/>
                <w:snapToGrid w:val="0"/>
                <w:sz w:val="24"/>
                <w:szCs w:val="24"/>
                <w:lang w:eastAsia="zh-CN"/>
              </w:rPr>
              <w:t>出境断面</w:t>
            </w:r>
            <w:r>
              <w:rPr>
                <w:rFonts w:hint="default" w:ascii="Times New Roman" w:hAnsi="Times New Roman" w:cs="Times New Roman"/>
                <w:kern w:val="2"/>
                <w:sz w:val="24"/>
                <w:szCs w:val="24"/>
                <w:lang w:eastAsia="zh-CN"/>
              </w:rPr>
              <w:t>监测数据，与本项目属同一流域马莲河，位于项目下游。</w:t>
            </w:r>
          </w:p>
          <w:p>
            <w:pPr>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（1）监测因子</w:t>
            </w:r>
          </w:p>
          <w:p>
            <w:pPr>
              <w:spacing w:line="360" w:lineRule="auto"/>
              <w:ind w:firstLine="480" w:firstLineChars="200"/>
              <w:jc w:val="both"/>
              <w:rPr>
                <w:rFonts w:hint="default" w:ascii="Times New Roman" w:hAnsi="Times New Roman" w:cs="Times New Roman"/>
                <w:bCs/>
                <w:kern w:val="2"/>
                <w:sz w:val="24"/>
                <w:szCs w:val="24"/>
                <w:lang w:eastAsia="zh-CN"/>
              </w:rPr>
            </w:pPr>
            <w:r>
              <w:rPr>
                <w:rFonts w:hint="default" w:ascii="Times New Roman" w:hAnsi="Times New Roman" w:cs="Times New Roman"/>
                <w:kern w:val="2"/>
                <w:sz w:val="24"/>
                <w:szCs w:val="24"/>
                <w:lang w:eastAsia="zh-CN"/>
              </w:rPr>
              <w:t>生化需氧量、氨氮、化学需氧量、总磷、总氮。</w:t>
            </w:r>
          </w:p>
          <w:p>
            <w:pPr>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（3）监测时间与频率</w:t>
            </w:r>
          </w:p>
          <w:p>
            <w:pPr>
              <w:spacing w:line="360" w:lineRule="auto"/>
              <w:ind w:firstLine="480" w:firstLineChars="200"/>
              <w:jc w:val="both"/>
              <w:rPr>
                <w:rFonts w:hint="default" w:ascii="Times New Roman" w:hAnsi="Times New Roman" w:cs="Times New Roman"/>
                <w:color w:val="FF0000"/>
                <w:kern w:val="2"/>
                <w:sz w:val="24"/>
                <w:szCs w:val="24"/>
                <w:lang w:eastAsia="zh-CN"/>
              </w:rPr>
            </w:pPr>
            <w:r>
              <w:rPr>
                <w:rFonts w:hint="default" w:ascii="Times New Roman" w:hAnsi="Times New Roman" w:cs="Times New Roman"/>
                <w:color w:val="auto"/>
                <w:kern w:val="2"/>
                <w:sz w:val="24"/>
                <w:szCs w:val="24"/>
                <w:lang w:eastAsia="zh-CN"/>
              </w:rPr>
              <w:t>2022年6月20日。</w:t>
            </w:r>
          </w:p>
          <w:p>
            <w:pPr>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 xml:space="preserve">（4）监测、分析方法 </w:t>
            </w:r>
          </w:p>
          <w:p>
            <w:pPr>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按国家环保局《水和废水监测分析方法》（第四版）进行。</w:t>
            </w:r>
          </w:p>
          <w:p>
            <w:pPr>
              <w:tabs>
                <w:tab w:val="left" w:pos="220"/>
                <w:tab w:val="left" w:pos="430"/>
              </w:tabs>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（5）监测结果</w:t>
            </w:r>
          </w:p>
          <w:p>
            <w:pPr>
              <w:tabs>
                <w:tab w:val="left" w:pos="220"/>
                <w:tab w:val="left" w:pos="430"/>
              </w:tabs>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监测结果见表3-</w:t>
            </w:r>
            <w:r>
              <w:rPr>
                <w:rFonts w:hint="default" w:ascii="Times New Roman" w:hAnsi="Times New Roman" w:cs="Times New Roman"/>
                <w:kern w:val="2"/>
                <w:sz w:val="24"/>
                <w:szCs w:val="24"/>
                <w:lang w:val="en-US" w:eastAsia="zh-CN"/>
              </w:rPr>
              <w:t>3</w:t>
            </w:r>
            <w:r>
              <w:rPr>
                <w:rFonts w:hint="default" w:ascii="Times New Roman" w:hAnsi="Times New Roman" w:cs="Times New Roman"/>
                <w:kern w:val="2"/>
                <w:sz w:val="24"/>
                <w:szCs w:val="24"/>
                <w:lang w:eastAsia="zh-CN"/>
              </w:rPr>
              <w:t>。</w:t>
            </w:r>
          </w:p>
          <w:p>
            <w:pPr>
              <w:jc w:val="center"/>
              <w:rPr>
                <w:rFonts w:hint="default" w:ascii="Times New Roman" w:hAnsi="Times New Roman" w:cs="Times New Roman"/>
                <w:b/>
                <w:color w:val="auto"/>
                <w:kern w:val="2"/>
                <w:sz w:val="21"/>
                <w:szCs w:val="21"/>
                <w:lang w:eastAsia="zh-CN"/>
              </w:rPr>
            </w:pPr>
            <w:r>
              <w:rPr>
                <w:rFonts w:hint="default" w:ascii="Times New Roman" w:hAnsi="Times New Roman" w:cs="Times New Roman"/>
                <w:b/>
                <w:bCs/>
                <w:color w:val="auto"/>
                <w:kern w:val="2"/>
                <w:sz w:val="21"/>
                <w:szCs w:val="21"/>
                <w:lang w:eastAsia="zh-CN"/>
              </w:rPr>
              <w:t>表3-</w:t>
            </w:r>
            <w:r>
              <w:rPr>
                <w:rFonts w:hint="default"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eastAsia="zh-CN"/>
              </w:rPr>
              <w:t xml:space="preserve">      地表水监测结果与分析一览表</w:t>
            </w:r>
            <w:r>
              <w:rPr>
                <w:rFonts w:hint="default" w:ascii="Times New Roman" w:hAnsi="Times New Roman" w:cs="Times New Roman"/>
                <w:b/>
                <w:color w:val="auto"/>
                <w:kern w:val="2"/>
                <w:sz w:val="21"/>
                <w:szCs w:val="21"/>
                <w:lang w:eastAsia="zh-CN"/>
              </w:rPr>
              <w:t xml:space="preserve">      单位：mg/L</w:t>
            </w:r>
          </w:p>
          <w:tbl>
            <w:tblPr>
              <w:tblStyle w:val="2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745"/>
              <w:gridCol w:w="1252"/>
              <w:gridCol w:w="93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60" w:type="pct"/>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监测时间</w:t>
                  </w:r>
                </w:p>
              </w:tc>
              <w:tc>
                <w:tcPr>
                  <w:tcW w:w="1058" w:type="pct"/>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监测因子</w:t>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监测值</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标准</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60" w:type="pct"/>
                  <w:vMerge w:val="restart"/>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2022年6月20日</w:t>
                  </w:r>
                </w:p>
              </w:tc>
              <w:tc>
                <w:tcPr>
                  <w:tcW w:w="1058"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COD</w:t>
                  </w:r>
                  <w:r>
                    <w:rPr>
                      <w:rFonts w:hint="default" w:ascii="Times New Roman" w:hAnsi="Times New Roman" w:cs="Times New Roman"/>
                      <w:color w:val="auto"/>
                      <w:kern w:val="2"/>
                      <w:sz w:val="21"/>
                      <w:szCs w:val="21"/>
                      <w:vertAlign w:val="subscript"/>
                      <w:lang w:eastAsia="zh-CN"/>
                    </w:rPr>
                    <w:t>Cr</w:t>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15</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≤20</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660" w:type="pct"/>
                  <w:vMerge w:val="continue"/>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p>
              </w:tc>
              <w:tc>
                <w:tcPr>
                  <w:tcW w:w="1058"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氨</w:t>
                  </w:r>
                  <w:r>
                    <w:rPr>
                      <w:rFonts w:hint="default" w:ascii="Times New Roman" w:hAnsi="Times New Roman" w:cs="Times New Roman"/>
                      <w:color w:val="auto"/>
                      <w:kern w:val="2"/>
                      <w:sz w:val="21"/>
                      <w:szCs w:val="21"/>
                      <w:lang w:eastAsia="zh-CN"/>
                    </w:rPr>
                    <w:cr/>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0.5</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≤1.0</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660" w:type="pct"/>
                  <w:vMerge w:val="continue"/>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p>
              </w:tc>
              <w:tc>
                <w:tcPr>
                  <w:tcW w:w="1058"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总磷</w:t>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0.16</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lang w:eastAsia="zh-CN"/>
                    </w:rPr>
                    <w:cr/>
                  </w:r>
                  <w:r>
                    <w:rPr>
                      <w:rFonts w:hint="default" w:ascii="Times New Roman" w:hAnsi="Times New Roman" w:cs="Times New Roman"/>
                      <w:color w:val="auto"/>
                      <w:kern w:val="2"/>
                      <w:sz w:val="21"/>
                      <w:szCs w:val="21"/>
                      <w:lang w:eastAsia="zh-CN"/>
                    </w:rPr>
                    <w:t>.2</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60" w:type="pct"/>
                  <w:vMerge w:val="continue"/>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p>
              </w:tc>
              <w:tc>
                <w:tcPr>
                  <w:tcW w:w="1058"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BOD</w:t>
                  </w:r>
                  <w:r>
                    <w:rPr>
                      <w:rFonts w:hint="default" w:ascii="Times New Roman" w:hAnsi="Times New Roman" w:cs="Times New Roman"/>
                      <w:color w:val="auto"/>
                      <w:kern w:val="2"/>
                      <w:sz w:val="21"/>
                      <w:szCs w:val="21"/>
                      <w:vertAlign w:val="subscript"/>
                      <w:lang w:eastAsia="zh-CN"/>
                    </w:rPr>
                    <w:t>5</w:t>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3.9</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≤4</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60" w:type="pct"/>
                  <w:vMerge w:val="continue"/>
                  <w:noWrap w:val="0"/>
                  <w:vAlign w:val="center"/>
                </w:tcPr>
                <w:p>
                  <w:pPr>
                    <w:tabs>
                      <w:tab w:val="left" w:pos="220"/>
                      <w:tab w:val="left" w:pos="430"/>
                    </w:tabs>
                    <w:spacing w:line="360" w:lineRule="auto"/>
                    <w:jc w:val="center"/>
                    <w:rPr>
                      <w:rFonts w:hint="default" w:ascii="Times New Roman" w:hAnsi="Times New Roman" w:cs="Times New Roman"/>
                      <w:color w:val="auto"/>
                      <w:kern w:val="2"/>
                      <w:sz w:val="21"/>
                      <w:szCs w:val="21"/>
                      <w:lang w:eastAsia="zh-CN"/>
                    </w:rPr>
                  </w:pPr>
                </w:p>
              </w:tc>
              <w:tc>
                <w:tcPr>
                  <w:tcW w:w="1058"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总氮</w:t>
                  </w:r>
                </w:p>
              </w:tc>
              <w:tc>
                <w:tcPr>
                  <w:tcW w:w="76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7.18</w:t>
                  </w:r>
                </w:p>
              </w:tc>
              <w:tc>
                <w:tcPr>
                  <w:tcW w:w="570" w:type="pct"/>
                  <w:noWrap w:val="0"/>
                  <w:vAlign w:val="center"/>
                </w:tcPr>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c>
                <w:tcPr>
                  <w:tcW w:w="949" w:type="pct"/>
                  <w:noWrap w:val="0"/>
                  <w:vAlign w:val="center"/>
                </w:tcPr>
                <w:p>
                  <w:pPr>
                    <w:widowControl/>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lang w:eastAsia="zh-CN"/>
                    </w:rPr>
                    <w:t>/</w:t>
                  </w:r>
                </w:p>
              </w:tc>
            </w:tr>
          </w:tbl>
          <w:p>
            <w:pPr>
              <w:spacing w:line="360" w:lineRule="auto"/>
              <w:ind w:firstLine="480" w:firstLineChars="200"/>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（6）评价结果</w:t>
            </w:r>
          </w:p>
          <w:p>
            <w:pPr>
              <w:spacing w:line="360" w:lineRule="auto"/>
              <w:ind w:firstLine="480" w:firstLineChars="200"/>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由监测数据可知，地表水所监测的5项监测因子均达到《地表水环境质量标准》（GB3838-2002）中Ⅳ类标准限值，说明项目区地表水环境质量现状良好。</w:t>
            </w:r>
          </w:p>
          <w:p>
            <w:pPr>
              <w:tabs>
                <w:tab w:val="left" w:pos="3680"/>
              </w:tabs>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3、声环境质量现状</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本次环评声环境现状委托</w:t>
            </w:r>
            <w:r>
              <w:rPr>
                <w:rFonts w:hint="default" w:ascii="Times New Roman" w:hAnsi="Times New Roman" w:eastAsia="宋体" w:cs="Times New Roman"/>
                <w:sz w:val="24"/>
                <w:lang w:eastAsia="zh-CN"/>
              </w:rPr>
              <w:t>甘肃绿创环保科技有限责任公司</w:t>
            </w:r>
            <w:r>
              <w:rPr>
                <w:rFonts w:hint="default" w:ascii="Times New Roman" w:hAnsi="Times New Roman" w:eastAsia="宋体" w:cs="Times New Roman"/>
                <w:bCs/>
                <w:sz w:val="24"/>
                <w:lang w:eastAsia="zh-CN"/>
              </w:rPr>
              <w:t>进行监测。</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（1）监测点的布设</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本次声环境质量现状监测在厂区四周共设6个噪声监测点位。</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（2）监测时间</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202</w:t>
            </w:r>
            <w:r>
              <w:rPr>
                <w:rFonts w:hint="default" w:ascii="Times New Roman" w:hAnsi="Times New Roman" w:eastAsia="宋体" w:cs="Times New Roman"/>
                <w:bCs/>
                <w:sz w:val="24"/>
                <w:lang w:val="en-US" w:eastAsia="zh-CN"/>
              </w:rPr>
              <w:t>3</w:t>
            </w:r>
            <w:r>
              <w:rPr>
                <w:rFonts w:hint="default" w:ascii="Times New Roman" w:hAnsi="Times New Roman" w:eastAsia="宋体" w:cs="Times New Roman"/>
                <w:bCs/>
                <w:sz w:val="24"/>
                <w:lang w:eastAsia="zh-CN"/>
              </w:rPr>
              <w:t>年6月</w:t>
            </w:r>
            <w:r>
              <w:rPr>
                <w:rFonts w:hint="default" w:ascii="Times New Roman" w:hAnsi="Times New Roman" w:eastAsia="宋体" w:cs="Times New Roman"/>
                <w:bCs/>
                <w:sz w:val="24"/>
                <w:lang w:val="en-US" w:eastAsia="zh-CN"/>
              </w:rPr>
              <w:t>20</w:t>
            </w:r>
            <w:r>
              <w:rPr>
                <w:rFonts w:hint="default" w:ascii="Times New Roman" w:hAnsi="Times New Roman" w:eastAsia="宋体" w:cs="Times New Roman"/>
                <w:bCs/>
                <w:sz w:val="24"/>
                <w:lang w:eastAsia="zh-CN"/>
              </w:rPr>
              <w:t>日~6月</w:t>
            </w:r>
            <w:r>
              <w:rPr>
                <w:rFonts w:hint="default" w:ascii="Times New Roman" w:hAnsi="Times New Roman" w:eastAsia="宋体" w:cs="Times New Roman"/>
                <w:bCs/>
                <w:sz w:val="24"/>
                <w:lang w:val="en-US" w:eastAsia="zh-CN"/>
              </w:rPr>
              <w:t>21</w:t>
            </w:r>
            <w:r>
              <w:rPr>
                <w:rFonts w:hint="default" w:ascii="Times New Roman" w:hAnsi="Times New Roman" w:eastAsia="宋体" w:cs="Times New Roman"/>
                <w:bCs/>
                <w:sz w:val="24"/>
                <w:lang w:eastAsia="zh-CN"/>
              </w:rPr>
              <w:t>日。</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（3）监测项目</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等效连续A声级。</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（4）监测方法与频次</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执行《声环境质量标准》（GB/T3096-2008）。本次噪声监测仪器使用AWA6228型噪声频谱分析仪，检出限28~120dB(A)，各噪声点位连续监测2天，昼、夜各监测一次。</w:t>
            </w:r>
          </w:p>
          <w:p>
            <w:pPr>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（5）监测结果及现状评价</w:t>
            </w:r>
          </w:p>
          <w:p>
            <w:pPr>
              <w:spacing w:line="500" w:lineRule="exact"/>
              <w:ind w:firstLine="480" w:firstLineChars="20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监测结果及分析与评价统计情况见表3-</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lang w:eastAsia="zh-CN"/>
              </w:rPr>
              <w:t>。</w:t>
            </w:r>
          </w:p>
          <w:p>
            <w:pPr>
              <w:pStyle w:val="4"/>
              <w:spacing w:before="0" w:after="0"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表3-</w:t>
            </w:r>
            <w:r>
              <w:rPr>
                <w:rFonts w:hint="default" w:ascii="Times New Roman" w:hAnsi="Times New Roman" w:eastAsia="宋体" w:cs="Times New Roman"/>
                <w:sz w:val="21"/>
                <w:szCs w:val="21"/>
                <w:lang w:val="en-US" w:eastAsia="zh-CN"/>
              </w:rPr>
              <w:t xml:space="preserve">4   </w:t>
            </w:r>
            <w:r>
              <w:rPr>
                <w:rFonts w:hint="default" w:ascii="Times New Roman" w:hAnsi="Times New Roman" w:eastAsia="宋体" w:cs="Times New Roman"/>
                <w:sz w:val="21"/>
                <w:szCs w:val="21"/>
                <w:lang w:eastAsia="zh-CN"/>
              </w:rPr>
              <w:t xml:space="preserve"> 环境噪声监测结果一览表  单位：dB(A)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949"/>
              <w:gridCol w:w="1212"/>
              <w:gridCol w:w="1214"/>
              <w:gridCol w:w="121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723" w:type="pct"/>
                  <w:vMerge w:val="restart"/>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1224" w:type="pct"/>
                  <w:vMerge w:val="restart"/>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点位名称</w:t>
                  </w:r>
                </w:p>
              </w:tc>
              <w:tc>
                <w:tcPr>
                  <w:tcW w:w="3052" w:type="pct"/>
                  <w:gridSpan w:val="4"/>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测定结果（dB（A））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1224" w:type="pct"/>
                  <w:vMerge w:val="continue"/>
                  <w:noWrap w:val="0"/>
                  <w:vAlign w:val="center"/>
                </w:tcPr>
                <w:p>
                  <w:pPr>
                    <w:jc w:val="center"/>
                    <w:rPr>
                      <w:rFonts w:hint="default" w:ascii="Times New Roman" w:hAnsi="Times New Roman" w:eastAsia="宋体" w:cs="Times New Roman"/>
                      <w:color w:val="auto"/>
                      <w:sz w:val="21"/>
                      <w:szCs w:val="21"/>
                    </w:rPr>
                  </w:pPr>
                </w:p>
              </w:tc>
              <w:tc>
                <w:tcPr>
                  <w:tcW w:w="1523" w:type="pct"/>
                  <w:gridSpan w:val="2"/>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日</w:t>
                  </w:r>
                </w:p>
              </w:tc>
              <w:tc>
                <w:tcPr>
                  <w:tcW w:w="1528" w:type="pct"/>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1224" w:type="pct"/>
                  <w:vMerge w:val="continue"/>
                  <w:noWrap w:val="0"/>
                  <w:vAlign w:val="center"/>
                </w:tcPr>
                <w:p>
                  <w:pPr>
                    <w:jc w:val="center"/>
                    <w:rPr>
                      <w:rFonts w:hint="default" w:ascii="Times New Roman" w:hAnsi="Times New Roman" w:eastAsia="宋体" w:cs="Times New Roman"/>
                      <w:color w:val="auto"/>
                      <w:sz w:val="21"/>
                      <w:szCs w:val="21"/>
                    </w:rPr>
                  </w:pPr>
                </w:p>
              </w:tc>
              <w:tc>
                <w:tcPr>
                  <w:tcW w:w="761" w:type="pct"/>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762" w:type="pct"/>
                  <w:tcBorders>
                    <w:top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761" w:type="pc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767" w:type="pc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3" w:type="pct"/>
                  <w:vMerge w:val="restar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0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Cs w:val="21"/>
                    </w:rPr>
                    <w:t>东侧厂界</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48.4</w:t>
                  </w:r>
                </w:p>
              </w:tc>
              <w:tc>
                <w:tcPr>
                  <w:tcW w:w="762"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41.0</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48.5</w:t>
                  </w:r>
                </w:p>
              </w:tc>
              <w:tc>
                <w:tcPr>
                  <w:tcW w:w="767"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20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Cs w:val="21"/>
                    </w:rPr>
                    <w:t>南侧厂界</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46.3</w:t>
                  </w:r>
                </w:p>
              </w:tc>
              <w:tc>
                <w:tcPr>
                  <w:tcW w:w="762"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43.1</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46.2</w:t>
                  </w:r>
                </w:p>
              </w:tc>
              <w:tc>
                <w:tcPr>
                  <w:tcW w:w="767"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20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Cs w:val="21"/>
                    </w:rPr>
                    <w:t>西侧厂界</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46.9</w:t>
                  </w:r>
                </w:p>
              </w:tc>
              <w:tc>
                <w:tcPr>
                  <w:tcW w:w="762"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42.6</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47.8</w:t>
                  </w:r>
                </w:p>
              </w:tc>
              <w:tc>
                <w:tcPr>
                  <w:tcW w:w="767"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2086"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Cs w:val="21"/>
                    </w:rPr>
                    <w:t>北侧厂界</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48.1</w:t>
                  </w:r>
                </w:p>
              </w:tc>
              <w:tc>
                <w:tcPr>
                  <w:tcW w:w="762"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42.5</w:t>
                  </w:r>
                </w:p>
              </w:tc>
              <w:tc>
                <w:tcPr>
                  <w:tcW w:w="761"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48.4</w:t>
                  </w:r>
                </w:p>
              </w:tc>
              <w:tc>
                <w:tcPr>
                  <w:tcW w:w="767"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3" w:type="pct"/>
                  <w:vMerge w:val="continue"/>
                  <w:noWrap w:val="0"/>
                  <w:vAlign w:val="center"/>
                </w:tcPr>
                <w:p>
                  <w:pPr>
                    <w:jc w:val="center"/>
                    <w:rPr>
                      <w:rFonts w:hint="default" w:ascii="Times New Roman" w:hAnsi="Times New Roman" w:eastAsia="宋体" w:cs="Times New Roman"/>
                      <w:color w:val="auto"/>
                      <w:sz w:val="21"/>
                      <w:szCs w:val="21"/>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评价标准（dB（A））</w:t>
                  </w:r>
                </w:p>
              </w:tc>
              <w:tc>
                <w:tcPr>
                  <w:tcW w:w="761" w:type="pct"/>
                  <w:noWrap w:val="0"/>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60</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50</w:t>
                  </w:r>
                </w:p>
              </w:tc>
              <w:tc>
                <w:tcPr>
                  <w:tcW w:w="761" w:type="pct"/>
                  <w:noWrap w:val="0"/>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60</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50</w:t>
                  </w:r>
                </w:p>
              </w:tc>
            </w:tr>
          </w:tbl>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lang w:eastAsia="zh-CN"/>
              </w:rPr>
              <w:t>由监测结果可知，项目拟建地昼、夜环境噪声的等效声级均符合《声环境质量标准》（GB3096-2008）2类标准，可见项目建设地周围声环境质量良好。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419" w:type="dxa"/>
            <w:vAlign w:val="center"/>
          </w:tcPr>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环境</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保护</w:t>
            </w:r>
          </w:p>
          <w:p>
            <w:pPr>
              <w:pStyle w:val="23"/>
              <w:adjustRightInd w:val="0"/>
              <w:snapToGrid w:val="0"/>
              <w:spacing w:before="0" w:beforeAutospacing="0" w:after="0" w:afterAutospacing="0"/>
              <w:jc w:val="center"/>
              <w:rPr>
                <w:rFonts w:hint="default" w:ascii="Times New Roman" w:hAnsi="Times New Roman" w:cs="Times New Roman"/>
                <w:szCs w:val="24"/>
              </w:rPr>
            </w:pPr>
            <w:r>
              <w:rPr>
                <w:rFonts w:hint="default" w:ascii="Times New Roman" w:hAnsi="Times New Roman" w:cs="Times New Roman"/>
                <w:kern w:val="2"/>
                <w:szCs w:val="24"/>
                <w:lang w:val="zh-CN"/>
              </w:rPr>
              <w:t>目标</w:t>
            </w:r>
          </w:p>
        </w:tc>
        <w:tc>
          <w:tcPr>
            <w:tcW w:w="8190" w:type="dxa"/>
            <w:vAlign w:val="center"/>
          </w:tcPr>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1、大气环境保护目标</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根据现场勘查，本项目厂界外500m范围内无自然保护区、风景名胜区，周边环境敏感点主要为周边的居民区、学校、行政办公单位等，本项目周边500m范围内的环境敏感点详见表3-4和附图4。</w:t>
            </w:r>
          </w:p>
          <w:p>
            <w:pPr>
              <w:pStyle w:val="4"/>
              <w:spacing w:before="0" w:after="0"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表3-4  主要大气环境保护目标一览表</w:t>
            </w:r>
          </w:p>
          <w:tbl>
            <w:tblPr>
              <w:tblStyle w:val="27"/>
              <w:tblW w:w="81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238"/>
              <w:gridCol w:w="1172"/>
              <w:gridCol w:w="599"/>
              <w:gridCol w:w="663"/>
              <w:gridCol w:w="783"/>
              <w:gridCol w:w="788"/>
              <w:gridCol w:w="1117"/>
              <w:gridCol w:w="8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6"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名称</w:t>
                  </w:r>
                </w:p>
              </w:tc>
              <w:tc>
                <w:tcPr>
                  <w:tcW w:w="2410" w:type="dxa"/>
                  <w:gridSpan w:val="2"/>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坐标</w:t>
                  </w:r>
                </w:p>
              </w:tc>
              <w:tc>
                <w:tcPr>
                  <w:tcW w:w="599"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保护对象</w:t>
                  </w:r>
                </w:p>
              </w:tc>
              <w:tc>
                <w:tcPr>
                  <w:tcW w:w="663"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保护内容</w:t>
                  </w:r>
                </w:p>
              </w:tc>
              <w:tc>
                <w:tcPr>
                  <w:tcW w:w="783"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环境功能区</w:t>
                  </w:r>
                </w:p>
              </w:tc>
              <w:tc>
                <w:tcPr>
                  <w:tcW w:w="788"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相对边界方位</w:t>
                  </w:r>
                </w:p>
              </w:tc>
              <w:tc>
                <w:tcPr>
                  <w:tcW w:w="1117"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相对边界距离/m</w:t>
                  </w:r>
                </w:p>
              </w:tc>
              <w:tc>
                <w:tcPr>
                  <w:tcW w:w="870"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经度</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纬度</w:t>
                  </w:r>
                </w:p>
              </w:tc>
              <w:tc>
                <w:tcPr>
                  <w:tcW w:w="599"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663"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783"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788"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1117"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870"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46"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宁县食品药品监测中心</w:t>
                  </w: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107.02510</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35.305305</w:t>
                  </w:r>
                </w:p>
              </w:tc>
              <w:tc>
                <w:tcPr>
                  <w:tcW w:w="599"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环境空气</w:t>
                  </w:r>
                </w:p>
                <w:p>
                  <w:pPr>
                    <w:adjustRightInd w:val="0"/>
                    <w:snapToGrid w:val="0"/>
                    <w:jc w:val="center"/>
                    <w:rPr>
                      <w:rFonts w:hint="default" w:ascii="Times New Roman" w:hAnsi="Times New Roman" w:eastAsia="宋体" w:cs="Times New Roman"/>
                      <w:sz w:val="21"/>
                      <w:szCs w:val="21"/>
                      <w:lang w:eastAsia="zh-CN"/>
                    </w:rPr>
                  </w:pPr>
                </w:p>
              </w:tc>
              <w:tc>
                <w:tcPr>
                  <w:tcW w:w="663"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人群</w:t>
                  </w:r>
                </w:p>
                <w:p>
                  <w:pPr>
                    <w:adjustRightInd w:val="0"/>
                    <w:snapToGrid w:val="0"/>
                    <w:jc w:val="center"/>
                    <w:rPr>
                      <w:rFonts w:hint="default" w:ascii="Times New Roman" w:hAnsi="Times New Roman" w:eastAsia="宋体" w:cs="Times New Roman"/>
                      <w:sz w:val="21"/>
                      <w:szCs w:val="21"/>
                      <w:lang w:eastAsia="zh-CN"/>
                    </w:rPr>
                  </w:pPr>
                </w:p>
              </w:tc>
              <w:tc>
                <w:tcPr>
                  <w:tcW w:w="783"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二类区</w:t>
                  </w:r>
                </w:p>
                <w:p>
                  <w:pPr>
                    <w:adjustRightInd w:val="0"/>
                    <w:snapToGrid w:val="0"/>
                    <w:jc w:val="center"/>
                    <w:rPr>
                      <w:rFonts w:hint="default" w:ascii="Times New Roman" w:hAnsi="Times New Roman" w:eastAsia="宋体" w:cs="Times New Roman"/>
                      <w:sz w:val="21"/>
                      <w:szCs w:val="21"/>
                      <w:lang w:eastAsia="zh-CN"/>
                    </w:rPr>
                  </w:pPr>
                </w:p>
              </w:tc>
              <w:tc>
                <w:tcPr>
                  <w:tcW w:w="788"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w:t>
                  </w:r>
                </w:p>
              </w:tc>
              <w:tc>
                <w:tcPr>
                  <w:tcW w:w="1117"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870"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46"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宁县农机局</w:t>
                  </w: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107.024232</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35.305096</w:t>
                  </w:r>
                </w:p>
              </w:tc>
              <w:tc>
                <w:tcPr>
                  <w:tcW w:w="599"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663"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83"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88"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w:t>
                  </w:r>
                </w:p>
              </w:tc>
              <w:tc>
                <w:tcPr>
                  <w:tcW w:w="1117"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96</w:t>
                  </w:r>
                </w:p>
              </w:tc>
              <w:tc>
                <w:tcPr>
                  <w:tcW w:w="870"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46"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宁县图书馆</w:t>
                  </w: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107.023567</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35.305107</w:t>
                  </w:r>
                </w:p>
              </w:tc>
              <w:tc>
                <w:tcPr>
                  <w:tcW w:w="599" w:type="dxa"/>
                  <w:vMerge w:val="continue"/>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eastAsia="zh-CN"/>
                    </w:rPr>
                  </w:pPr>
                </w:p>
              </w:tc>
              <w:tc>
                <w:tcPr>
                  <w:tcW w:w="663" w:type="dxa"/>
                  <w:vMerge w:val="continue"/>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eastAsia="zh-CN"/>
                    </w:rPr>
                  </w:pPr>
                </w:p>
              </w:tc>
              <w:tc>
                <w:tcPr>
                  <w:tcW w:w="783" w:type="dxa"/>
                  <w:vMerge w:val="continue"/>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eastAsia="zh-CN"/>
                    </w:rPr>
                  </w:pPr>
                </w:p>
              </w:tc>
              <w:tc>
                <w:tcPr>
                  <w:tcW w:w="788"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w:t>
                  </w:r>
                </w:p>
              </w:tc>
              <w:tc>
                <w:tcPr>
                  <w:tcW w:w="1117"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160</w:t>
                  </w:r>
                </w:p>
              </w:tc>
              <w:tc>
                <w:tcPr>
                  <w:tcW w:w="870"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6"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宁县水务局</w:t>
                  </w: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107.021191</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35.30621</w:t>
                  </w:r>
                </w:p>
              </w:tc>
              <w:tc>
                <w:tcPr>
                  <w:tcW w:w="599"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663"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83"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88"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NW</w:t>
                  </w:r>
                </w:p>
              </w:tc>
              <w:tc>
                <w:tcPr>
                  <w:tcW w:w="1117"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270</w:t>
                  </w:r>
                </w:p>
              </w:tc>
              <w:tc>
                <w:tcPr>
                  <w:tcW w:w="870"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6" w:type="dxa"/>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住宅楼</w:t>
                  </w:r>
                </w:p>
              </w:tc>
              <w:tc>
                <w:tcPr>
                  <w:tcW w:w="1238"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107.930005</w:t>
                  </w:r>
                </w:p>
              </w:tc>
              <w:tc>
                <w:tcPr>
                  <w:tcW w:w="1172"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35.504392</w:t>
                  </w:r>
                </w:p>
              </w:tc>
              <w:tc>
                <w:tcPr>
                  <w:tcW w:w="599"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eastAsia="zh-CN"/>
                    </w:rPr>
                  </w:pPr>
                </w:p>
              </w:tc>
              <w:tc>
                <w:tcPr>
                  <w:tcW w:w="663"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eastAsia="zh-CN"/>
                    </w:rPr>
                  </w:pPr>
                </w:p>
              </w:tc>
              <w:tc>
                <w:tcPr>
                  <w:tcW w:w="783"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eastAsia="zh-CN"/>
                    </w:rPr>
                  </w:pPr>
                </w:p>
              </w:tc>
              <w:tc>
                <w:tcPr>
                  <w:tcW w:w="788" w:type="dxa"/>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E</w:t>
                  </w:r>
                </w:p>
              </w:tc>
              <w:tc>
                <w:tcPr>
                  <w:tcW w:w="1117" w:type="dxa"/>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w:t>
                  </w:r>
                </w:p>
              </w:tc>
              <w:tc>
                <w:tcPr>
                  <w:tcW w:w="870" w:type="dxa"/>
                  <w:tcBorders>
                    <w:tl2br w:val="nil"/>
                    <w:tr2bl w:val="nil"/>
                  </w:tcBorders>
                  <w:vAlign w:val="center"/>
                </w:tcPr>
                <w:p>
                  <w:pPr>
                    <w:adjustRightInd w:val="0"/>
                    <w:snapToGrid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居住</w:t>
                  </w:r>
                </w:p>
              </w:tc>
            </w:tr>
          </w:tbl>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2、声环境保护目标</w:t>
            </w:r>
          </w:p>
          <w:p>
            <w:pPr>
              <w:spacing w:line="360" w:lineRule="auto"/>
              <w:ind w:left="36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本项50m范围内的声环境保护目标详见表3-5。</w:t>
            </w:r>
          </w:p>
          <w:p>
            <w:pPr>
              <w:pStyle w:val="4"/>
              <w:spacing w:before="0" w:after="0"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表3-5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主要声环境保护目标一览表</w:t>
            </w:r>
          </w:p>
          <w:tbl>
            <w:tblPr>
              <w:tblStyle w:val="27"/>
              <w:tblW w:w="82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200"/>
              <w:gridCol w:w="1160"/>
              <w:gridCol w:w="602"/>
              <w:gridCol w:w="667"/>
              <w:gridCol w:w="787"/>
              <w:gridCol w:w="791"/>
              <w:gridCol w:w="1123"/>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12"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名称</w:t>
                  </w:r>
                </w:p>
              </w:tc>
              <w:tc>
                <w:tcPr>
                  <w:tcW w:w="2360" w:type="dxa"/>
                  <w:gridSpan w:val="2"/>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坐标</w:t>
                  </w:r>
                </w:p>
              </w:tc>
              <w:tc>
                <w:tcPr>
                  <w:tcW w:w="602"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保护对象</w:t>
                  </w:r>
                </w:p>
              </w:tc>
              <w:tc>
                <w:tcPr>
                  <w:tcW w:w="667" w:type="dxa"/>
                  <w:vMerge w:val="restart"/>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保护内容</w:t>
                  </w:r>
                </w:p>
              </w:tc>
              <w:tc>
                <w:tcPr>
                  <w:tcW w:w="787"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环境功能区</w:t>
                  </w:r>
                </w:p>
              </w:tc>
              <w:tc>
                <w:tcPr>
                  <w:tcW w:w="791"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相对边界方位</w:t>
                  </w:r>
                </w:p>
              </w:tc>
              <w:tc>
                <w:tcPr>
                  <w:tcW w:w="1123"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相对边界距离/m</w:t>
                  </w:r>
                </w:p>
              </w:tc>
              <w:tc>
                <w:tcPr>
                  <w:tcW w:w="874"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12"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120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经度</w:t>
                  </w:r>
                </w:p>
              </w:tc>
              <w:tc>
                <w:tcPr>
                  <w:tcW w:w="116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纬度</w:t>
                  </w:r>
                </w:p>
              </w:tc>
              <w:tc>
                <w:tcPr>
                  <w:tcW w:w="602"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667"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787"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791"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1123"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宁县食品药品监测中心</w:t>
                  </w:r>
                </w:p>
              </w:tc>
              <w:tc>
                <w:tcPr>
                  <w:tcW w:w="120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107.02510</w:t>
                  </w:r>
                </w:p>
              </w:tc>
              <w:tc>
                <w:tcPr>
                  <w:tcW w:w="116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35.305305</w:t>
                  </w:r>
                </w:p>
              </w:tc>
              <w:tc>
                <w:tcPr>
                  <w:tcW w:w="602"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声环境</w:t>
                  </w:r>
                </w:p>
              </w:tc>
              <w:tc>
                <w:tcPr>
                  <w:tcW w:w="667"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人群</w:t>
                  </w:r>
                </w:p>
                <w:p>
                  <w:pPr>
                    <w:adjustRightInd w:val="0"/>
                    <w:snapToGrid w:val="0"/>
                    <w:jc w:val="center"/>
                    <w:rPr>
                      <w:rFonts w:hint="default" w:ascii="Times New Roman" w:hAnsi="Times New Roman" w:eastAsia="宋体" w:cs="Times New Roman"/>
                      <w:sz w:val="21"/>
                      <w:szCs w:val="21"/>
                      <w:lang w:eastAsia="zh-CN"/>
                    </w:rPr>
                  </w:pPr>
                </w:p>
              </w:tc>
              <w:tc>
                <w:tcPr>
                  <w:tcW w:w="787" w:type="dxa"/>
                  <w:vMerge w:val="restart"/>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二类区</w:t>
                  </w:r>
                </w:p>
                <w:p>
                  <w:pPr>
                    <w:adjustRightInd w:val="0"/>
                    <w:snapToGrid w:val="0"/>
                    <w:jc w:val="center"/>
                    <w:rPr>
                      <w:rFonts w:hint="default" w:ascii="Times New Roman" w:hAnsi="Times New Roman" w:eastAsia="宋体" w:cs="Times New Roman"/>
                      <w:sz w:val="21"/>
                      <w:szCs w:val="21"/>
                      <w:lang w:eastAsia="zh-CN"/>
                    </w:rPr>
                  </w:pPr>
                </w:p>
              </w:tc>
              <w:tc>
                <w:tcPr>
                  <w:tcW w:w="791"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w:t>
                  </w:r>
                </w:p>
              </w:tc>
              <w:tc>
                <w:tcPr>
                  <w:tcW w:w="112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874"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FF0000"/>
                      <w:sz w:val="21"/>
                      <w:szCs w:val="21"/>
                      <w:lang w:val="en-US" w:eastAsia="zh-CN"/>
                    </w:rPr>
                    <w:t>住宅楼</w:t>
                  </w:r>
                </w:p>
              </w:tc>
              <w:tc>
                <w:tcPr>
                  <w:tcW w:w="120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eastAsia="zh-CN"/>
                    </w:rPr>
                    <w:t>107.930005</w:t>
                  </w:r>
                </w:p>
              </w:tc>
              <w:tc>
                <w:tcPr>
                  <w:tcW w:w="1160" w:type="dxa"/>
                  <w:tcBorders>
                    <w:tl2br w:val="nil"/>
                    <w:tr2bl w:val="nil"/>
                  </w:tcBorders>
                  <w:vAlign w:val="center"/>
                </w:tcPr>
                <w:p>
                  <w:pPr>
                    <w:tabs>
                      <w:tab w:val="left" w:pos="4757"/>
                      <w:tab w:val="left" w:pos="5802"/>
                      <w:tab w:val="left" w:pos="6847"/>
                    </w:tabs>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eastAsia="zh-CN"/>
                    </w:rPr>
                    <w:t>35.504392</w:t>
                  </w:r>
                </w:p>
              </w:tc>
              <w:tc>
                <w:tcPr>
                  <w:tcW w:w="602"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667"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87" w:type="dxa"/>
                  <w:vMerge w:val="continue"/>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p>
              </w:tc>
              <w:tc>
                <w:tcPr>
                  <w:tcW w:w="791"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val="en-US" w:eastAsia="zh-CN"/>
                    </w:rPr>
                    <w:t>E</w:t>
                  </w:r>
                </w:p>
              </w:tc>
              <w:tc>
                <w:tcPr>
                  <w:tcW w:w="112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val="en-US" w:eastAsia="zh-CN"/>
                    </w:rPr>
                    <w:t>10</w:t>
                  </w:r>
                </w:p>
              </w:tc>
              <w:tc>
                <w:tcPr>
                  <w:tcW w:w="874"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val="en-US" w:eastAsia="zh-CN"/>
                    </w:rPr>
                    <w:t>居住</w:t>
                  </w:r>
                </w:p>
              </w:tc>
            </w:tr>
          </w:tbl>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3、地下水环境保护目标</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根据现场勘查，本项目厂界外500m范围内无地下水集中式饮用水水源或热水、矿泉水、温泉等特殊地下水资源。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419" w:type="dxa"/>
            <w:tcMar>
              <w:left w:w="28" w:type="dxa"/>
              <w:right w:w="28" w:type="dxa"/>
            </w:tcMar>
            <w:vAlign w:val="center"/>
          </w:tcPr>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污染</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物排</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放控</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制标</w:t>
            </w:r>
          </w:p>
          <w:p>
            <w:pPr>
              <w:pStyle w:val="23"/>
              <w:adjustRightInd w:val="0"/>
              <w:snapToGrid w:val="0"/>
              <w:spacing w:before="0" w:beforeAutospacing="0" w:after="0" w:afterAutospacing="0"/>
              <w:jc w:val="center"/>
              <w:rPr>
                <w:rFonts w:hint="default" w:ascii="Times New Roman" w:hAnsi="Times New Roman" w:cs="Times New Roman"/>
                <w:szCs w:val="24"/>
              </w:rPr>
            </w:pPr>
            <w:r>
              <w:rPr>
                <w:rFonts w:hint="default" w:ascii="Times New Roman" w:hAnsi="Times New Roman" w:cs="Times New Roman"/>
                <w:kern w:val="2"/>
                <w:szCs w:val="24"/>
                <w:lang w:val="zh-CN"/>
              </w:rPr>
              <w:t>准</w:t>
            </w:r>
          </w:p>
        </w:tc>
        <w:tc>
          <w:tcPr>
            <w:tcW w:w="8190" w:type="dxa"/>
            <w:vAlign w:val="center"/>
          </w:tcPr>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1、施工期</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（1）废气：无组织排放的扬尘执行《大气污染物综合排放标准》（GB16297-1996）中二级标准，即颗粒物周界外浓度最高点≤1.0mg/m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（2）噪声：执行《建筑施工场界环境噪声排放限值》（GB12523－2011）标准，即昼间70dB(A)，夜间55 dB(A)。</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2、运营期</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（1）废气污染物排放标准</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本项目运营时主要废气来源于化验时化学药品的挥发及化验过程中化学反应产生的有害气体、非甲烷总烃等废气执行《大气污染物综合排放标准》（GB16297-1996）中二级标准及无组织排放浓度限值。详见表3-6。</w:t>
            </w:r>
          </w:p>
          <w:p>
            <w:pPr>
              <w:pStyle w:val="4"/>
              <w:spacing w:before="0" w:after="0" w:line="240" w:lineRule="auto"/>
              <w:jc w:val="center"/>
              <w:rPr>
                <w:rFonts w:hint="default" w:ascii="Times New Roman" w:hAnsi="Times New Roman" w:eastAsia="宋体" w:cs="Times New Roman"/>
                <w:sz w:val="21"/>
                <w:szCs w:val="21"/>
                <w:lang w:eastAsia="zh-CN"/>
              </w:rPr>
            </w:pPr>
          </w:p>
          <w:p>
            <w:pPr>
              <w:pStyle w:val="4"/>
              <w:spacing w:before="0" w:after="0"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 xml:space="preserve">表3-6  </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《大气污染物综合排放标准》（GB16297-1996）</w:t>
            </w:r>
          </w:p>
          <w:p>
            <w:pPr>
              <w:spacing w:line="31" w:lineRule="exact"/>
              <w:rPr>
                <w:rFonts w:hint="default" w:ascii="Times New Roman" w:hAnsi="Times New Roman" w:cs="Times New Roman"/>
                <w:color w:val="FF0000"/>
              </w:rPr>
            </w:pPr>
          </w:p>
          <w:tbl>
            <w:tblPr>
              <w:tblStyle w:val="36"/>
              <w:tblW w:w="7946" w:type="dxa"/>
              <w:tblInd w:w="96"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322"/>
              <w:gridCol w:w="1443"/>
              <w:gridCol w:w="1190"/>
              <w:gridCol w:w="1330"/>
              <w:gridCol w:w="1097"/>
              <w:gridCol w:w="1564"/>
            </w:tblGrid>
            <w:tr>
              <w:tblPrEx>
                <w:tblCellMar>
                  <w:top w:w="0" w:type="dxa"/>
                  <w:left w:w="0" w:type="dxa"/>
                  <w:bottom w:w="0" w:type="dxa"/>
                  <w:right w:w="0" w:type="dxa"/>
                </w:tblCellMar>
              </w:tblPrEx>
              <w:trPr>
                <w:trHeight w:val="397" w:hRule="atLeast"/>
              </w:trPr>
              <w:tc>
                <w:tcPr>
                  <w:tcW w:w="1322" w:type="dxa"/>
                  <w:vMerge w:val="restart"/>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污染物</w:t>
                  </w:r>
                </w:p>
              </w:tc>
              <w:tc>
                <w:tcPr>
                  <w:tcW w:w="1443" w:type="dxa"/>
                  <w:vMerge w:val="restart"/>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最高允许排</w:t>
                  </w:r>
                </w:p>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放浓度</w:t>
                  </w:r>
                </w:p>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(mg/m</w:t>
                  </w:r>
                  <w:r>
                    <w:rPr>
                      <w:rFonts w:hint="default" w:ascii="Times New Roman" w:hAnsi="Times New Roman" w:eastAsia="宋体" w:cs="Times New Roman"/>
                      <w:color w:val="FF0000"/>
                      <w:vertAlign w:val="superscript"/>
                      <w:lang w:val="en-US" w:eastAsia="zh-CN"/>
                    </w:rPr>
                    <w:t>3</w:t>
                  </w:r>
                  <w:r>
                    <w:rPr>
                      <w:rFonts w:hint="default" w:ascii="Times New Roman" w:hAnsi="Times New Roman" w:eastAsia="宋体" w:cs="Times New Roman"/>
                      <w:color w:val="FF0000"/>
                      <w:lang w:val="en-US" w:eastAsia="zh-CN"/>
                    </w:rPr>
                    <w:t>)</w:t>
                  </w:r>
                </w:p>
              </w:tc>
              <w:tc>
                <w:tcPr>
                  <w:tcW w:w="2520" w:type="dxa"/>
                  <w:gridSpan w:val="2"/>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有组织排放限值</w:t>
                  </w:r>
                </w:p>
              </w:tc>
              <w:tc>
                <w:tcPr>
                  <w:tcW w:w="2661" w:type="dxa"/>
                  <w:gridSpan w:val="2"/>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无组织排放监控浓度限值</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443"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19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排气筒高度(m)</w:t>
                  </w: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排放速率kg/h</w:t>
                  </w:r>
                </w:p>
              </w:tc>
              <w:tc>
                <w:tcPr>
                  <w:tcW w:w="1097"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监控点</w:t>
                  </w: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浓度(mg/m</w:t>
                  </w:r>
                  <w:r>
                    <w:rPr>
                      <w:rFonts w:hint="default" w:ascii="Times New Roman" w:hAnsi="Times New Roman" w:eastAsia="宋体" w:cs="Times New Roman"/>
                      <w:color w:val="FF0000"/>
                      <w:vertAlign w:val="superscript"/>
                      <w:lang w:val="en-US" w:eastAsia="zh-CN"/>
                    </w:rPr>
                    <w:t>3</w:t>
                  </w:r>
                  <w:r>
                    <w:rPr>
                      <w:rFonts w:hint="default" w:ascii="Times New Roman" w:hAnsi="Times New Roman" w:eastAsia="宋体" w:cs="Times New Roman"/>
                      <w:color w:val="FF0000"/>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氟化物</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9</w:t>
                  </w:r>
                </w:p>
              </w:tc>
              <w:tc>
                <w:tcPr>
                  <w:tcW w:w="1190" w:type="dxa"/>
                  <w:vMerge w:val="restart"/>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15</w:t>
                  </w: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0.17</w:t>
                  </w:r>
                </w:p>
              </w:tc>
              <w:tc>
                <w:tcPr>
                  <w:tcW w:w="1097" w:type="dxa"/>
                  <w:vMerge w:val="restart"/>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周界外浓度最高点</w:t>
                  </w: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20ug/m3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硫酸雾</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45</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1.5</w:t>
                  </w:r>
                </w:p>
              </w:tc>
              <w:tc>
                <w:tcPr>
                  <w:tcW w:w="1097"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NOx</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240</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0.77</w:t>
                  </w:r>
                </w:p>
              </w:tc>
              <w:tc>
                <w:tcPr>
                  <w:tcW w:w="1097"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0.12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氯化氢</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100</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0.26</w:t>
                  </w:r>
                </w:p>
              </w:tc>
              <w:tc>
                <w:tcPr>
                  <w:tcW w:w="1097"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0.20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非甲烷总烃</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120</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10</w:t>
                  </w:r>
                </w:p>
              </w:tc>
              <w:tc>
                <w:tcPr>
                  <w:tcW w:w="1097"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4.0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三氯乙烯</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36</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0.77</w:t>
                  </w:r>
                </w:p>
              </w:tc>
              <w:tc>
                <w:tcPr>
                  <w:tcW w:w="1097" w:type="dxa"/>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0.60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2"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汞及其化合物</w:t>
                  </w:r>
                </w:p>
              </w:tc>
              <w:tc>
                <w:tcPr>
                  <w:tcW w:w="1443"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0.012</w:t>
                  </w:r>
                </w:p>
              </w:tc>
              <w:tc>
                <w:tcPr>
                  <w:tcW w:w="1190" w:type="dxa"/>
                  <w:vMerge w:val="continue"/>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330"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0.0015</w:t>
                  </w:r>
                </w:p>
              </w:tc>
              <w:tc>
                <w:tcPr>
                  <w:tcW w:w="1097" w:type="dxa"/>
                  <w:tcBorders>
                    <w:tl2br w:val="nil"/>
                    <w:tr2bl w:val="nil"/>
                  </w:tcBorders>
                  <w:vAlign w:val="center"/>
                </w:tcPr>
                <w:p>
                  <w:pPr>
                    <w:jc w:val="center"/>
                    <w:rPr>
                      <w:rFonts w:hint="default" w:ascii="Times New Roman" w:hAnsi="Times New Roman" w:eastAsia="宋体" w:cs="Times New Roman"/>
                      <w:color w:val="FF0000"/>
                      <w:lang w:val="en-US" w:eastAsia="zh-CN"/>
                    </w:rPr>
                  </w:pPr>
                </w:p>
              </w:tc>
              <w:tc>
                <w:tcPr>
                  <w:tcW w:w="1564" w:type="dxa"/>
                  <w:tcBorders>
                    <w:tl2br w:val="nil"/>
                    <w:tr2bl w:val="nil"/>
                  </w:tcBorders>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0.0012</w:t>
                  </w:r>
                </w:p>
              </w:tc>
            </w:tr>
          </w:tbl>
          <w:p>
            <w:pPr>
              <w:rPr>
                <w:rFonts w:hint="default" w:ascii="Times New Roman" w:hAnsi="Times New Roman" w:eastAsia="宋体" w:cs="Times New Roman"/>
                <w:sz w:val="21"/>
                <w:szCs w:val="21"/>
                <w:lang w:eastAsia="zh-CN"/>
              </w:rPr>
            </w:pP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（2）噪声污染排放标准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厂界噪声执行《工业企业厂界环境噪声排放标准》（GB12348-2008）</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类标准；</w:t>
            </w:r>
          </w:p>
          <w:p>
            <w:pPr>
              <w:spacing w:line="46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w:t>
            </w:r>
            <w:r>
              <w:rPr>
                <w:rFonts w:hint="default" w:ascii="Times New Roman" w:hAnsi="Times New Roman" w:eastAsia="宋体" w:cs="Times New Roman"/>
                <w:b/>
                <w:szCs w:val="21"/>
                <w:lang w:eastAsia="zh-CN"/>
              </w:rPr>
              <w:t>3-</w:t>
            </w:r>
            <w:r>
              <w:rPr>
                <w:rFonts w:hint="default" w:ascii="Times New Roman" w:hAnsi="Times New Roman" w:eastAsia="宋体" w:cs="Times New Roman"/>
                <w:b/>
                <w:szCs w:val="21"/>
                <w:lang w:val="en-US" w:eastAsia="zh-CN"/>
              </w:rPr>
              <w:t>7</w:t>
            </w:r>
            <w:r>
              <w:rPr>
                <w:rFonts w:hint="default" w:ascii="Times New Roman" w:hAnsi="Times New Roman" w:eastAsia="宋体" w:cs="Times New Roman"/>
                <w:b/>
                <w:szCs w:val="21"/>
              </w:rPr>
              <w:t xml:space="preserve">  工业企业厂界环境噪声排放标准   单位：dB(A)</w:t>
            </w:r>
          </w:p>
          <w:tbl>
            <w:tblPr>
              <w:tblStyle w:val="27"/>
              <w:tblW w:w="81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733"/>
              <w:gridCol w:w="27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732"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类别</w:t>
                  </w:r>
                </w:p>
              </w:tc>
              <w:tc>
                <w:tcPr>
                  <w:tcW w:w="2733"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2733"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32"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类</w:t>
                  </w:r>
                </w:p>
              </w:tc>
              <w:tc>
                <w:tcPr>
                  <w:tcW w:w="2733"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60</w:t>
                  </w:r>
                </w:p>
              </w:tc>
              <w:tc>
                <w:tcPr>
                  <w:tcW w:w="2733" w:type="dxa"/>
                  <w:vAlign w:val="center"/>
                </w:tcPr>
                <w:p>
                  <w:pPr>
                    <w:spacing w:line="240" w:lineRule="atLeast"/>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（3）固体废物</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cs="Times New Roman"/>
                <w:color w:val="000000"/>
                <w:sz w:val="24"/>
                <w:szCs w:val="24"/>
                <w:lang w:eastAsia="zh-CN"/>
              </w:rPr>
              <w:t>一般固废执行《一般工业固体废物贮存和填埋污染控制标准》（GB18599-2020）中相关规定</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危险废物按《危险废物贮存污染控制标准》（</w:t>
            </w:r>
            <w:r>
              <w:rPr>
                <w:rFonts w:hint="default" w:ascii="Times New Roman" w:hAnsi="Times New Roman" w:eastAsia="宋体" w:cs="Times New Roman"/>
                <w:sz w:val="24"/>
                <w:szCs w:val="24"/>
                <w:lang w:val="en-US" w:eastAsia="zh-CN"/>
              </w:rPr>
              <w:t>GB18597-2023</w:t>
            </w:r>
            <w:r>
              <w:rPr>
                <w:rFonts w:hint="default" w:ascii="Times New Roman" w:hAnsi="Times New Roman" w:eastAsia="宋体" w:cs="Times New Roman"/>
                <w:sz w:val="24"/>
                <w:szCs w:val="24"/>
                <w:lang w:eastAsia="zh-CN"/>
              </w:rPr>
              <w:t>）中的相关规定</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bCs/>
                <w:color w:val="FF0000"/>
                <w:sz w:val="24"/>
                <w:szCs w:val="24"/>
                <w:lang w:eastAsia="zh-CN"/>
              </w:rPr>
            </w:pPr>
            <w:r>
              <w:rPr>
                <w:rFonts w:hint="default" w:ascii="Times New Roman" w:hAnsi="Times New Roman" w:eastAsia="宋体" w:cs="Times New Roman"/>
                <w:bCs/>
                <w:color w:val="FF0000"/>
                <w:sz w:val="24"/>
                <w:szCs w:val="24"/>
                <w:lang w:eastAsia="zh-CN"/>
              </w:rPr>
              <w:t>（4）废水污染物排放标准</w:t>
            </w:r>
          </w:p>
          <w:p>
            <w:pPr>
              <w:snapToGrid w:val="0"/>
              <w:spacing w:line="360" w:lineRule="auto"/>
              <w:ind w:firstLine="480" w:firstLineChars="200"/>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废水排放执行《污水排入城镇下水道水质标准》(GB/T 31962-2015)中的B级标准。详见表3-</w:t>
            </w:r>
            <w:r>
              <w:rPr>
                <w:rFonts w:hint="default" w:ascii="Times New Roman" w:hAnsi="Times New Roman" w:cs="Times New Roman"/>
                <w:color w:val="FF0000"/>
                <w:sz w:val="24"/>
                <w:lang w:val="en-US" w:eastAsia="zh-CN"/>
              </w:rPr>
              <w:t>8</w:t>
            </w:r>
            <w:r>
              <w:rPr>
                <w:rFonts w:hint="default" w:ascii="Times New Roman" w:hAnsi="Times New Roman" w:eastAsia="宋体" w:cs="Times New Roman"/>
                <w:color w:val="FF0000"/>
                <w:sz w:val="24"/>
                <w:lang w:eastAsia="zh-CN"/>
              </w:rPr>
              <w:t>。</w:t>
            </w:r>
          </w:p>
          <w:p>
            <w:pPr>
              <w:spacing w:line="460" w:lineRule="exact"/>
              <w:jc w:val="center"/>
              <w:rPr>
                <w:rFonts w:hint="default" w:ascii="Times New Roman" w:hAnsi="Times New Roman" w:eastAsia="宋体" w:cs="Times New Roman"/>
                <w:b/>
                <w:color w:val="FF0000"/>
                <w:szCs w:val="21"/>
              </w:rPr>
            </w:pPr>
            <w:r>
              <w:rPr>
                <w:rFonts w:hint="default" w:ascii="Times New Roman" w:hAnsi="Times New Roman" w:eastAsia="宋体" w:cs="Times New Roman"/>
                <w:b/>
                <w:color w:val="FF0000"/>
                <w:szCs w:val="21"/>
              </w:rPr>
              <w:t>表3-</w:t>
            </w:r>
            <w:r>
              <w:rPr>
                <w:rFonts w:hint="default" w:ascii="Times New Roman" w:hAnsi="Times New Roman" w:eastAsia="宋体" w:cs="Times New Roman"/>
                <w:b/>
                <w:color w:val="FF0000"/>
                <w:szCs w:val="21"/>
                <w:lang w:val="en-US" w:eastAsia="zh-CN"/>
              </w:rPr>
              <w:t>8</w:t>
            </w:r>
            <w:r>
              <w:rPr>
                <w:rFonts w:hint="default" w:ascii="Times New Roman" w:hAnsi="Times New Roman" w:eastAsia="宋体" w:cs="Times New Roman"/>
                <w:b/>
                <w:color w:val="FF0000"/>
                <w:szCs w:val="21"/>
              </w:rPr>
              <w:t xml:space="preserve">  《污水排入城镇下水道水质标准》(GB/T 31962-2015)</w:t>
            </w:r>
          </w:p>
          <w:tbl>
            <w:tblPr>
              <w:tblStyle w:val="27"/>
              <w:tblW w:w="4999"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990"/>
              <w:gridCol w:w="918"/>
              <w:gridCol w:w="1104"/>
              <w:gridCol w:w="964"/>
              <w:gridCol w:w="1141"/>
              <w:gridCol w:w="151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38" w:type="dxa"/>
                  <w:noWrap w:val="0"/>
                  <w:vAlign w:val="center"/>
                </w:tcPr>
                <w:p>
                  <w:pPr>
                    <w:spacing w:line="240" w:lineRule="atLeast"/>
                    <w:jc w:val="center"/>
                    <w:rPr>
                      <w:rFonts w:hint="default" w:ascii="Times New Roman" w:hAnsi="Times New Roman" w:eastAsia="宋体" w:cs="Times New Roman"/>
                      <w:color w:val="FF0000"/>
                      <w:szCs w:val="21"/>
                      <w:lang w:val="zh-CN" w:eastAsia="zh-CN"/>
                    </w:rPr>
                  </w:pPr>
                  <w:r>
                    <w:rPr>
                      <w:rFonts w:hint="default" w:ascii="Times New Roman" w:hAnsi="Times New Roman" w:eastAsia="宋体" w:cs="Times New Roman"/>
                      <w:color w:val="FF0000"/>
                      <w:szCs w:val="21"/>
                      <w:lang w:val="en-US" w:eastAsia="zh-CN"/>
                    </w:rPr>
                    <w:t>项目</w:t>
                  </w:r>
                </w:p>
              </w:tc>
              <w:tc>
                <w:tcPr>
                  <w:tcW w:w="990"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pH</w:t>
                  </w:r>
                </w:p>
              </w:tc>
              <w:tc>
                <w:tcPr>
                  <w:tcW w:w="918"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COD</w:t>
                  </w:r>
                </w:p>
              </w:tc>
              <w:tc>
                <w:tcPr>
                  <w:tcW w:w="1104"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BOD5</w:t>
                  </w:r>
                </w:p>
              </w:tc>
              <w:tc>
                <w:tcPr>
                  <w:tcW w:w="964"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SS</w:t>
                  </w:r>
                </w:p>
              </w:tc>
              <w:tc>
                <w:tcPr>
                  <w:tcW w:w="1141"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NH3-N</w:t>
                  </w:r>
                </w:p>
              </w:tc>
              <w:tc>
                <w:tcPr>
                  <w:tcW w:w="1518"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动植物油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38"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标准（mg/L）</w:t>
                  </w:r>
                </w:p>
              </w:tc>
              <w:tc>
                <w:tcPr>
                  <w:tcW w:w="990"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6.5-9.5</w:t>
                  </w:r>
                </w:p>
              </w:tc>
              <w:tc>
                <w:tcPr>
                  <w:tcW w:w="918"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500</w:t>
                  </w:r>
                </w:p>
              </w:tc>
              <w:tc>
                <w:tcPr>
                  <w:tcW w:w="1104"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350</w:t>
                  </w:r>
                </w:p>
              </w:tc>
              <w:tc>
                <w:tcPr>
                  <w:tcW w:w="964"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400</w:t>
                  </w:r>
                </w:p>
              </w:tc>
              <w:tc>
                <w:tcPr>
                  <w:tcW w:w="1141"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45</w:t>
                  </w:r>
                </w:p>
              </w:tc>
              <w:tc>
                <w:tcPr>
                  <w:tcW w:w="1518" w:type="dxa"/>
                  <w:noWrap w:val="0"/>
                  <w:vAlign w:val="center"/>
                </w:tcPr>
                <w:p>
                  <w:pPr>
                    <w:spacing w:line="240" w:lineRule="atLeas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100</w:t>
                  </w:r>
                </w:p>
              </w:tc>
            </w:tr>
          </w:tbl>
          <w:p>
            <w:pPr>
              <w:spacing w:line="360" w:lineRule="auto"/>
              <w:ind w:firstLine="480" w:firstLineChars="200"/>
              <w:rPr>
                <w:rFonts w:hint="default" w:ascii="Times New Roman" w:hAnsi="Times New Roman" w:eastAsia="宋体" w:cs="Times New Roman"/>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419" w:type="dxa"/>
            <w:vAlign w:val="center"/>
          </w:tcPr>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总量</w:t>
            </w:r>
          </w:p>
          <w:p>
            <w:pPr>
              <w:pStyle w:val="23"/>
              <w:adjustRightInd w:val="0"/>
              <w:snapToGrid w:val="0"/>
              <w:spacing w:before="0" w:beforeAutospacing="0" w:after="0" w:afterAutospacing="0"/>
              <w:jc w:val="center"/>
              <w:rPr>
                <w:rFonts w:hint="default" w:ascii="Times New Roman" w:hAnsi="Times New Roman" w:cs="Times New Roman"/>
                <w:kern w:val="2"/>
                <w:szCs w:val="24"/>
                <w:lang w:val="zh-CN"/>
              </w:rPr>
            </w:pPr>
            <w:r>
              <w:rPr>
                <w:rFonts w:hint="default" w:ascii="Times New Roman" w:hAnsi="Times New Roman" w:cs="Times New Roman"/>
                <w:kern w:val="2"/>
                <w:szCs w:val="24"/>
                <w:lang w:val="zh-CN"/>
              </w:rPr>
              <w:t>控制</w:t>
            </w:r>
          </w:p>
          <w:p>
            <w:pPr>
              <w:pStyle w:val="23"/>
              <w:adjustRightInd w:val="0"/>
              <w:snapToGrid w:val="0"/>
              <w:spacing w:before="0" w:beforeAutospacing="0" w:after="0" w:afterAutospacing="0"/>
              <w:jc w:val="center"/>
              <w:rPr>
                <w:rFonts w:hint="default" w:ascii="Times New Roman" w:hAnsi="Times New Roman" w:cs="Times New Roman"/>
                <w:szCs w:val="24"/>
              </w:rPr>
            </w:pPr>
            <w:r>
              <w:rPr>
                <w:rFonts w:hint="default" w:ascii="Times New Roman" w:hAnsi="Times New Roman" w:cs="Times New Roman"/>
                <w:kern w:val="2"/>
                <w:szCs w:val="24"/>
                <w:lang w:val="zh-CN"/>
              </w:rPr>
              <w:t>指标</w:t>
            </w:r>
          </w:p>
        </w:tc>
        <w:tc>
          <w:tcPr>
            <w:tcW w:w="8190" w:type="dxa"/>
          </w:tcPr>
          <w:p>
            <w:pPr>
              <w:pStyle w:val="23"/>
              <w:adjustRightInd w:val="0"/>
              <w:snapToGrid w:val="0"/>
              <w:spacing w:before="0" w:beforeAutospacing="0" w:after="0" w:afterAutospacing="0" w:line="360" w:lineRule="auto"/>
              <w:ind w:firstLine="480" w:firstLineChars="200"/>
              <w:rPr>
                <w:rFonts w:hint="default" w:ascii="Times New Roman" w:hAnsi="Times New Roman" w:cs="Times New Roman"/>
                <w:szCs w:val="24"/>
              </w:rPr>
            </w:pPr>
            <w:bookmarkStart w:id="3" w:name="_Toc19630"/>
            <w:bookmarkStart w:id="4" w:name="_Toc21834"/>
            <w:bookmarkStart w:id="5" w:name="_Toc17170"/>
          </w:p>
          <w:p>
            <w:pPr>
              <w:pStyle w:val="23"/>
              <w:adjustRightInd w:val="0"/>
              <w:snapToGrid w:val="0"/>
              <w:spacing w:before="0" w:beforeAutospacing="0" w:after="0" w:afterAutospacing="0" w:line="360" w:lineRule="auto"/>
              <w:ind w:firstLine="480" w:firstLineChars="200"/>
              <w:rPr>
                <w:rFonts w:hint="default" w:ascii="Times New Roman" w:hAnsi="Times New Roman" w:cs="Times New Roman"/>
                <w:szCs w:val="24"/>
              </w:rPr>
            </w:pPr>
          </w:p>
          <w:p>
            <w:pPr>
              <w:pStyle w:val="23"/>
              <w:adjustRightInd w:val="0"/>
              <w:snapToGrid w:val="0"/>
              <w:spacing w:before="0" w:beforeAutospacing="0" w:after="0" w:afterAutospacing="0" w:line="360" w:lineRule="auto"/>
              <w:ind w:firstLine="480" w:firstLineChars="200"/>
              <w:rPr>
                <w:rFonts w:hint="default" w:ascii="Times New Roman" w:hAnsi="Times New Roman" w:cs="Times New Roman"/>
                <w:szCs w:val="24"/>
              </w:rPr>
            </w:pPr>
          </w:p>
          <w:p>
            <w:pPr>
              <w:snapToGrid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1、水污染物总量控制指标</w:t>
            </w:r>
          </w:p>
          <w:p>
            <w:pPr>
              <w:snapToGrid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本项目运营期生活污水经市政管网排入</w:t>
            </w:r>
            <w:r>
              <w:rPr>
                <w:rFonts w:hint="eastAsia" w:ascii="Times New Roman" w:hAnsi="Times New Roman" w:cs="Times New Roman"/>
                <w:color w:val="000000" w:themeColor="text1"/>
                <w:sz w:val="24"/>
                <w:lang w:val="en-US" w:eastAsia="zh-CN"/>
                <w14:textFill>
                  <w14:solidFill>
                    <w14:schemeClr w14:val="tx1"/>
                  </w14:solidFill>
                </w14:textFill>
              </w:rPr>
              <w:t>宁县</w:t>
            </w:r>
            <w:r>
              <w:rPr>
                <w:rFonts w:hint="default" w:ascii="Times New Roman" w:hAnsi="Times New Roman" w:cs="Times New Roman"/>
                <w:color w:val="000000" w:themeColor="text1"/>
                <w:sz w:val="24"/>
                <w:lang w:val="en-US" w:eastAsia="zh-CN"/>
                <w14:textFill>
                  <w14:solidFill>
                    <w14:schemeClr w14:val="tx1"/>
                  </w14:solidFill>
                </w14:textFill>
              </w:rPr>
              <w:t>县城区生活</w:t>
            </w:r>
            <w:r>
              <w:rPr>
                <w:rFonts w:hint="default" w:ascii="Times New Roman" w:hAnsi="Times New Roman" w:eastAsia="宋体" w:cs="Times New Roman"/>
                <w:color w:val="000000" w:themeColor="text1"/>
                <w:sz w:val="24"/>
                <w:lang w:val="en-US" w:eastAsia="zh-CN"/>
                <w14:textFill>
                  <w14:solidFill>
                    <w14:schemeClr w14:val="tx1"/>
                  </w14:solidFill>
                </w14:textFill>
              </w:rPr>
              <w:t>污水处理厂处理，故本项目水污染物的总量控制因子纳入</w:t>
            </w:r>
            <w:r>
              <w:rPr>
                <w:rFonts w:hint="eastAsia" w:ascii="Times New Roman" w:hAnsi="Times New Roman" w:eastAsia="宋体" w:cs="Times New Roman"/>
                <w:color w:val="000000" w:themeColor="text1"/>
                <w:sz w:val="24"/>
                <w:lang w:val="en-US" w:eastAsia="zh-CN"/>
                <w14:textFill>
                  <w14:solidFill>
                    <w14:schemeClr w14:val="tx1"/>
                  </w14:solidFill>
                </w14:textFill>
              </w:rPr>
              <w:t>宁县</w:t>
            </w:r>
            <w:r>
              <w:rPr>
                <w:rFonts w:hint="default" w:ascii="Times New Roman" w:hAnsi="Times New Roman" w:cs="Times New Roman"/>
                <w:color w:val="000000" w:themeColor="text1"/>
                <w:sz w:val="24"/>
                <w:lang w:val="en-US" w:eastAsia="zh-CN"/>
                <w14:textFill>
                  <w14:solidFill>
                    <w14:schemeClr w14:val="tx1"/>
                  </w14:solidFill>
                </w14:textFill>
              </w:rPr>
              <w:t>县城区生活</w:t>
            </w:r>
            <w:r>
              <w:rPr>
                <w:rFonts w:hint="default" w:ascii="Times New Roman" w:hAnsi="Times New Roman" w:eastAsia="宋体" w:cs="Times New Roman"/>
                <w:color w:val="000000" w:themeColor="text1"/>
                <w:sz w:val="24"/>
                <w:lang w:val="en-US" w:eastAsia="zh-CN"/>
                <w14:textFill>
                  <w14:solidFill>
                    <w14:schemeClr w14:val="tx1"/>
                  </w14:solidFill>
                </w14:textFill>
              </w:rPr>
              <w:t>污水处理厂的总量指标当中，不需单独申请。</w:t>
            </w:r>
          </w:p>
          <w:p>
            <w:pPr>
              <w:snapToGrid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2、大气污染物总量控制指标</w:t>
            </w:r>
          </w:p>
          <w:p>
            <w:pPr>
              <w:pStyle w:val="23"/>
              <w:adjustRightInd w:val="0"/>
              <w:snapToGrid w:val="0"/>
              <w:spacing w:before="0" w:beforeAutospacing="0" w:after="0" w:afterAutospacing="0" w:line="360" w:lineRule="auto"/>
              <w:ind w:firstLine="480" w:firstLineChars="200"/>
              <w:rPr>
                <w:rFonts w:hint="default" w:ascii="Times New Roman" w:hAnsi="Times New Roman" w:cs="Times New Roman"/>
                <w:szCs w:val="24"/>
              </w:rPr>
            </w:pPr>
            <w:r>
              <w:rPr>
                <w:rFonts w:hint="default" w:ascii="Times New Roman" w:hAnsi="Times New Roman" w:eastAsia="宋体" w:cs="Times New Roman"/>
                <w:color w:val="000000" w:themeColor="text1"/>
                <w:sz w:val="24"/>
                <w:lang w:val="en-US" w:eastAsia="zh-CN"/>
                <w14:textFill>
                  <w14:solidFill>
                    <w14:schemeClr w14:val="tx1"/>
                  </w14:solidFill>
                </w14:textFill>
              </w:rPr>
              <w:t>氮氧化物：0.564</w:t>
            </w:r>
            <w:r>
              <w:rPr>
                <w:rFonts w:hint="default" w:ascii="Times New Roman" w:hAnsi="Times New Roman" w:cs="Times New Roman"/>
                <w:color w:val="000000" w:themeColor="text1"/>
                <w:sz w:val="24"/>
                <w:lang w:val="en-US" w:eastAsia="zh-CN"/>
                <w14:textFill>
                  <w14:solidFill>
                    <w14:schemeClr w14:val="tx1"/>
                  </w14:solidFill>
                </w14:textFill>
              </w:rPr>
              <w:t>kg</w:t>
            </w:r>
            <w:r>
              <w:rPr>
                <w:rFonts w:hint="default" w:ascii="Times New Roman" w:hAnsi="Times New Roman" w:eastAsia="宋体" w:cs="Times New Roman"/>
                <w:color w:val="000000" w:themeColor="text1"/>
                <w:sz w:val="24"/>
                <w:lang w:val="en-US" w:eastAsia="zh-CN"/>
                <w14:textFill>
                  <w14:solidFill>
                    <w14:schemeClr w14:val="tx1"/>
                  </w14:solidFill>
                </w14:textFill>
              </w:rPr>
              <w:t>/a（无组织）</w:t>
            </w:r>
          </w:p>
          <w:bookmarkEnd w:id="3"/>
          <w:bookmarkEnd w:id="4"/>
          <w:bookmarkEnd w:id="5"/>
          <w:p>
            <w:pPr>
              <w:pStyle w:val="23"/>
              <w:tabs>
                <w:tab w:val="left" w:pos="632"/>
              </w:tabs>
              <w:adjustRightInd w:val="0"/>
              <w:snapToGrid w:val="0"/>
              <w:spacing w:before="0" w:beforeAutospacing="0" w:after="0" w:afterAutospacing="0" w:line="360" w:lineRule="auto"/>
              <w:rPr>
                <w:rFonts w:hint="default" w:ascii="Times New Roman" w:hAnsi="Times New Roman" w:eastAsia="宋体" w:cs="Times New Roman"/>
                <w:szCs w:val="24"/>
                <w:lang w:eastAsia="zh-CN"/>
              </w:rPr>
            </w:pPr>
            <w:r>
              <w:rPr>
                <w:rFonts w:hint="default" w:ascii="Times New Roman" w:hAnsi="Times New Roman" w:cs="Times New Roman"/>
                <w:szCs w:val="24"/>
                <w:lang w:eastAsia="zh-CN"/>
              </w:rPr>
              <w:tab/>
            </w: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p>
            <w:pPr>
              <w:pStyle w:val="23"/>
              <w:adjustRightInd w:val="0"/>
              <w:snapToGrid w:val="0"/>
              <w:spacing w:before="0" w:beforeAutospacing="0" w:after="0" w:afterAutospacing="0" w:line="360" w:lineRule="auto"/>
              <w:rPr>
                <w:rFonts w:hint="default" w:ascii="Times New Roman" w:hAnsi="Times New Roman" w:cs="Times New Roman"/>
                <w:szCs w:val="24"/>
              </w:rPr>
            </w:pPr>
          </w:p>
        </w:tc>
      </w:tr>
    </w:tbl>
    <w:p>
      <w:pPr>
        <w:spacing w:before="5" w:line="360" w:lineRule="auto"/>
        <w:jc w:val="center"/>
        <w:outlineLvl w:val="0"/>
        <w:rPr>
          <w:rFonts w:hint="default" w:ascii="Times New Roman" w:hAnsi="Times New Roman" w:eastAsia="宋体" w:cs="Times New Roman"/>
          <w:b/>
          <w:sz w:val="30"/>
          <w:szCs w:val="30"/>
          <w:lang w:eastAsia="zh-CN"/>
        </w:rPr>
      </w:pPr>
      <w:bookmarkStart w:id="6" w:name="_Toc20652"/>
    </w:p>
    <w:p>
      <w:pPr>
        <w:spacing w:before="5" w:line="360" w:lineRule="auto"/>
        <w:jc w:val="center"/>
        <w:outlineLvl w:val="0"/>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四、主要环境影响和保护措施</w:t>
      </w:r>
      <w:bookmarkEnd w:id="6"/>
    </w:p>
    <w:tbl>
      <w:tblPr>
        <w:tblStyle w:val="27"/>
        <w:tblW w:w="96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2" w:hRule="atLeast"/>
          <w:jc w:val="center"/>
        </w:trPr>
        <w:tc>
          <w:tcPr>
            <w:tcW w:w="1056" w:type="dxa"/>
            <w:tcMar>
              <w:left w:w="28" w:type="dxa"/>
              <w:right w:w="28" w:type="dxa"/>
            </w:tcMar>
            <w:vAlign w:val="center"/>
          </w:tcPr>
          <w:p>
            <w:pPr>
              <w:pStyle w:val="23"/>
              <w:adjustRightInd w:val="0"/>
              <w:snapToGrid w:val="0"/>
              <w:spacing w:before="0" w:beforeAutospacing="0" w:after="0" w:afterAutospacing="0"/>
              <w:jc w:val="center"/>
              <w:rPr>
                <w:rFonts w:hint="default" w:ascii="Times New Roman" w:hAnsi="Times New Roman" w:cs="Times New Roman"/>
                <w:kern w:val="2"/>
                <w:szCs w:val="24"/>
              </w:rPr>
            </w:pPr>
            <w:r>
              <w:rPr>
                <w:rFonts w:hint="default" w:ascii="Times New Roman" w:hAnsi="Times New Roman" w:cs="Times New Roman"/>
                <w:kern w:val="2"/>
                <w:szCs w:val="24"/>
              </w:rPr>
              <w:t>施工</w:t>
            </w:r>
          </w:p>
          <w:p>
            <w:pPr>
              <w:pStyle w:val="23"/>
              <w:adjustRightInd w:val="0"/>
              <w:snapToGrid w:val="0"/>
              <w:spacing w:before="0" w:beforeAutospacing="0" w:after="0" w:afterAutospacing="0"/>
              <w:jc w:val="center"/>
              <w:rPr>
                <w:rFonts w:hint="default" w:ascii="Times New Roman" w:hAnsi="Times New Roman" w:cs="Times New Roman"/>
                <w:kern w:val="2"/>
                <w:szCs w:val="24"/>
              </w:rPr>
            </w:pPr>
            <w:r>
              <w:rPr>
                <w:rFonts w:hint="default" w:ascii="Times New Roman" w:hAnsi="Times New Roman" w:cs="Times New Roman"/>
                <w:kern w:val="2"/>
                <w:szCs w:val="24"/>
              </w:rPr>
              <w:t>期环</w:t>
            </w:r>
          </w:p>
          <w:p>
            <w:pPr>
              <w:pStyle w:val="23"/>
              <w:adjustRightInd w:val="0"/>
              <w:snapToGrid w:val="0"/>
              <w:spacing w:before="0" w:beforeAutospacing="0" w:after="0" w:afterAutospacing="0"/>
              <w:jc w:val="center"/>
              <w:rPr>
                <w:rFonts w:hint="default" w:ascii="Times New Roman" w:hAnsi="Times New Roman" w:cs="Times New Roman"/>
                <w:kern w:val="2"/>
                <w:szCs w:val="24"/>
              </w:rPr>
            </w:pPr>
            <w:r>
              <w:rPr>
                <w:rFonts w:hint="default" w:ascii="Times New Roman" w:hAnsi="Times New Roman" w:cs="Times New Roman"/>
                <w:kern w:val="2"/>
                <w:szCs w:val="24"/>
              </w:rPr>
              <w:t>境保</w:t>
            </w:r>
          </w:p>
          <w:p>
            <w:pPr>
              <w:pStyle w:val="23"/>
              <w:adjustRightInd w:val="0"/>
              <w:snapToGrid w:val="0"/>
              <w:spacing w:before="0" w:beforeAutospacing="0" w:after="0" w:afterAutospacing="0"/>
              <w:jc w:val="center"/>
              <w:rPr>
                <w:rFonts w:hint="default" w:ascii="Times New Roman" w:hAnsi="Times New Roman" w:cs="Times New Roman"/>
                <w:kern w:val="2"/>
                <w:szCs w:val="24"/>
              </w:rPr>
            </w:pPr>
            <w:r>
              <w:rPr>
                <w:rFonts w:hint="default" w:ascii="Times New Roman" w:hAnsi="Times New Roman" w:cs="Times New Roman"/>
                <w:kern w:val="2"/>
                <w:szCs w:val="24"/>
              </w:rPr>
              <w:t>护措</w:t>
            </w:r>
          </w:p>
          <w:p>
            <w:pPr>
              <w:pStyle w:val="23"/>
              <w:adjustRightInd w:val="0"/>
              <w:snapToGrid w:val="0"/>
              <w:spacing w:before="0" w:beforeAutospacing="0" w:after="0" w:afterAutospacing="0"/>
              <w:jc w:val="center"/>
              <w:rPr>
                <w:rFonts w:hint="default" w:ascii="Times New Roman" w:hAnsi="Times New Roman" w:cs="Times New Roman"/>
                <w:bCs/>
                <w:kern w:val="2"/>
                <w:szCs w:val="24"/>
              </w:rPr>
            </w:pPr>
            <w:r>
              <w:rPr>
                <w:rFonts w:hint="default" w:ascii="Times New Roman" w:hAnsi="Times New Roman" w:cs="Times New Roman"/>
                <w:kern w:val="2"/>
                <w:szCs w:val="24"/>
              </w:rPr>
              <w:t>施</w:t>
            </w:r>
          </w:p>
        </w:tc>
        <w:tc>
          <w:tcPr>
            <w:tcW w:w="8579" w:type="dxa"/>
            <w:vAlign w:val="center"/>
          </w:tcPr>
          <w:p>
            <w:pPr>
              <w:spacing w:line="360" w:lineRule="auto"/>
              <w:ind w:firstLine="480" w:firstLineChars="200"/>
              <w:rPr>
                <w:rFonts w:hint="default" w:ascii="Times New Roman" w:hAnsi="Times New Roman" w:eastAsia="宋体" w:cs="Times New Roman"/>
                <w:kern w:val="24"/>
                <w:sz w:val="24"/>
                <w:lang w:eastAsia="zh-CN"/>
              </w:rPr>
            </w:pPr>
            <w:r>
              <w:rPr>
                <w:rFonts w:hint="default" w:ascii="Times New Roman" w:hAnsi="Times New Roman" w:eastAsia="宋体" w:cs="Times New Roman"/>
                <w:kern w:val="24"/>
                <w:sz w:val="24"/>
              </w:rPr>
              <w:t>本项目办公实验用房</w:t>
            </w:r>
            <w:r>
              <w:rPr>
                <w:rFonts w:hint="default" w:ascii="Times New Roman" w:hAnsi="Times New Roman" w:eastAsia="宋体" w:cs="Times New Roman"/>
                <w:kern w:val="24"/>
                <w:sz w:val="24"/>
                <w:lang w:eastAsia="zh-CN"/>
              </w:rPr>
              <w:t>已建成</w:t>
            </w:r>
            <w:r>
              <w:rPr>
                <w:rFonts w:hint="default" w:ascii="Times New Roman" w:hAnsi="Times New Roman" w:eastAsia="宋体" w:cs="Times New Roman"/>
                <w:kern w:val="24"/>
                <w:sz w:val="24"/>
              </w:rPr>
              <w:t>，不</w:t>
            </w:r>
            <w:r>
              <w:rPr>
                <w:rFonts w:hint="default" w:ascii="Times New Roman" w:hAnsi="Times New Roman" w:eastAsia="宋体" w:cs="Times New Roman"/>
                <w:kern w:val="24"/>
                <w:sz w:val="24"/>
                <w:lang w:eastAsia="zh-CN"/>
              </w:rPr>
              <w:t>进行大规模的</w:t>
            </w:r>
            <w:r>
              <w:rPr>
                <w:rFonts w:hint="default" w:ascii="Times New Roman" w:hAnsi="Times New Roman" w:eastAsia="宋体" w:cs="Times New Roman"/>
                <w:kern w:val="24"/>
                <w:sz w:val="24"/>
              </w:rPr>
              <w:t>土建工程，施工内容仅有水电气路改造和通风系统、实验室仪器设备安装，</w:t>
            </w:r>
            <w:r>
              <w:rPr>
                <w:rFonts w:hint="default" w:ascii="Times New Roman" w:hAnsi="Times New Roman" w:eastAsia="宋体" w:cs="Times New Roman"/>
                <w:kern w:val="24"/>
                <w:sz w:val="24"/>
                <w:lang w:eastAsia="zh-CN"/>
              </w:rPr>
              <w:t>施工量较小，</w:t>
            </w:r>
            <w:r>
              <w:rPr>
                <w:rFonts w:hint="default" w:ascii="Times New Roman" w:hAnsi="Times New Roman" w:eastAsia="宋体" w:cs="Times New Roman"/>
                <w:kern w:val="24"/>
                <w:sz w:val="24"/>
              </w:rPr>
              <w:t>对环境产生的影响较小</w:t>
            </w:r>
            <w:r>
              <w:rPr>
                <w:rFonts w:hint="default" w:ascii="Times New Roman" w:hAnsi="Times New Roman" w:eastAsia="宋体" w:cs="Times New Roman"/>
                <w:kern w:val="24"/>
                <w:sz w:val="24"/>
                <w:lang w:eastAsia="zh-CN"/>
              </w:rPr>
              <w:t>。</w:t>
            </w:r>
          </w:p>
          <w:p>
            <w:pPr>
              <w:pStyle w:val="5"/>
              <w:spacing w:before="0" w:after="0" w:line="360" w:lineRule="auto"/>
              <w:ind w:firstLine="482"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4.1、施工期大气环境保护措施</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本项目室内装修主要为墙砖等。施工阶段不设置施工营地，不提供施工工人食宿。施工期大气污染物主要是：修建筑材料堆放产生的粉尘、室内安装 瓷砖、切割木材等材料时产生的粉尘。粉尘产生量较小，为无组织排放。建筑物装修阶段，室内环境污染控制应遵守住宅装修工程施工规范，符合《民用建 筑工程室内环境污染控制规范》的有关规定，同时设计、施工中尽量采用低毒、低污染的环保型装修材料。项目装修期间施工时采取遮盖、围挡、喷洒等防尘 措施；运送物料时，采用蓬盖、密闭等防尘措施。对周围环境影响很小。</w:t>
            </w:r>
          </w:p>
          <w:p>
            <w:pPr>
              <w:spacing w:line="360" w:lineRule="auto"/>
              <w:ind w:firstLine="482" w:firstLineChars="200"/>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4.2、施工期废水环境保护措施</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bidi="ar"/>
              </w:rPr>
              <w:t>施工期废水主要为施工人员产生的生活污水，依托所在建筑化粪池处理后 排放至市政污水管网，由于水量较小不会对项目周围水环境造成影响。</w:t>
            </w:r>
          </w:p>
          <w:p>
            <w:pPr>
              <w:spacing w:line="360" w:lineRule="auto"/>
              <w:ind w:firstLine="482" w:firstLineChars="200"/>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4.3、施工期噪声污染防治措施</w:t>
            </w:r>
          </w:p>
          <w:p>
            <w:pPr>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bidi="ar"/>
              </w:rPr>
              <w:t>施工期噪声主要是施工现场各类机械设备噪声。由于项目无主体结构施工， 场地噪声主要产生于室内装饰和设备安装两个阶段。机械噪声：主要为装修期间使用的电钻、电锤、切割机等机械设备产生的 噪声，其噪声级为80~100dB（A）。建筑施工场界的噪声必须满足《建筑施工场 界环境噪声排放标准》（GB12523-2011）的规定值，除特殊需要作业外（经环保部门批准），施工期应加强施工噪声管理，通过对高噪声作业时间的严格控制施 工避免对周围环境造成干扰。施工时间尽量不安排在晚上十时至次日上午六时 以及中午休息时间，以减少噪声污染</w:t>
            </w:r>
            <w:r>
              <w:rPr>
                <w:rFonts w:hint="default" w:ascii="Times New Roman" w:hAnsi="Times New Roman" w:eastAsia="宋体" w:cs="Times New Roman"/>
                <w:sz w:val="24"/>
                <w:lang w:eastAsia="zh-CN"/>
              </w:rPr>
              <w:t>。</w:t>
            </w:r>
          </w:p>
          <w:p>
            <w:pPr>
              <w:spacing w:line="360" w:lineRule="auto"/>
              <w:ind w:firstLine="482" w:firstLineChars="200"/>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4.4、固体废弃物环境环境保护措施</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4"/>
                <w:sz w:val="24"/>
              </w:rPr>
              <w:t>施工期产生的固体废物主要是生活垃圾以及装修的建筑垃圾等。装修建筑 垃圾主要包括装修时废木料、水泥、沙石、石材、塑料包装、金属材料、碎玻璃等，采用分类收集，可回用的统一收集回用，不能回用的收集后堆放于指定暂存地点，由施工方统一清运处理物业指定地点排放，严禁随意排放。生活垃圾经收集后由环卫部门清运。综上所述，施工期结束后产生的污染随之消失</w:t>
            </w:r>
            <w:r>
              <w:rPr>
                <w:rFonts w:hint="default" w:ascii="Times New Roman" w:hAnsi="Times New Roman" w:eastAsia="宋体" w:cs="Times New Roman"/>
                <w:kern w:val="24"/>
                <w:sz w:val="24"/>
                <w:lang w:eastAsia="zh-CN"/>
              </w:rPr>
              <w:t>。</w:t>
            </w:r>
          </w:p>
          <w:p>
            <w:pPr>
              <w:adjustRightInd w:val="0"/>
              <w:snapToGrid w:val="0"/>
              <w:rPr>
                <w:rFonts w:hint="default" w:ascii="Times New Roman" w:hAnsi="Times New Roman" w:eastAsia="宋体" w:cs="Times New Roman"/>
                <w:bCs/>
                <w:spacing w:val="-1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0" w:hRule="atLeast"/>
          <w:jc w:val="center"/>
        </w:trPr>
        <w:tc>
          <w:tcPr>
            <w:tcW w:w="1056" w:type="dxa"/>
            <w:tcMar>
              <w:left w:w="28" w:type="dxa"/>
              <w:right w:w="28" w:type="dxa"/>
            </w:tcMar>
            <w:vAlign w:val="center"/>
          </w:tcPr>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运营</w:t>
            </w:r>
          </w:p>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期环</w:t>
            </w:r>
          </w:p>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境影</w:t>
            </w:r>
          </w:p>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响和</w:t>
            </w:r>
          </w:p>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保护</w:t>
            </w:r>
          </w:p>
          <w:p>
            <w:pPr>
              <w:adjustRightInd w:val="0"/>
              <w:snapToGrid w:val="0"/>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措施</w:t>
            </w:r>
          </w:p>
        </w:tc>
        <w:tc>
          <w:tcPr>
            <w:tcW w:w="8579" w:type="dxa"/>
          </w:tcPr>
          <w:p>
            <w:pPr>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1、废气</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1、源强分析</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本项目运营期实验室检测化验、配制溶液时产生少量废气，由于实验类型的不同、样品前处理工艺的差别，废气污染物主要有机废气和酸雾。</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（1）有机废气</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本项目检测过程会用到的有机试剂主要为三氯甲烷</w:t>
            </w:r>
            <w:r>
              <w:rPr>
                <w:rFonts w:hint="default" w:ascii="Times New Roman" w:hAnsi="Times New Roman" w:cs="Times New Roman"/>
                <w:color w:val="FF0000"/>
                <w:sz w:val="24"/>
                <w:lang w:val="en-US" w:eastAsia="zh-CN"/>
              </w:rPr>
              <w:t>、甲醇、甲醛</w:t>
            </w:r>
            <w:r>
              <w:rPr>
                <w:rFonts w:hint="default" w:ascii="Times New Roman" w:hAnsi="Times New Roman" w:eastAsia="宋体" w:cs="Times New Roman"/>
                <w:color w:val="FF0000"/>
                <w:sz w:val="24"/>
                <w:lang w:val="en-US" w:eastAsia="zh-CN"/>
              </w:rPr>
              <w:t>等，年用量约为</w:t>
            </w:r>
            <w:r>
              <w:rPr>
                <w:rFonts w:hint="default" w:ascii="Times New Roman" w:hAnsi="Times New Roman" w:cs="Times New Roman"/>
                <w:color w:val="FF0000"/>
                <w:sz w:val="24"/>
                <w:lang w:val="en-US" w:eastAsia="zh-CN"/>
              </w:rPr>
              <w:t>36</w:t>
            </w:r>
            <w:r>
              <w:rPr>
                <w:rFonts w:hint="default" w:ascii="Times New Roman" w:hAnsi="Times New Roman" w:eastAsia="宋体" w:cs="Times New Roman"/>
                <w:color w:val="FF0000"/>
                <w:sz w:val="24"/>
                <w:lang w:val="en-US" w:eastAsia="zh-CN"/>
              </w:rPr>
              <w:t>kg。有机试剂日常存储装在封闭试剂瓶中，只在试剂使用时短时间打开瓶子，随后立即封闭，所以储存的试剂基本无挥发；另外试剂每次取用量较少，反应、溶解等在封闭的容器内进行，所以使用过程中溶剂也基本无挥发。但为减少本项目对区域大气环境的影响，本项目所有牵涉到有机废气的所有操作均在实验通风橱中进行，通风橱能将微量的有机废气收集，通过通风管道输送到本项目楼顶经管道内活性炭装置吸收后排放。</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根据类似环境检测实验室长期实验经验及建设单位提供资料，实验过程中有机废气产生量按照统计使用量的1%计，则挥发性有机物产生量为0.</w:t>
            </w:r>
            <w:r>
              <w:rPr>
                <w:rFonts w:hint="default" w:ascii="Times New Roman" w:hAnsi="Times New Roman" w:cs="Times New Roman"/>
                <w:color w:val="FF0000"/>
                <w:sz w:val="24"/>
                <w:lang w:val="en-US" w:eastAsia="zh-CN"/>
              </w:rPr>
              <w:t>36</w:t>
            </w:r>
            <w:r>
              <w:rPr>
                <w:rFonts w:hint="default" w:ascii="Times New Roman" w:hAnsi="Times New Roman" w:eastAsia="宋体" w:cs="Times New Roman"/>
                <w:color w:val="FF0000"/>
                <w:sz w:val="24"/>
                <w:lang w:val="en-US" w:eastAsia="zh-CN"/>
              </w:rPr>
              <w:t>kg/a。项目使用有机溶剂的实验时间为1h/d，全年运行250天，则有机废气中挥发性有机物产生速率为0.00</w:t>
            </w:r>
            <w:r>
              <w:rPr>
                <w:rFonts w:hint="default" w:ascii="Times New Roman" w:hAnsi="Times New Roman" w:cs="Times New Roman"/>
                <w:color w:val="FF0000"/>
                <w:sz w:val="24"/>
                <w:lang w:val="en-US" w:eastAsia="zh-CN"/>
              </w:rPr>
              <w:t>144</w:t>
            </w:r>
            <w:r>
              <w:rPr>
                <w:rFonts w:hint="default" w:ascii="Times New Roman" w:hAnsi="Times New Roman" w:eastAsia="宋体" w:cs="Times New Roman"/>
                <w:color w:val="FF0000"/>
                <w:sz w:val="24"/>
                <w:lang w:val="en-US" w:eastAsia="zh-CN"/>
              </w:rPr>
              <w:t>kg/h，有机物以非甲烷总烃计。</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为减少有机废气对环境空气影响，本项目拟在通风橱后管道设置活性炭吸附装置，通风橱的集气效率按80%计，活性炭吸附装置对有机废气处理效率按60%计，经净化处理后，由高于楼顶3m（自地面算起15m高）排气筒排放。按照各有机试剂同时使用考虑，各实验台通风橱有机废气排放情况见表</w:t>
            </w:r>
            <w:r>
              <w:rPr>
                <w:rFonts w:hint="default" w:ascii="Times New Roman" w:hAnsi="Times New Roman" w:cs="Times New Roman"/>
                <w:color w:val="FF0000"/>
                <w:sz w:val="24"/>
                <w:lang w:val="en-US" w:eastAsia="zh-CN"/>
              </w:rPr>
              <w:t>4-1。</w:t>
            </w:r>
          </w:p>
          <w:p>
            <w:pPr>
              <w:adjustRightInd w:val="0"/>
              <w:snapToGrid w:val="0"/>
              <w:spacing w:line="240" w:lineRule="auto"/>
              <w:ind w:firstLine="0" w:firstLineChars="0"/>
              <w:jc w:val="center"/>
              <w:rPr>
                <w:rFonts w:hint="default" w:ascii="Times New Roman" w:hAnsi="Times New Roman" w:eastAsia="黑体" w:cs="Times New Roman"/>
                <w:color w:val="FF0000"/>
                <w:lang w:val="en-US" w:eastAsia="zh-CN"/>
              </w:rPr>
            </w:pPr>
            <w:r>
              <w:rPr>
                <w:rFonts w:hint="default" w:ascii="Times New Roman" w:hAnsi="Times New Roman" w:eastAsia="黑体" w:cs="Times New Roman"/>
                <w:color w:val="FF0000"/>
                <w:lang w:val="en-US" w:eastAsia="zh-CN"/>
              </w:rPr>
              <w:t>表4-1    有机废气产排情况一览表</w:t>
            </w:r>
          </w:p>
          <w:tbl>
            <w:tblPr>
              <w:tblStyle w:val="28"/>
              <w:tblW w:w="839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987"/>
              <w:gridCol w:w="1829"/>
              <w:gridCol w:w="1851"/>
              <w:gridCol w:w="1307"/>
              <w:gridCol w:w="10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9"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污染物</w:t>
                  </w:r>
                </w:p>
              </w:tc>
              <w:tc>
                <w:tcPr>
                  <w:tcW w:w="9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形式</w:t>
                  </w:r>
                </w:p>
              </w:tc>
              <w:tc>
                <w:tcPr>
                  <w:tcW w:w="1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产生量</w:t>
                  </w:r>
                </w:p>
              </w:tc>
              <w:tc>
                <w:tcPr>
                  <w:tcW w:w="18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排放量</w:t>
                  </w:r>
                </w:p>
              </w:tc>
              <w:tc>
                <w:tcPr>
                  <w:tcW w:w="130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排放浓度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mg/m</w:t>
                  </w:r>
                  <w:r>
                    <w:rPr>
                      <w:rFonts w:hint="default" w:ascii="Times New Roman" w:hAnsi="Times New Roman" w:eastAsia="仿宋" w:cs="Times New Roman"/>
                      <w:color w:val="FF0000"/>
                      <w:kern w:val="2"/>
                      <w:sz w:val="21"/>
                      <w:szCs w:val="21"/>
                      <w:vertAlign w:val="superscript"/>
                      <w:lang w:val="en-US" w:eastAsia="zh-CN" w:bidi="ar-SA"/>
                    </w:rPr>
                    <w:t>3</w:t>
                  </w:r>
                </w:p>
              </w:tc>
              <w:tc>
                <w:tcPr>
                  <w:tcW w:w="102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风机风量m</w:t>
                  </w:r>
                  <w:r>
                    <w:rPr>
                      <w:rFonts w:hint="default" w:ascii="Times New Roman" w:hAnsi="Times New Roman" w:eastAsia="仿宋" w:cs="Times New Roman"/>
                      <w:color w:val="FF0000"/>
                      <w:kern w:val="2"/>
                      <w:sz w:val="21"/>
                      <w:szCs w:val="21"/>
                      <w:vertAlign w:val="superscript"/>
                      <w:lang w:val="en-US" w:eastAsia="zh-CN" w:bidi="ar-SA"/>
                    </w:rPr>
                    <w:t>3</w:t>
                  </w:r>
                  <w:r>
                    <w:rPr>
                      <w:rFonts w:hint="default" w:ascii="Times New Roman" w:hAnsi="Times New Roman" w:eastAsia="仿宋" w:cs="Times New Roman"/>
                      <w:color w:val="FF0000"/>
                      <w:kern w:val="2"/>
                      <w:sz w:val="21"/>
                      <w:szCs w:val="21"/>
                      <w:lang w:val="en-US" w:eastAsia="zh-CN" w:bidi="ar-SA"/>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9"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非甲烷总烃</w:t>
                  </w:r>
                </w:p>
              </w:tc>
              <w:tc>
                <w:tcPr>
                  <w:tcW w:w="9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有组织</w:t>
                  </w:r>
                </w:p>
              </w:tc>
              <w:tc>
                <w:tcPr>
                  <w:tcW w:w="1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1.152×10</w:t>
                  </w:r>
                  <w:r>
                    <w:rPr>
                      <w:rFonts w:hint="default" w:ascii="Times New Roman" w:hAnsi="Times New Roman" w:eastAsia="仿宋" w:cs="Times New Roman"/>
                      <w:color w:val="FF0000"/>
                      <w:kern w:val="2"/>
                      <w:sz w:val="21"/>
                      <w:szCs w:val="21"/>
                      <w:vertAlign w:val="superscript"/>
                      <w:lang w:val="en-US" w:eastAsia="zh-CN" w:bidi="ar-SA"/>
                    </w:rPr>
                    <w:t>-3</w:t>
                  </w:r>
                  <w:r>
                    <w:rPr>
                      <w:rFonts w:hint="default" w:ascii="Times New Roman" w:hAnsi="Times New Roman" w:eastAsia="仿宋" w:cs="Times New Roman"/>
                      <w:color w:val="FF0000"/>
                      <w:kern w:val="2"/>
                      <w:sz w:val="21"/>
                      <w:szCs w:val="21"/>
                      <w:lang w:val="en-US" w:eastAsia="zh-CN" w:bidi="ar-SA"/>
                    </w:rPr>
                    <w:t>kg/h，0.288kg/a</w:t>
                  </w:r>
                </w:p>
              </w:tc>
              <w:tc>
                <w:tcPr>
                  <w:tcW w:w="18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4.608×10</w:t>
                  </w:r>
                  <w:r>
                    <w:rPr>
                      <w:rFonts w:hint="default" w:ascii="Times New Roman" w:hAnsi="Times New Roman" w:eastAsia="仿宋" w:cs="Times New Roman"/>
                      <w:color w:val="FF0000"/>
                      <w:kern w:val="2"/>
                      <w:sz w:val="21"/>
                      <w:szCs w:val="21"/>
                      <w:vertAlign w:val="superscript"/>
                      <w:lang w:val="en-US" w:eastAsia="zh-CN" w:bidi="ar-SA"/>
                    </w:rPr>
                    <w:t>-4</w:t>
                  </w:r>
                  <w:r>
                    <w:rPr>
                      <w:rFonts w:hint="default" w:ascii="Times New Roman" w:hAnsi="Times New Roman" w:eastAsia="仿宋" w:cs="Times New Roman"/>
                      <w:color w:val="FF0000"/>
                      <w:kern w:val="2"/>
                      <w:sz w:val="21"/>
                      <w:szCs w:val="21"/>
                      <w:lang w:val="en-US" w:eastAsia="zh-CN" w:bidi="ar-SA"/>
                    </w:rPr>
                    <w:t>kg/h，0.1152kg/a</w:t>
                  </w:r>
                </w:p>
              </w:tc>
              <w:tc>
                <w:tcPr>
                  <w:tcW w:w="130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6.58×10</w:t>
                  </w:r>
                  <w:r>
                    <w:rPr>
                      <w:rFonts w:hint="default" w:ascii="Times New Roman" w:hAnsi="Times New Roman" w:eastAsia="仿宋" w:cs="Times New Roman"/>
                      <w:color w:val="FF0000"/>
                      <w:kern w:val="2"/>
                      <w:sz w:val="21"/>
                      <w:szCs w:val="21"/>
                      <w:vertAlign w:val="superscript"/>
                      <w:lang w:val="en-US" w:eastAsia="zh-CN" w:bidi="ar-SA"/>
                    </w:rPr>
                    <w:t>-8</w:t>
                  </w:r>
                </w:p>
              </w:tc>
              <w:tc>
                <w:tcPr>
                  <w:tcW w:w="102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7000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0" w:hRule="atLeast"/>
              </w:trPr>
              <w:tc>
                <w:tcPr>
                  <w:tcW w:w="1399"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无组织</w:t>
                  </w:r>
                </w:p>
              </w:tc>
              <w:tc>
                <w:tcPr>
                  <w:tcW w:w="18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0.000288kg/h，0.072kg/a</w:t>
                  </w:r>
                </w:p>
              </w:tc>
              <w:tc>
                <w:tcPr>
                  <w:tcW w:w="18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0.000288kg/h，0.072kg/a</w:t>
                  </w:r>
                </w:p>
              </w:tc>
              <w:tc>
                <w:tcPr>
                  <w:tcW w:w="130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w:t>
                  </w:r>
                </w:p>
              </w:tc>
              <w:tc>
                <w:tcPr>
                  <w:tcW w:w="102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w:t>
                  </w:r>
                </w:p>
              </w:tc>
            </w:tr>
          </w:tbl>
          <w:p>
            <w:pPr>
              <w:snapToGrid w:val="0"/>
              <w:spacing w:line="360" w:lineRule="auto"/>
              <w:ind w:firstLine="480" w:firstLineChars="200"/>
              <w:jc w:val="both"/>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w:t>
            </w:r>
            <w:r>
              <w:rPr>
                <w:rFonts w:hint="default" w:ascii="Times New Roman" w:hAnsi="Times New Roman" w:cs="Times New Roman"/>
                <w:color w:val="FF0000"/>
                <w:sz w:val="24"/>
                <w:lang w:val="en-US" w:eastAsia="zh-CN"/>
              </w:rPr>
              <w:t>2</w:t>
            </w:r>
            <w:r>
              <w:rPr>
                <w:rFonts w:hint="default" w:ascii="Times New Roman" w:hAnsi="Times New Roman" w:eastAsia="宋体" w:cs="Times New Roman"/>
                <w:color w:val="FF0000"/>
                <w:sz w:val="24"/>
                <w:lang w:val="en-US" w:eastAsia="zh-CN"/>
              </w:rPr>
              <w:t>）</w:t>
            </w:r>
            <w:r>
              <w:rPr>
                <w:rFonts w:hint="default" w:ascii="Times New Roman" w:hAnsi="Times New Roman" w:cs="Times New Roman"/>
                <w:color w:val="FF0000"/>
                <w:sz w:val="24"/>
                <w:lang w:val="en-US" w:eastAsia="zh-CN"/>
              </w:rPr>
              <w:t>无</w:t>
            </w:r>
            <w:r>
              <w:rPr>
                <w:rFonts w:hint="default" w:ascii="Times New Roman" w:hAnsi="Times New Roman" w:eastAsia="宋体" w:cs="Times New Roman"/>
                <w:color w:val="FF0000"/>
                <w:sz w:val="24"/>
                <w:lang w:val="en-US" w:eastAsia="zh-CN"/>
              </w:rPr>
              <w:t>机废气</w:t>
            </w:r>
          </w:p>
          <w:p>
            <w:pPr>
              <w:snapToGrid w:val="0"/>
              <w:spacing w:line="360" w:lineRule="auto"/>
              <w:ind w:firstLine="480" w:firstLineChars="200"/>
              <w:jc w:val="both"/>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本项目在检验过程中，消解环节涉及到使用盐酸、硫酸、硝酸、氢氟酸，使用过程会挥发少量的酸性气体。本项目实验用盐酸浓度为25-38%，密度为1.2g/cm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，硝酸浓度为65-68%，密度1.41g/cm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，浓硫酸为95-98%，密度为1.84g/cm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，氢氟酸密度1.26g/cm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。因此本项目全年实验用盐酸量为</w:t>
            </w:r>
            <w:r>
              <w:rPr>
                <w:rFonts w:hint="default" w:ascii="Times New Roman" w:hAnsi="Times New Roman" w:cs="Times New Roman"/>
                <w:color w:val="FF0000"/>
                <w:sz w:val="24"/>
                <w:lang w:val="en-US" w:eastAsia="zh-CN"/>
              </w:rPr>
              <w:t>15</w:t>
            </w:r>
            <w:r>
              <w:rPr>
                <w:rFonts w:hint="default" w:ascii="Times New Roman" w:hAnsi="Times New Roman" w:eastAsia="宋体" w:cs="Times New Roman"/>
                <w:color w:val="FF0000"/>
                <w:sz w:val="24"/>
                <w:lang w:val="en-US" w:eastAsia="zh-CN"/>
              </w:rPr>
              <w:t>kg、硫酸量为</w:t>
            </w:r>
            <w:r>
              <w:rPr>
                <w:rFonts w:hint="default" w:ascii="Times New Roman" w:hAnsi="Times New Roman" w:cs="Times New Roman"/>
                <w:color w:val="FF0000"/>
                <w:sz w:val="24"/>
                <w:lang w:val="en-US" w:eastAsia="zh-CN"/>
              </w:rPr>
              <w:t>30</w:t>
            </w:r>
            <w:r>
              <w:rPr>
                <w:rFonts w:hint="default" w:ascii="Times New Roman" w:hAnsi="Times New Roman" w:eastAsia="宋体" w:cs="Times New Roman"/>
                <w:color w:val="FF0000"/>
                <w:sz w:val="24"/>
                <w:lang w:val="en-US" w:eastAsia="zh-CN"/>
              </w:rPr>
              <w:t>kg、硝酸量为</w:t>
            </w:r>
            <w:r>
              <w:rPr>
                <w:rFonts w:hint="default" w:ascii="Times New Roman" w:hAnsi="Times New Roman" w:cs="Times New Roman"/>
                <w:color w:val="FF0000"/>
                <w:sz w:val="24"/>
                <w:lang w:val="en-US" w:eastAsia="zh-CN"/>
              </w:rPr>
              <w:t>14.1</w:t>
            </w:r>
            <w:r>
              <w:rPr>
                <w:rFonts w:hint="default" w:ascii="Times New Roman" w:hAnsi="Times New Roman" w:eastAsia="宋体" w:cs="Times New Roman"/>
                <w:color w:val="FF0000"/>
                <w:sz w:val="24"/>
                <w:lang w:val="en-US" w:eastAsia="zh-CN"/>
              </w:rPr>
              <w:t>kg，氢氟酸量为</w:t>
            </w:r>
            <w:r>
              <w:rPr>
                <w:rFonts w:hint="default" w:ascii="Times New Roman" w:hAnsi="Times New Roman" w:cs="Times New Roman"/>
                <w:color w:val="FF0000"/>
                <w:sz w:val="24"/>
                <w:lang w:val="en-US" w:eastAsia="zh-CN"/>
              </w:rPr>
              <w:t>1.2</w:t>
            </w:r>
            <w:r>
              <w:rPr>
                <w:rFonts w:hint="default" w:ascii="Times New Roman" w:hAnsi="Times New Roman" w:eastAsia="宋体" w:cs="Times New Roman"/>
                <w:color w:val="FF0000"/>
                <w:sz w:val="24"/>
                <w:lang w:val="en-US" w:eastAsia="zh-CN"/>
              </w:rPr>
              <w:t>kg，三氯乙烯使用量为5kg，汞使用量为0.1kg。实验过程挥发性酸挥发的酸雾按其用量的5%计，则本项目氯化氢产生量为</w:t>
            </w:r>
            <w:r>
              <w:rPr>
                <w:rFonts w:hint="default" w:ascii="Times New Roman" w:hAnsi="Times New Roman" w:cs="Times New Roman"/>
                <w:color w:val="FF0000"/>
                <w:sz w:val="24"/>
                <w:lang w:val="en-US" w:eastAsia="zh-CN"/>
              </w:rPr>
              <w:t>0.75</w:t>
            </w:r>
            <w:r>
              <w:rPr>
                <w:rFonts w:hint="default" w:ascii="Times New Roman" w:hAnsi="Times New Roman" w:eastAsia="宋体" w:cs="Times New Roman"/>
                <w:color w:val="FF0000"/>
                <w:sz w:val="24"/>
                <w:lang w:val="en-US" w:eastAsia="zh-CN"/>
              </w:rPr>
              <w:t>kg/a，硫酸雾产生量为</w:t>
            </w:r>
            <w:r>
              <w:rPr>
                <w:rFonts w:hint="default" w:ascii="Times New Roman" w:hAnsi="Times New Roman" w:cs="Times New Roman"/>
                <w:color w:val="FF0000"/>
                <w:sz w:val="24"/>
                <w:lang w:val="en-US" w:eastAsia="zh-CN"/>
              </w:rPr>
              <w:t>1.5</w:t>
            </w:r>
            <w:r>
              <w:rPr>
                <w:rFonts w:hint="default" w:ascii="Times New Roman" w:hAnsi="Times New Roman" w:eastAsia="宋体" w:cs="Times New Roman"/>
                <w:color w:val="FF0000"/>
                <w:sz w:val="24"/>
                <w:lang w:val="en-US" w:eastAsia="zh-CN"/>
              </w:rPr>
              <w:t>kg/a，硝酸挥发产生的氮氧化物为</w:t>
            </w:r>
            <w:r>
              <w:rPr>
                <w:rFonts w:hint="default" w:ascii="Times New Roman" w:hAnsi="Times New Roman" w:cs="Times New Roman"/>
                <w:color w:val="FF0000"/>
                <w:sz w:val="24"/>
                <w:lang w:val="en-US" w:eastAsia="zh-CN"/>
              </w:rPr>
              <w:t>0.705</w:t>
            </w:r>
            <w:r>
              <w:rPr>
                <w:rFonts w:hint="default" w:ascii="Times New Roman" w:hAnsi="Times New Roman" w:eastAsia="宋体" w:cs="Times New Roman"/>
                <w:color w:val="FF0000"/>
                <w:sz w:val="24"/>
                <w:lang w:val="en-US" w:eastAsia="zh-CN"/>
              </w:rPr>
              <w:t>kg/a，氟化氢产生量为0.</w:t>
            </w:r>
            <w:r>
              <w:rPr>
                <w:rFonts w:hint="default" w:ascii="Times New Roman" w:hAnsi="Times New Roman" w:cs="Times New Roman"/>
                <w:color w:val="FF0000"/>
                <w:sz w:val="24"/>
                <w:lang w:val="en-US" w:eastAsia="zh-CN"/>
              </w:rPr>
              <w:t>06</w:t>
            </w:r>
            <w:r>
              <w:rPr>
                <w:rFonts w:hint="default" w:ascii="Times New Roman" w:hAnsi="Times New Roman" w:eastAsia="宋体" w:cs="Times New Roman"/>
                <w:color w:val="FF0000"/>
                <w:sz w:val="24"/>
                <w:lang w:val="en-US" w:eastAsia="zh-CN"/>
              </w:rPr>
              <w:t>kg/a，三氯乙烯产生量为0.25kg，汞产生量为0.005kg。</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本项目产生的无机废气量较小，各实验均在通风橱下进行，通风橱的集气效率按80%计，无机废气经风机收集后</w:t>
            </w:r>
            <w:r>
              <w:rPr>
                <w:rFonts w:hint="default" w:ascii="Times New Roman" w:hAnsi="Times New Roman" w:cs="Times New Roman"/>
                <w:color w:val="FF0000"/>
                <w:sz w:val="24"/>
                <w:lang w:val="en-US" w:eastAsia="zh-CN"/>
              </w:rPr>
              <w:t>经SDG干法废气处理设备吸附净化处理，处理效率为80%，通过1根高于楼顶3m的排气筒排放。项目消解时间为2h/d，年消解时间为500h，</w:t>
            </w:r>
            <w:r>
              <w:rPr>
                <w:rFonts w:hint="default" w:ascii="Times New Roman" w:hAnsi="Times New Roman" w:eastAsia="宋体" w:cs="Times New Roman"/>
                <w:color w:val="FF0000"/>
                <w:sz w:val="24"/>
                <w:lang w:val="en-US" w:eastAsia="zh-CN"/>
              </w:rPr>
              <w:t>风机风量为</w:t>
            </w:r>
            <w:r>
              <w:rPr>
                <w:rFonts w:hint="default" w:ascii="Times New Roman" w:hAnsi="Times New Roman" w:cs="Times New Roman"/>
                <w:color w:val="FF0000"/>
                <w:sz w:val="24"/>
                <w:lang w:val="en-US" w:eastAsia="zh-CN"/>
              </w:rPr>
              <w:t>7</w:t>
            </w:r>
            <w:r>
              <w:rPr>
                <w:rFonts w:hint="default" w:ascii="Times New Roman" w:hAnsi="Times New Roman" w:eastAsia="宋体" w:cs="Times New Roman"/>
                <w:color w:val="FF0000"/>
                <w:sz w:val="24"/>
                <w:lang w:val="en-US" w:eastAsia="zh-CN"/>
              </w:rPr>
              <w:t>000m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/h。则本项目各类无机废气排放速率和排放浓度见下表：</w:t>
            </w:r>
          </w:p>
          <w:p>
            <w:pPr>
              <w:adjustRightInd w:val="0"/>
              <w:snapToGrid w:val="0"/>
              <w:spacing w:line="240" w:lineRule="auto"/>
              <w:ind w:firstLine="0" w:firstLineChars="0"/>
              <w:jc w:val="center"/>
              <w:rPr>
                <w:rFonts w:hint="default" w:ascii="Times New Roman" w:hAnsi="Times New Roman" w:eastAsia="黑体" w:cs="Times New Roman"/>
                <w:color w:val="FF0000"/>
                <w:lang w:val="en-US" w:eastAsia="zh-CN"/>
              </w:rPr>
            </w:pPr>
            <w:r>
              <w:rPr>
                <w:rFonts w:hint="default" w:ascii="Times New Roman" w:hAnsi="Times New Roman" w:eastAsia="黑体" w:cs="Times New Roman"/>
                <w:color w:val="FF0000"/>
                <w:lang w:val="en-US" w:eastAsia="zh-CN"/>
              </w:rPr>
              <w:t>表4-2   无机废气产排情况一览表</w:t>
            </w:r>
          </w:p>
          <w:tbl>
            <w:tblPr>
              <w:tblStyle w:val="28"/>
              <w:tblW w:w="794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gridCol w:w="993"/>
              <w:gridCol w:w="993"/>
              <w:gridCol w:w="767"/>
              <w:gridCol w:w="1050"/>
              <w:gridCol w:w="1163"/>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污染源</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污染物</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产生系数</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产生量kg/a</w:t>
                  </w:r>
                </w:p>
              </w:tc>
              <w:tc>
                <w:tcPr>
                  <w:tcW w:w="767"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集气效率%</w:t>
                  </w: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无组织排放速率kg/h</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有组织排放速率kg/h</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有组织排放浓度mg/m</w:t>
                  </w:r>
                  <w:r>
                    <w:rPr>
                      <w:rFonts w:hint="default" w:ascii="Times New Roman" w:hAnsi="Times New Roman" w:eastAsia="仿宋" w:cs="Times New Roman"/>
                      <w:color w:val="FF0000"/>
                      <w:kern w:val="2"/>
                      <w:sz w:val="21"/>
                      <w:szCs w:val="21"/>
                      <w:vertAlign w:val="superscript"/>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各消解实验</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氯化氢</w:t>
                  </w:r>
                </w:p>
              </w:tc>
              <w:tc>
                <w:tcPr>
                  <w:tcW w:w="993"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5%</w:t>
                  </w: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0.75</w:t>
                  </w:r>
                </w:p>
              </w:tc>
              <w:tc>
                <w:tcPr>
                  <w:tcW w:w="767"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80%</w:t>
                  </w: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0.0003</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0.0012</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0.171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硫酸雾</w:t>
                  </w:r>
                </w:p>
              </w:tc>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1.5</w:t>
                  </w:r>
                </w:p>
              </w:tc>
              <w:tc>
                <w:tcPr>
                  <w:tcW w:w="76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0.0006</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0.0024</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0.342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氮氧化物</w:t>
                  </w:r>
                </w:p>
              </w:tc>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0.705</w:t>
                  </w:r>
                </w:p>
              </w:tc>
              <w:tc>
                <w:tcPr>
                  <w:tcW w:w="76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0.000282</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0.001128</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0.161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氟化氢</w:t>
                  </w:r>
                </w:p>
              </w:tc>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0.06</w:t>
                  </w:r>
                </w:p>
              </w:tc>
              <w:tc>
                <w:tcPr>
                  <w:tcW w:w="76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0.000024</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0.000096</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三氯乙烯</w:t>
                  </w:r>
                </w:p>
              </w:tc>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0.25</w:t>
                  </w:r>
                </w:p>
              </w:tc>
              <w:tc>
                <w:tcPr>
                  <w:tcW w:w="76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0.0001</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0.00008</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汞及其化合物</w:t>
                  </w:r>
                </w:p>
              </w:tc>
              <w:tc>
                <w:tcPr>
                  <w:tcW w:w="99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99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0.005</w:t>
                  </w:r>
                </w:p>
              </w:tc>
              <w:tc>
                <w:tcPr>
                  <w:tcW w:w="76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0.000002</w:t>
                  </w:r>
                </w:p>
              </w:tc>
              <w:tc>
                <w:tcPr>
                  <w:tcW w:w="11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0.0000016</w:t>
                  </w:r>
                </w:p>
              </w:tc>
              <w:tc>
                <w:tcPr>
                  <w:tcW w:w="99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0.00023</w:t>
                  </w:r>
                </w:p>
              </w:tc>
            </w:tr>
          </w:tbl>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2、环境影响措施可行性分析</w:t>
            </w:r>
          </w:p>
          <w:p>
            <w:pPr>
              <w:snapToGrid w:val="0"/>
              <w:spacing w:line="360" w:lineRule="auto"/>
              <w:ind w:firstLine="480" w:firstLineChars="200"/>
              <w:rPr>
                <w:rFonts w:hint="default" w:ascii="Times New Roman" w:hAnsi="Times New Roman" w:eastAsia="宋体" w:cs="Times New Roman"/>
                <w:color w:val="FF0000"/>
                <w:sz w:val="24"/>
                <w:lang w:val="en-US" w:eastAsia="zh-CN"/>
              </w:rPr>
            </w:pPr>
            <w:bookmarkStart w:id="7" w:name="_Toc27490"/>
            <w:r>
              <w:rPr>
                <w:rFonts w:hint="default" w:ascii="Times New Roman" w:hAnsi="Times New Roman" w:cs="Times New Roman"/>
                <w:color w:val="FF0000"/>
                <w:sz w:val="24"/>
                <w:lang w:val="en-US" w:eastAsia="zh-CN"/>
              </w:rPr>
              <w:t>本</w:t>
            </w:r>
            <w:r>
              <w:rPr>
                <w:rFonts w:hint="default" w:ascii="Times New Roman" w:hAnsi="Times New Roman" w:eastAsia="宋体" w:cs="Times New Roman"/>
                <w:color w:val="FF0000"/>
                <w:sz w:val="24"/>
                <w:lang w:val="en-US" w:eastAsia="zh-CN"/>
              </w:rPr>
              <w:t>项目运营期产生的废气主要来源于实验试剂配制、样品预处理及样品测试过程，主要污染物为氯化氢、硫酸雾、氮氧化物等无机废气，三氯甲烷、</w:t>
            </w:r>
            <w:r>
              <w:rPr>
                <w:rFonts w:hint="default" w:ascii="Times New Roman" w:hAnsi="Times New Roman" w:cs="Times New Roman"/>
                <w:color w:val="FF0000"/>
                <w:sz w:val="24"/>
                <w:lang w:val="en-US" w:eastAsia="zh-CN"/>
              </w:rPr>
              <w:t>甲醇、甲醛</w:t>
            </w:r>
            <w:r>
              <w:rPr>
                <w:rFonts w:hint="default" w:ascii="Times New Roman" w:hAnsi="Times New Roman" w:eastAsia="宋体" w:cs="Times New Roman"/>
                <w:color w:val="FF0000"/>
                <w:sz w:val="24"/>
                <w:lang w:val="en-US" w:eastAsia="zh-CN"/>
              </w:rPr>
              <w:t>等有机废气，以非甲烷总烃计。</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建设单位将所有可能产生挥发气体的实验步骤均设置在通风橱内，挥发的微量废气采用大风量风机引入通风系统内，通风橱内为微负压操作，收集效率按80%计，</w:t>
            </w:r>
            <w:r>
              <w:rPr>
                <w:rFonts w:hint="default" w:ascii="Times New Roman" w:hAnsi="Times New Roman" w:cs="Times New Roman"/>
                <w:color w:val="FF0000"/>
                <w:sz w:val="24"/>
                <w:lang w:val="en-US" w:eastAsia="zh-CN"/>
              </w:rPr>
              <w:t>其中有机</w:t>
            </w:r>
            <w:r>
              <w:rPr>
                <w:rFonts w:hint="default" w:ascii="Times New Roman" w:hAnsi="Times New Roman" w:eastAsia="宋体" w:cs="Times New Roman"/>
                <w:color w:val="FF0000"/>
                <w:sz w:val="24"/>
                <w:lang w:val="en-US" w:eastAsia="zh-CN"/>
              </w:rPr>
              <w:t>废气经活性炭吸附净化处理后通过高于楼顶</w:t>
            </w:r>
            <w:r>
              <w:rPr>
                <w:rFonts w:hint="default" w:ascii="Times New Roman" w:hAnsi="Times New Roman" w:cs="Times New Roman"/>
                <w:color w:val="FF0000"/>
                <w:sz w:val="24"/>
                <w:lang w:val="en-US" w:eastAsia="zh-CN"/>
              </w:rPr>
              <w:t>3</w:t>
            </w:r>
            <w:r>
              <w:rPr>
                <w:rFonts w:hint="default" w:ascii="Times New Roman" w:hAnsi="Times New Roman" w:eastAsia="宋体" w:cs="Times New Roman"/>
                <w:color w:val="FF0000"/>
                <w:sz w:val="24"/>
                <w:lang w:val="en-US" w:eastAsia="zh-CN"/>
              </w:rPr>
              <w:t>m（自地面算起15m高）排气筒排放</w:t>
            </w:r>
            <w:r>
              <w:rPr>
                <w:rFonts w:hint="default" w:ascii="Times New Roman" w:hAnsi="Times New Roman" w:cs="Times New Roman"/>
                <w:color w:val="FF0000"/>
                <w:sz w:val="24"/>
                <w:lang w:val="en-US" w:eastAsia="zh-CN"/>
              </w:rPr>
              <w:t>，无机废气经SDG干法废气处理设备处理后</w:t>
            </w:r>
            <w:r>
              <w:rPr>
                <w:rFonts w:hint="default" w:ascii="Times New Roman" w:hAnsi="Times New Roman" w:eastAsia="宋体" w:cs="Times New Roman"/>
                <w:color w:val="FF0000"/>
                <w:sz w:val="24"/>
                <w:lang w:val="en-US" w:eastAsia="zh-CN"/>
              </w:rPr>
              <w:t>最终通过高于楼顶</w:t>
            </w:r>
            <w:r>
              <w:rPr>
                <w:rFonts w:hint="default" w:ascii="Times New Roman" w:hAnsi="Times New Roman" w:cs="Times New Roman"/>
                <w:color w:val="FF0000"/>
                <w:sz w:val="24"/>
                <w:lang w:val="en-US" w:eastAsia="zh-CN"/>
              </w:rPr>
              <w:t>3</w:t>
            </w:r>
            <w:r>
              <w:rPr>
                <w:rFonts w:hint="default" w:ascii="Times New Roman" w:hAnsi="Times New Roman" w:eastAsia="宋体" w:cs="Times New Roman"/>
                <w:color w:val="FF0000"/>
                <w:sz w:val="24"/>
                <w:lang w:val="en-US" w:eastAsia="zh-CN"/>
              </w:rPr>
              <w:t>m（自地面算起</w:t>
            </w:r>
            <w:r>
              <w:rPr>
                <w:rFonts w:hint="default" w:ascii="Times New Roman" w:hAnsi="Times New Roman" w:cs="Times New Roman"/>
                <w:color w:val="FF0000"/>
                <w:sz w:val="24"/>
                <w:lang w:val="en-US" w:eastAsia="zh-CN"/>
              </w:rPr>
              <w:t>15</w:t>
            </w:r>
            <w:r>
              <w:rPr>
                <w:rFonts w:hint="default" w:ascii="Times New Roman" w:hAnsi="Times New Roman" w:eastAsia="宋体" w:cs="Times New Roman"/>
                <w:color w:val="FF0000"/>
                <w:sz w:val="24"/>
                <w:lang w:val="en-US" w:eastAsia="zh-CN"/>
              </w:rPr>
              <w:t>m高）排气筒排放。</w:t>
            </w:r>
          </w:p>
          <w:p>
            <w:pPr>
              <w:adjustRightInd w:val="0"/>
              <w:snapToGrid w:val="0"/>
              <w:spacing w:line="240" w:lineRule="auto"/>
              <w:ind w:firstLine="0" w:firstLineChars="0"/>
              <w:jc w:val="center"/>
              <w:rPr>
                <w:rFonts w:hint="default" w:ascii="Times New Roman" w:hAnsi="Times New Roman" w:eastAsia="黑体" w:cs="Times New Roman"/>
                <w:color w:val="FF0000"/>
                <w:lang w:eastAsia="zh-CN"/>
              </w:rPr>
            </w:pPr>
            <w:r>
              <w:rPr>
                <w:rFonts w:hint="default" w:ascii="Times New Roman" w:hAnsi="Times New Roman" w:eastAsia="黑体" w:cs="Times New Roman"/>
                <w:color w:val="FF0000"/>
                <w:lang w:eastAsia="zh-CN"/>
              </w:rPr>
              <w:t>表4-</w:t>
            </w:r>
            <w:r>
              <w:rPr>
                <w:rFonts w:hint="default" w:ascii="Times New Roman" w:hAnsi="Times New Roman" w:eastAsia="黑体" w:cs="Times New Roman"/>
                <w:color w:val="FF0000"/>
                <w:lang w:val="en-US" w:eastAsia="zh-CN"/>
              </w:rPr>
              <w:t>3</w:t>
            </w:r>
            <w:r>
              <w:rPr>
                <w:rFonts w:hint="default" w:ascii="Times New Roman" w:hAnsi="Times New Roman" w:eastAsia="黑体" w:cs="Times New Roman"/>
                <w:color w:val="FF0000"/>
                <w:lang w:eastAsia="zh-CN"/>
              </w:rPr>
              <w:t xml:space="preserve">  </w:t>
            </w:r>
            <w:r>
              <w:rPr>
                <w:rFonts w:hint="default" w:ascii="Times New Roman" w:hAnsi="Times New Roman" w:eastAsia="黑体" w:cs="Times New Roman"/>
                <w:color w:val="FF0000"/>
                <w:lang w:val="en-US" w:eastAsia="zh-CN"/>
              </w:rPr>
              <w:t xml:space="preserve"> 项目有组织排放</w:t>
            </w:r>
            <w:r>
              <w:rPr>
                <w:rFonts w:hint="default" w:ascii="Times New Roman" w:hAnsi="Times New Roman" w:eastAsia="黑体" w:cs="Times New Roman"/>
                <w:color w:val="FF0000"/>
                <w:lang w:eastAsia="zh-CN"/>
              </w:rPr>
              <w:t>污染物产生及排放情况表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0"/>
              <w:gridCol w:w="1044"/>
              <w:gridCol w:w="1142"/>
              <w:gridCol w:w="704"/>
              <w:gridCol w:w="1348"/>
              <w:gridCol w:w="1202"/>
              <w:gridCol w:w="717"/>
              <w:gridCol w:w="838"/>
              <w:gridCol w:w="6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730"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污染源</w:t>
                  </w:r>
                </w:p>
              </w:tc>
              <w:tc>
                <w:tcPr>
                  <w:tcW w:w="104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排放方式及排放口</w:t>
                  </w:r>
                </w:p>
              </w:tc>
              <w:tc>
                <w:tcPr>
                  <w:tcW w:w="1142"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污染物</w:t>
                  </w:r>
                </w:p>
              </w:tc>
              <w:tc>
                <w:tcPr>
                  <w:tcW w:w="70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风量m</w:t>
                  </w:r>
                  <w:r>
                    <w:rPr>
                      <w:rFonts w:hint="default" w:ascii="Times New Roman" w:hAnsi="Times New Roman" w:eastAsia="仿宋" w:cs="Times New Roman"/>
                      <w:color w:val="FF0000"/>
                      <w:kern w:val="2"/>
                      <w:sz w:val="21"/>
                      <w:szCs w:val="21"/>
                      <w:vertAlign w:val="superscript"/>
                      <w:lang w:val="en-US" w:eastAsia="zh-CN" w:bidi="ar-SA"/>
                    </w:rPr>
                    <w:t>3</w:t>
                  </w:r>
                  <w:r>
                    <w:rPr>
                      <w:rFonts w:hint="default" w:ascii="Times New Roman" w:hAnsi="Times New Roman" w:eastAsia="仿宋" w:cs="Times New Roman"/>
                      <w:color w:val="FF0000"/>
                      <w:kern w:val="2"/>
                      <w:sz w:val="21"/>
                      <w:szCs w:val="21"/>
                      <w:lang w:val="en-US" w:eastAsia="zh-CN" w:bidi="ar-SA"/>
                    </w:rPr>
                    <w:t>/h</w:t>
                  </w:r>
                </w:p>
              </w:tc>
              <w:tc>
                <w:tcPr>
                  <w:tcW w:w="1348"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排放速率kg/h</w:t>
                  </w:r>
                </w:p>
              </w:tc>
              <w:tc>
                <w:tcPr>
                  <w:tcW w:w="1202"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排放浓度mg/m</w:t>
                  </w:r>
                  <w:r>
                    <w:rPr>
                      <w:rFonts w:hint="default" w:ascii="Times New Roman" w:hAnsi="Times New Roman" w:eastAsia="仿宋" w:cs="Times New Roman"/>
                      <w:color w:val="FF0000"/>
                      <w:kern w:val="2"/>
                      <w:sz w:val="21"/>
                      <w:szCs w:val="21"/>
                      <w:vertAlign w:val="superscript"/>
                      <w:lang w:val="en-US" w:eastAsia="zh-CN" w:bidi="ar-SA"/>
                    </w:rPr>
                    <w:t>3</w:t>
                  </w:r>
                </w:p>
              </w:tc>
              <w:tc>
                <w:tcPr>
                  <w:tcW w:w="1555" w:type="dxa"/>
                  <w:gridSpan w:val="2"/>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标准值</w:t>
                  </w:r>
                </w:p>
              </w:tc>
              <w:tc>
                <w:tcPr>
                  <w:tcW w:w="638"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30"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70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202"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717"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速率kg/h</w:t>
                  </w:r>
                </w:p>
              </w:tc>
              <w:tc>
                <w:tcPr>
                  <w:tcW w:w="838"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浓度mg/m</w:t>
                  </w:r>
                  <w:r>
                    <w:rPr>
                      <w:rFonts w:hint="default" w:ascii="Times New Roman" w:hAnsi="Times New Roman" w:eastAsia="仿宋" w:cs="Times New Roman"/>
                      <w:color w:val="FF0000"/>
                      <w:kern w:val="2"/>
                      <w:sz w:val="21"/>
                      <w:szCs w:val="21"/>
                      <w:vertAlign w:val="superscript"/>
                      <w:lang w:val="en-US" w:eastAsia="zh-CN" w:bidi="ar-SA"/>
                    </w:rPr>
                    <w:t>3</w:t>
                  </w:r>
                </w:p>
              </w:tc>
              <w:tc>
                <w:tcPr>
                  <w:tcW w:w="638"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实验试剂配制、样品预处理及测试</w:t>
                  </w:r>
                </w:p>
              </w:tc>
              <w:tc>
                <w:tcPr>
                  <w:tcW w:w="104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有机废气排气筒</w:t>
                  </w:r>
                </w:p>
              </w:tc>
              <w:tc>
                <w:tcPr>
                  <w:tcW w:w="11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非甲烷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总烃</w:t>
                  </w:r>
                </w:p>
              </w:tc>
              <w:tc>
                <w:tcPr>
                  <w:tcW w:w="70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7000</w:t>
                  </w:r>
                </w:p>
              </w:tc>
              <w:tc>
                <w:tcPr>
                  <w:tcW w:w="134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4.608×10</w:t>
                  </w:r>
                  <w:r>
                    <w:rPr>
                      <w:rFonts w:hint="default" w:ascii="Times New Roman" w:hAnsi="Times New Roman" w:eastAsia="仿宋" w:cs="Times New Roman"/>
                      <w:color w:val="FF0000"/>
                      <w:kern w:val="2"/>
                      <w:sz w:val="21"/>
                      <w:szCs w:val="21"/>
                      <w:vertAlign w:val="superscript"/>
                      <w:lang w:val="en-US" w:eastAsia="zh-CN" w:bidi="ar-SA"/>
                    </w:rPr>
                    <w:t>-4</w:t>
                  </w:r>
                </w:p>
              </w:tc>
              <w:tc>
                <w:tcPr>
                  <w:tcW w:w="120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6.58×10</w:t>
                  </w:r>
                  <w:r>
                    <w:rPr>
                      <w:rFonts w:hint="default" w:ascii="Times New Roman" w:hAnsi="Times New Roman" w:eastAsia="仿宋" w:cs="Times New Roman"/>
                      <w:color w:val="FF0000"/>
                      <w:kern w:val="2"/>
                      <w:sz w:val="21"/>
                      <w:szCs w:val="21"/>
                      <w:vertAlign w:val="superscript"/>
                      <w:lang w:val="en-US" w:eastAsia="zh-CN" w:bidi="ar-SA"/>
                    </w:rPr>
                    <w:t>-8</w:t>
                  </w:r>
                </w:p>
              </w:tc>
              <w:tc>
                <w:tcPr>
                  <w:tcW w:w="71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10</w:t>
                  </w:r>
                </w:p>
              </w:tc>
              <w:tc>
                <w:tcPr>
                  <w:tcW w:w="8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120</w:t>
                  </w:r>
                </w:p>
              </w:tc>
              <w:tc>
                <w:tcPr>
                  <w:tcW w:w="6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无机废气排气筒</w:t>
                  </w:r>
                </w:p>
              </w:tc>
              <w:tc>
                <w:tcPr>
                  <w:tcW w:w="11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氯化氢</w:t>
                  </w:r>
                </w:p>
              </w:tc>
              <w:tc>
                <w:tcPr>
                  <w:tcW w:w="704" w:type="dxa"/>
                  <w:vMerge w:val="restar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7000</w:t>
                  </w:r>
                </w:p>
              </w:tc>
              <w:tc>
                <w:tcPr>
                  <w:tcW w:w="134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0.0012</w:t>
                  </w:r>
                </w:p>
              </w:tc>
              <w:tc>
                <w:tcPr>
                  <w:tcW w:w="120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0.171</w:t>
                  </w:r>
                </w:p>
              </w:tc>
              <w:tc>
                <w:tcPr>
                  <w:tcW w:w="71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0.43</w:t>
                  </w:r>
                </w:p>
              </w:tc>
              <w:tc>
                <w:tcPr>
                  <w:tcW w:w="8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100</w:t>
                  </w:r>
                </w:p>
              </w:tc>
              <w:tc>
                <w:tcPr>
                  <w:tcW w:w="6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硫酸雾</w:t>
                  </w:r>
                </w:p>
              </w:tc>
              <w:tc>
                <w:tcPr>
                  <w:tcW w:w="70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0.0024</w:t>
                  </w:r>
                </w:p>
              </w:tc>
              <w:tc>
                <w:tcPr>
                  <w:tcW w:w="120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0.342</w:t>
                  </w:r>
                </w:p>
              </w:tc>
              <w:tc>
                <w:tcPr>
                  <w:tcW w:w="71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2.6</w:t>
                  </w:r>
                </w:p>
              </w:tc>
              <w:tc>
                <w:tcPr>
                  <w:tcW w:w="8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45</w:t>
                  </w:r>
                </w:p>
              </w:tc>
              <w:tc>
                <w:tcPr>
                  <w:tcW w:w="6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氮氧化物</w:t>
                  </w:r>
                </w:p>
              </w:tc>
              <w:tc>
                <w:tcPr>
                  <w:tcW w:w="704" w:type="dxa"/>
                  <w:vMerge w:val="continu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0.001128</w:t>
                  </w:r>
                </w:p>
              </w:tc>
              <w:tc>
                <w:tcPr>
                  <w:tcW w:w="1202"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0.161</w:t>
                  </w:r>
                </w:p>
              </w:tc>
              <w:tc>
                <w:tcPr>
                  <w:tcW w:w="71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1.3</w:t>
                  </w:r>
                </w:p>
              </w:tc>
              <w:tc>
                <w:tcPr>
                  <w:tcW w:w="8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240</w:t>
                  </w:r>
                </w:p>
              </w:tc>
              <w:tc>
                <w:tcPr>
                  <w:tcW w:w="63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氟化氢</w:t>
                  </w:r>
                </w:p>
              </w:tc>
              <w:tc>
                <w:tcPr>
                  <w:tcW w:w="70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0.000096</w:t>
                  </w:r>
                </w:p>
              </w:tc>
              <w:tc>
                <w:tcPr>
                  <w:tcW w:w="120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0.014</w:t>
                  </w:r>
                </w:p>
              </w:tc>
              <w:tc>
                <w:tcPr>
                  <w:tcW w:w="71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0.17</w:t>
                  </w:r>
                </w:p>
              </w:tc>
              <w:tc>
                <w:tcPr>
                  <w:tcW w:w="8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9</w:t>
                  </w:r>
                </w:p>
              </w:tc>
              <w:tc>
                <w:tcPr>
                  <w:tcW w:w="6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三氯乙烯</w:t>
                  </w:r>
                </w:p>
              </w:tc>
              <w:tc>
                <w:tcPr>
                  <w:tcW w:w="70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0.00008</w:t>
                  </w:r>
                </w:p>
              </w:tc>
              <w:tc>
                <w:tcPr>
                  <w:tcW w:w="120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0.011</w:t>
                  </w:r>
                </w:p>
              </w:tc>
              <w:tc>
                <w:tcPr>
                  <w:tcW w:w="71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0.77</w:t>
                  </w:r>
                </w:p>
              </w:tc>
              <w:tc>
                <w:tcPr>
                  <w:tcW w:w="8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36</w:t>
                  </w:r>
                </w:p>
              </w:tc>
              <w:tc>
                <w:tcPr>
                  <w:tcW w:w="6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3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4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14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汞及其化合物</w:t>
                  </w:r>
                </w:p>
              </w:tc>
              <w:tc>
                <w:tcPr>
                  <w:tcW w:w="704"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3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0.0000016</w:t>
                  </w:r>
                </w:p>
              </w:tc>
              <w:tc>
                <w:tcPr>
                  <w:tcW w:w="120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0.00023</w:t>
                  </w:r>
                </w:p>
              </w:tc>
              <w:tc>
                <w:tcPr>
                  <w:tcW w:w="71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0.0015</w:t>
                  </w:r>
                </w:p>
              </w:tc>
              <w:tc>
                <w:tcPr>
                  <w:tcW w:w="8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0.012</w:t>
                  </w:r>
                </w:p>
              </w:tc>
              <w:tc>
                <w:tcPr>
                  <w:tcW w:w="63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达标</w:t>
                  </w:r>
                </w:p>
              </w:tc>
            </w:tr>
            <w:bookmarkEnd w:id="7"/>
          </w:tbl>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3、监测计划要求</w:t>
            </w:r>
          </w:p>
          <w:p>
            <w:pPr>
              <w:snapToGrid w:val="0"/>
              <w:spacing w:line="360" w:lineRule="auto"/>
              <w:ind w:firstLine="480"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 xml:space="preserve">根据《排污单位自行监测技术指南 </w:t>
            </w:r>
            <w:r>
              <w:rPr>
                <w:rFonts w:hint="default" w:ascii="Times New Roman" w:hAnsi="Times New Roman" w:cs="Times New Roman"/>
                <w:color w:val="FF0000"/>
                <w:sz w:val="24"/>
                <w:lang w:val="en-US" w:eastAsia="zh-CN"/>
              </w:rPr>
              <w:t>总则</w:t>
            </w:r>
            <w:r>
              <w:rPr>
                <w:rFonts w:hint="default" w:ascii="Times New Roman" w:hAnsi="Times New Roman" w:eastAsia="宋体" w:cs="Times New Roman"/>
                <w:color w:val="FF0000"/>
                <w:sz w:val="24"/>
                <w:lang w:val="en-US" w:eastAsia="zh-CN"/>
              </w:rPr>
              <w:t>》（HJ</w:t>
            </w:r>
            <w:r>
              <w:rPr>
                <w:rFonts w:hint="default" w:ascii="Times New Roman" w:hAnsi="Times New Roman" w:cs="Times New Roman"/>
                <w:color w:val="FF0000"/>
                <w:sz w:val="24"/>
                <w:lang w:val="en-US" w:eastAsia="zh-CN"/>
              </w:rPr>
              <w:t>819</w:t>
            </w:r>
            <w:r>
              <w:rPr>
                <w:rFonts w:hint="default" w:ascii="Times New Roman" w:hAnsi="Times New Roman" w:eastAsia="宋体" w:cs="Times New Roman"/>
                <w:color w:val="FF0000"/>
                <w:sz w:val="24"/>
                <w:lang w:val="en-US" w:eastAsia="zh-CN"/>
              </w:rPr>
              <w:t>-2017）自行监测要求，废气自行监测点位、监测指标及监测频次具体见表4-</w:t>
            </w:r>
            <w:r>
              <w:rPr>
                <w:rFonts w:hint="default" w:ascii="Times New Roman" w:hAnsi="Times New Roman" w:cs="Times New Roman"/>
                <w:color w:val="FF0000"/>
                <w:sz w:val="24"/>
                <w:lang w:val="en-US" w:eastAsia="zh-CN"/>
              </w:rPr>
              <w:t>4</w:t>
            </w:r>
            <w:r>
              <w:rPr>
                <w:rFonts w:hint="default" w:ascii="Times New Roman" w:hAnsi="Times New Roman" w:eastAsia="宋体" w:cs="Times New Roman"/>
                <w:color w:val="FF0000"/>
                <w:sz w:val="24"/>
                <w:lang w:val="en-US" w:eastAsia="zh-CN"/>
              </w:rPr>
              <w:t>。</w:t>
            </w:r>
          </w:p>
          <w:p>
            <w:pPr>
              <w:pStyle w:val="53"/>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表4-</w:t>
            </w:r>
            <w:r>
              <w:rPr>
                <w:rFonts w:hint="default" w:ascii="Times New Roman" w:hAnsi="Times New Roman" w:cs="Times New Roman"/>
                <w:color w:val="FF0000"/>
                <w:sz w:val="24"/>
                <w:szCs w:val="24"/>
                <w:lang w:val="en-US" w:eastAsia="zh-CN"/>
              </w:rPr>
              <w:t>4</w:t>
            </w:r>
            <w:r>
              <w:rPr>
                <w:rFonts w:hint="default" w:ascii="Times New Roman" w:hAnsi="Times New Roman" w:cs="Times New Roman"/>
                <w:color w:val="FF0000"/>
                <w:sz w:val="24"/>
                <w:szCs w:val="24"/>
              </w:rPr>
              <w:t xml:space="preserve">   项目废气污染源监测计划一览表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256"/>
              <w:gridCol w:w="2971"/>
              <w:gridCol w:w="20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2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监测点位</w:t>
                  </w:r>
                </w:p>
              </w:tc>
              <w:tc>
                <w:tcPr>
                  <w:tcW w:w="119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排放形式</w:t>
                  </w:r>
                </w:p>
              </w:tc>
              <w:tc>
                <w:tcPr>
                  <w:tcW w:w="282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监测指标</w:t>
                  </w:r>
                </w:p>
              </w:tc>
              <w:tc>
                <w:tcPr>
                  <w:tcW w:w="190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监测评测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2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有机废气排气筒</w:t>
                  </w:r>
                </w:p>
              </w:tc>
              <w:tc>
                <w:tcPr>
                  <w:tcW w:w="119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有组织</w:t>
                  </w:r>
                </w:p>
              </w:tc>
              <w:tc>
                <w:tcPr>
                  <w:tcW w:w="282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非甲烷总烃</w:t>
                  </w:r>
                </w:p>
              </w:tc>
              <w:tc>
                <w:tcPr>
                  <w:tcW w:w="190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1次/半年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2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无机废气排气筒</w:t>
                  </w:r>
                </w:p>
              </w:tc>
              <w:tc>
                <w:tcPr>
                  <w:tcW w:w="119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有组织</w:t>
                  </w:r>
                </w:p>
              </w:tc>
              <w:tc>
                <w:tcPr>
                  <w:tcW w:w="282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氯化氢、硫酸雾、氮氧化物、氟化氢、三氯乙烯、汞及其化合物</w:t>
                  </w:r>
                </w:p>
              </w:tc>
              <w:tc>
                <w:tcPr>
                  <w:tcW w:w="190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1次/半年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2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厂界上风向设1处、下风向设3处监测点位</w:t>
                  </w:r>
                </w:p>
              </w:tc>
              <w:tc>
                <w:tcPr>
                  <w:tcW w:w="119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无组织</w:t>
                  </w:r>
                </w:p>
              </w:tc>
              <w:tc>
                <w:tcPr>
                  <w:tcW w:w="282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非甲烷总烃、氯化氢、硫酸雾、氮氧化物、氟化氢、汞及其化合物</w:t>
                  </w:r>
                </w:p>
              </w:tc>
              <w:tc>
                <w:tcPr>
                  <w:tcW w:w="190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1次/半年</w:t>
                  </w:r>
                </w:p>
              </w:tc>
            </w:tr>
          </w:tbl>
          <w:p>
            <w:pPr>
              <w:spacing w:line="360" w:lineRule="auto"/>
              <w:rPr>
                <w:rFonts w:hint="default" w:ascii="Times New Roman" w:hAnsi="Times New Roman" w:eastAsia="宋体" w:cs="Times New Roman"/>
                <w:b/>
                <w:bCs/>
                <w:color w:val="FF0000"/>
                <w:sz w:val="24"/>
                <w:szCs w:val="24"/>
                <w:lang w:eastAsia="zh-CN"/>
              </w:rPr>
            </w:pPr>
            <w:r>
              <w:rPr>
                <w:rFonts w:hint="default" w:ascii="Times New Roman" w:hAnsi="Times New Roman" w:eastAsia="宋体" w:cs="Times New Roman"/>
                <w:b/>
                <w:bCs/>
                <w:color w:val="FF0000"/>
                <w:sz w:val="24"/>
                <w:szCs w:val="24"/>
                <w:lang w:eastAsia="zh-CN"/>
              </w:rPr>
              <w:t>2、废水</w:t>
            </w:r>
          </w:p>
          <w:p>
            <w:pPr>
              <w:pStyle w:val="120"/>
              <w:tabs>
                <w:tab w:val="left" w:pos="5040"/>
              </w:tabs>
              <w:ind w:firstLine="480"/>
              <w:jc w:val="both"/>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项目产生的废水主要为纯水制备废水、实验废水、职工生活污水和地面清洁废水。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（1）纯水制备废水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项目纯水制备装置产生的排污水量为4.5m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/a，经废水处理设备处理后，进入排水管道排入市政污水管网。</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（2）实验废水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①实验废液：实验废液包括配置废水和废液体溶剂。实验废液产生总量为4m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/a。其中实验配制废水废水产生量为2.4m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/a；废液体溶剂产生量为0.06m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②器皿清洗废水产生量为10.4m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实验废水经废水处理装置处理后排往市政污水管网。</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（3）职工生活污水和地面清洁污水</w:t>
            </w:r>
          </w:p>
          <w:p>
            <w:pPr>
              <w:pStyle w:val="119"/>
              <w:jc w:val="both"/>
              <w:rPr>
                <w:rFonts w:hint="default" w:ascii="Times New Roman" w:hAnsi="Times New Roman" w:cs="Times New Roman"/>
                <w:bCs w:val="0"/>
                <w:color w:val="FF0000"/>
                <w:sz w:val="24"/>
                <w:highlight w:val="none"/>
                <w:lang w:val="en-US" w:eastAsia="zh-CN"/>
              </w:rPr>
            </w:pPr>
            <w:r>
              <w:rPr>
                <w:rFonts w:hint="default" w:ascii="Times New Roman" w:hAnsi="Times New Roman" w:cs="Times New Roman"/>
                <w:bCs w:val="0"/>
                <w:color w:val="FF0000"/>
                <w:sz w:val="24"/>
                <w:highlight w:val="none"/>
                <w:lang w:val="en-US" w:eastAsia="zh-CN"/>
              </w:rPr>
              <w:t>项目生活污水产生量为264m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/a，地面清洁废水产生量为12.8m</w:t>
            </w:r>
            <w:r>
              <w:rPr>
                <w:rFonts w:hint="default" w:ascii="Times New Roman" w:hAnsi="Times New Roman" w:cs="Times New Roman"/>
                <w:bCs w:val="0"/>
                <w:color w:val="FF0000"/>
                <w:sz w:val="24"/>
                <w:highlight w:val="none"/>
                <w:vertAlign w:val="superscript"/>
                <w:lang w:val="en-US" w:eastAsia="zh-CN"/>
              </w:rPr>
              <w:t>3</w:t>
            </w:r>
            <w:r>
              <w:rPr>
                <w:rFonts w:hint="default" w:ascii="Times New Roman" w:hAnsi="Times New Roman" w:cs="Times New Roman"/>
                <w:bCs w:val="0"/>
                <w:color w:val="FF0000"/>
                <w:sz w:val="24"/>
                <w:highlight w:val="none"/>
                <w:lang w:val="en-US" w:eastAsia="zh-CN"/>
              </w:rPr>
              <w:t>/a，直接进入化粪池内排入市政污水管网。</w:t>
            </w:r>
          </w:p>
          <w:p>
            <w:pPr>
              <w:pStyle w:val="120"/>
              <w:ind w:firstLine="48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根据《排污许可申请与核发技术规范 总则》</w:t>
            </w:r>
            <w:r>
              <w:rPr>
                <w:rFonts w:hint="default" w:ascii="Times New Roman" w:hAnsi="Times New Roman" w:cs="Times New Roman"/>
                <w:color w:val="FF0000"/>
                <w:highlight w:val="none"/>
                <w:lang w:val="en-US" w:eastAsia="zh-CN"/>
              </w:rPr>
              <w:t>（HJ819-2017）</w:t>
            </w:r>
            <w:r>
              <w:rPr>
                <w:rFonts w:hint="default" w:ascii="Times New Roman" w:hAnsi="Times New Roman" w:eastAsia="宋体" w:cs="Times New Roman"/>
                <w:color w:val="FF0000"/>
                <w:highlight w:val="none"/>
                <w:lang w:val="en-US" w:eastAsia="zh-CN"/>
              </w:rPr>
              <w:t>，确定本项目废水产排污环节名称、污染物种类、排放形式及、排放量、及污染防治设施一览表见表4-</w:t>
            </w:r>
            <w:r>
              <w:rPr>
                <w:rFonts w:hint="default" w:ascii="Times New Roman" w:hAnsi="Times New Roman" w:cs="Times New Roman"/>
                <w:color w:val="FF0000"/>
                <w:highlight w:val="none"/>
                <w:lang w:val="en-US" w:eastAsia="zh-CN"/>
              </w:rPr>
              <w:t>5</w:t>
            </w:r>
            <w:r>
              <w:rPr>
                <w:rFonts w:hint="default" w:ascii="Times New Roman" w:hAnsi="Times New Roman" w:eastAsia="宋体" w:cs="Times New Roman"/>
                <w:color w:val="FF0000"/>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00" w:lineRule="auto"/>
              <w:jc w:val="center"/>
              <w:textAlignment w:val="auto"/>
              <w:rPr>
                <w:rFonts w:hint="default" w:ascii="Times New Roman" w:hAnsi="Times New Roman" w:eastAsia="宋体" w:cs="Times New Roman"/>
                <w:color w:val="FF0000"/>
                <w:kern w:val="0"/>
                <w:sz w:val="21"/>
                <w:szCs w:val="21"/>
                <w:highlight w:val="none"/>
                <w:lang w:val="en-US" w:eastAsia="zh-CN"/>
              </w:rPr>
            </w:pPr>
            <w:r>
              <w:rPr>
                <w:rFonts w:hint="default" w:ascii="Times New Roman" w:hAnsi="Times New Roman" w:eastAsia="黑体" w:cs="Times New Roman"/>
                <w:color w:val="FF0000"/>
                <w:kern w:val="0"/>
                <w:sz w:val="21"/>
                <w:szCs w:val="21"/>
                <w:highlight w:val="none"/>
                <w:lang w:val="en-US" w:eastAsia="zh-CN"/>
              </w:rPr>
              <w:t>表4-5    排污单位废水产排污及治理设施一览表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742"/>
              <w:gridCol w:w="1040"/>
              <w:gridCol w:w="1146"/>
              <w:gridCol w:w="1105"/>
              <w:gridCol w:w="941"/>
              <w:gridCol w:w="13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废水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类别</w:t>
                  </w:r>
                </w:p>
              </w:tc>
              <w:tc>
                <w:tcPr>
                  <w:tcW w:w="16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种类</w:t>
                  </w:r>
                </w:p>
              </w:tc>
              <w:tc>
                <w:tcPr>
                  <w:tcW w:w="9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产生量（m</w:t>
                  </w:r>
                  <w:r>
                    <w:rPr>
                      <w:rFonts w:hint="default" w:ascii="Times New Roman" w:hAnsi="Times New Roman" w:eastAsia="仿宋" w:cs="Times New Roman"/>
                      <w:color w:val="FF0000"/>
                      <w:kern w:val="2"/>
                      <w:sz w:val="21"/>
                      <w:szCs w:val="21"/>
                      <w:vertAlign w:val="superscript"/>
                      <w:lang w:val="en-US" w:eastAsia="zh-CN" w:bidi="ar-SA"/>
                    </w:rPr>
                    <w:t>3</w:t>
                  </w:r>
                  <w:r>
                    <w:rPr>
                      <w:rFonts w:hint="default" w:ascii="Times New Roman" w:hAnsi="Times New Roman" w:eastAsia="仿宋" w:cs="Times New Roman"/>
                      <w:color w:val="FF0000"/>
                      <w:kern w:val="2"/>
                      <w:sz w:val="21"/>
                      <w:szCs w:val="21"/>
                      <w:lang w:val="en-US" w:eastAsia="zh-CN" w:bidi="ar-SA"/>
                    </w:rPr>
                    <w:t>/a）</w:t>
                  </w:r>
                </w:p>
              </w:tc>
              <w:tc>
                <w:tcPr>
                  <w:tcW w:w="10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污染防治设施</w:t>
                  </w:r>
                </w:p>
              </w:tc>
              <w:tc>
                <w:tcPr>
                  <w:tcW w:w="105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类型</w:t>
                  </w:r>
                </w:p>
              </w:tc>
              <w:tc>
                <w:tcPr>
                  <w:tcW w:w="89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排放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去向</w:t>
                  </w:r>
                </w:p>
              </w:tc>
              <w:tc>
                <w:tcPr>
                  <w:tcW w:w="128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执行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纯水制备废水</w:t>
                  </w:r>
                </w:p>
              </w:tc>
              <w:tc>
                <w:tcPr>
                  <w:tcW w:w="16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SS、全盐量</w:t>
                  </w:r>
                </w:p>
              </w:tc>
              <w:tc>
                <w:tcPr>
                  <w:tcW w:w="9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4.5</w:t>
                  </w:r>
                </w:p>
              </w:tc>
              <w:tc>
                <w:tcPr>
                  <w:tcW w:w="10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w:t>
                  </w:r>
                </w:p>
              </w:tc>
              <w:tc>
                <w:tcPr>
                  <w:tcW w:w="105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一般排放口</w:t>
                  </w:r>
                </w:p>
              </w:tc>
              <w:tc>
                <w:tcPr>
                  <w:tcW w:w="894"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通过管网进入宁县生活污水处理厂处理</w:t>
                  </w:r>
                </w:p>
              </w:tc>
              <w:tc>
                <w:tcPr>
                  <w:tcW w:w="1281"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《污水综合排放标准》（GB8978-1996）三级标准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实验废液</w:t>
                  </w:r>
                </w:p>
              </w:tc>
              <w:tc>
                <w:tcPr>
                  <w:tcW w:w="16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pH、COD、BOD</w:t>
                  </w:r>
                  <w:r>
                    <w:rPr>
                      <w:rFonts w:hint="default" w:ascii="Times New Roman" w:hAnsi="Times New Roman" w:eastAsia="仿宋" w:cs="Times New Roman"/>
                      <w:color w:val="FF0000"/>
                      <w:kern w:val="2"/>
                      <w:sz w:val="21"/>
                      <w:szCs w:val="21"/>
                      <w:vertAlign w:val="subscript"/>
                      <w:lang w:val="en-US" w:eastAsia="zh-CN" w:bidi="ar-SA"/>
                    </w:rPr>
                    <w:t>5</w:t>
                  </w:r>
                  <w:r>
                    <w:rPr>
                      <w:rFonts w:hint="default" w:ascii="Times New Roman" w:hAnsi="Times New Roman" w:eastAsia="仿宋" w:cs="Times New Roman"/>
                      <w:color w:val="FF0000"/>
                      <w:kern w:val="2"/>
                      <w:sz w:val="21"/>
                      <w:szCs w:val="21"/>
                      <w:lang w:val="en-US" w:eastAsia="zh-CN" w:bidi="ar-SA"/>
                    </w:rPr>
                    <w:t>、SS、氨氮、氟化物</w:t>
                  </w:r>
                </w:p>
              </w:tc>
              <w:tc>
                <w:tcPr>
                  <w:tcW w:w="9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14.4</w:t>
                  </w:r>
                </w:p>
              </w:tc>
              <w:tc>
                <w:tcPr>
                  <w:tcW w:w="10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实验废水处理设备</w:t>
                  </w:r>
                </w:p>
              </w:tc>
              <w:tc>
                <w:tcPr>
                  <w:tcW w:w="105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一般排放口</w:t>
                  </w:r>
                </w:p>
              </w:tc>
              <w:tc>
                <w:tcPr>
                  <w:tcW w:w="8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281"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生活污水</w:t>
                  </w:r>
                </w:p>
              </w:tc>
              <w:tc>
                <w:tcPr>
                  <w:tcW w:w="16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COD、BOD</w:t>
                  </w:r>
                  <w:r>
                    <w:rPr>
                      <w:rFonts w:hint="default" w:ascii="Times New Roman" w:hAnsi="Times New Roman" w:eastAsia="仿宋" w:cs="Times New Roman"/>
                      <w:color w:val="FF0000"/>
                      <w:kern w:val="2"/>
                      <w:sz w:val="21"/>
                      <w:szCs w:val="21"/>
                      <w:vertAlign w:val="subscript"/>
                      <w:lang w:val="en-US" w:eastAsia="zh-CN" w:bidi="ar-SA"/>
                    </w:rPr>
                    <w:t>5</w:t>
                  </w:r>
                  <w:r>
                    <w:rPr>
                      <w:rFonts w:hint="default" w:ascii="Times New Roman" w:hAnsi="Times New Roman" w:eastAsia="仿宋" w:cs="Times New Roman"/>
                      <w:color w:val="FF0000"/>
                      <w:kern w:val="2"/>
                      <w:sz w:val="21"/>
                      <w:szCs w:val="21"/>
                      <w:lang w:val="en-US" w:eastAsia="zh-CN" w:bidi="ar-SA"/>
                    </w:rPr>
                    <w:t>、SS、氨氮、</w:t>
                  </w:r>
                </w:p>
              </w:tc>
              <w:tc>
                <w:tcPr>
                  <w:tcW w:w="9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264</w:t>
                  </w:r>
                </w:p>
              </w:tc>
              <w:tc>
                <w:tcPr>
                  <w:tcW w:w="1089"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化粪池</w:t>
                  </w:r>
                </w:p>
              </w:tc>
              <w:tc>
                <w:tcPr>
                  <w:tcW w:w="105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一般排放口</w:t>
                  </w:r>
                </w:p>
              </w:tc>
              <w:tc>
                <w:tcPr>
                  <w:tcW w:w="8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281"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《污水综合排放标准》（GB8978-1996）三级标准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地面清洁污水</w:t>
                  </w:r>
                </w:p>
              </w:tc>
              <w:tc>
                <w:tcPr>
                  <w:tcW w:w="165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COD、BOD</w:t>
                  </w:r>
                  <w:r>
                    <w:rPr>
                      <w:rFonts w:hint="default" w:ascii="Times New Roman" w:hAnsi="Times New Roman" w:eastAsia="仿宋" w:cs="Times New Roman"/>
                      <w:color w:val="FF0000"/>
                      <w:kern w:val="2"/>
                      <w:sz w:val="21"/>
                      <w:szCs w:val="21"/>
                      <w:vertAlign w:val="subscript"/>
                      <w:lang w:val="en-US" w:eastAsia="zh-CN" w:bidi="ar-SA"/>
                    </w:rPr>
                    <w:t>5</w:t>
                  </w:r>
                  <w:r>
                    <w:rPr>
                      <w:rFonts w:hint="default" w:ascii="Times New Roman" w:hAnsi="Times New Roman" w:eastAsia="仿宋" w:cs="Times New Roman"/>
                      <w:color w:val="FF0000"/>
                      <w:kern w:val="2"/>
                      <w:sz w:val="21"/>
                      <w:szCs w:val="21"/>
                      <w:lang w:val="en-US" w:eastAsia="zh-CN" w:bidi="ar-SA"/>
                    </w:rPr>
                    <w:t>、SS、氨氮、阴离子表面活性剂</w:t>
                  </w:r>
                </w:p>
              </w:tc>
              <w:tc>
                <w:tcPr>
                  <w:tcW w:w="9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12.8</w:t>
                  </w:r>
                </w:p>
              </w:tc>
              <w:tc>
                <w:tcPr>
                  <w:tcW w:w="1089"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05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8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c>
                <w:tcPr>
                  <w:tcW w:w="1281"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00" w:lineRule="auto"/>
              <w:jc w:val="center"/>
              <w:textAlignment w:val="auto"/>
              <w:rPr>
                <w:rFonts w:hint="default" w:ascii="Times New Roman" w:hAnsi="Times New Roman" w:eastAsia="宋体" w:cs="Times New Roman"/>
                <w:color w:val="FF0000"/>
                <w:kern w:val="0"/>
                <w:sz w:val="21"/>
                <w:szCs w:val="21"/>
                <w:highlight w:val="none"/>
                <w:lang w:val="en-US" w:eastAsia="zh-CN"/>
              </w:rPr>
            </w:pPr>
            <w:r>
              <w:rPr>
                <w:rFonts w:hint="default" w:ascii="Times New Roman" w:hAnsi="Times New Roman" w:eastAsia="黑体" w:cs="Times New Roman"/>
                <w:color w:val="FF0000"/>
                <w:kern w:val="0"/>
                <w:sz w:val="21"/>
                <w:szCs w:val="21"/>
                <w:lang w:val="en-US" w:eastAsia="zh-CN"/>
              </w:rPr>
              <w:t>表4-6  排污单位废水自行监测计划</w:t>
            </w:r>
          </w:p>
          <w:tbl>
            <w:tblPr>
              <w:tblStyle w:val="28"/>
              <w:tblW w:w="80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2800"/>
              <w:gridCol w:w="2181"/>
              <w:gridCol w:w="1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监测点位</w:t>
                  </w:r>
                </w:p>
              </w:tc>
              <w:tc>
                <w:tcPr>
                  <w:tcW w:w="28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监测指标</w:t>
                  </w:r>
                </w:p>
              </w:tc>
              <w:tc>
                <w:tcPr>
                  <w:tcW w:w="218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执行标准</w:t>
                  </w:r>
                </w:p>
              </w:tc>
              <w:tc>
                <w:tcPr>
                  <w:tcW w:w="14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企业实验废水总排放口</w:t>
                  </w:r>
                </w:p>
              </w:tc>
              <w:tc>
                <w:tcPr>
                  <w:tcW w:w="28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lang w:val="en-US" w:eastAsia="zh-CN" w:bidi="ar-SA"/>
                    </w:rPr>
                  </w:pPr>
                  <w:r>
                    <w:rPr>
                      <w:rFonts w:hint="default" w:ascii="Times New Roman" w:hAnsi="Times New Roman" w:eastAsia="仿宋" w:cs="Times New Roman"/>
                      <w:color w:val="FF0000"/>
                      <w:kern w:val="2"/>
                      <w:sz w:val="21"/>
                      <w:szCs w:val="21"/>
                      <w:lang w:val="en-US" w:eastAsia="zh-CN" w:bidi="ar-SA"/>
                    </w:rPr>
                    <w:t>pH、COD、BOD</w:t>
                  </w:r>
                  <w:r>
                    <w:rPr>
                      <w:rFonts w:hint="default" w:ascii="Times New Roman" w:hAnsi="Times New Roman" w:eastAsia="仿宋" w:cs="Times New Roman"/>
                      <w:color w:val="FF0000"/>
                      <w:kern w:val="2"/>
                      <w:sz w:val="21"/>
                      <w:szCs w:val="21"/>
                      <w:vertAlign w:val="subscript"/>
                      <w:lang w:val="en-US" w:eastAsia="zh-CN" w:bidi="ar-SA"/>
                    </w:rPr>
                    <w:t>5</w:t>
                  </w:r>
                  <w:r>
                    <w:rPr>
                      <w:rFonts w:hint="default" w:ascii="Times New Roman" w:hAnsi="Times New Roman" w:eastAsia="仿宋" w:cs="Times New Roman"/>
                      <w:color w:val="FF0000"/>
                      <w:kern w:val="2"/>
                      <w:sz w:val="21"/>
                      <w:szCs w:val="21"/>
                      <w:lang w:val="en-US" w:eastAsia="zh-CN" w:bidi="ar-SA"/>
                    </w:rPr>
                    <w:t>、SS、氨氮、氟化物</w:t>
                  </w:r>
                </w:p>
              </w:tc>
              <w:tc>
                <w:tcPr>
                  <w:tcW w:w="218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highlight w:val="none"/>
                      <w:lang w:val="en-US" w:eastAsia="zh-CN" w:bidi="ar-SA"/>
                    </w:rPr>
                  </w:pPr>
                  <w:r>
                    <w:rPr>
                      <w:rFonts w:hint="default" w:ascii="Times New Roman" w:hAnsi="Times New Roman" w:eastAsia="仿宋" w:cs="Times New Roman"/>
                      <w:color w:val="FF0000"/>
                      <w:kern w:val="2"/>
                      <w:sz w:val="21"/>
                      <w:szCs w:val="21"/>
                      <w:highlight w:val="none"/>
                      <w:lang w:val="en-US" w:eastAsia="zh-CN" w:bidi="ar-SA"/>
                    </w:rPr>
                    <w:t>《污水排入城镇下水道水质标准》（GB/T31962-2015）三级B标准</w:t>
                  </w:r>
                </w:p>
              </w:tc>
              <w:tc>
                <w:tcPr>
                  <w:tcW w:w="14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FF0000"/>
                      <w:kern w:val="2"/>
                      <w:sz w:val="21"/>
                      <w:szCs w:val="21"/>
                      <w:highlight w:val="none"/>
                      <w:lang w:val="en-US" w:eastAsia="zh-CN" w:bidi="ar-SA"/>
                    </w:rPr>
                  </w:pPr>
                  <w:r>
                    <w:rPr>
                      <w:rFonts w:hint="default" w:ascii="Times New Roman" w:hAnsi="Times New Roman" w:eastAsia="仿宋" w:cs="Times New Roman"/>
                      <w:color w:val="FF0000"/>
                      <w:kern w:val="2"/>
                      <w:sz w:val="21"/>
                      <w:szCs w:val="21"/>
                      <w:highlight w:val="none"/>
                      <w:lang w:val="en-US" w:eastAsia="zh-CN" w:bidi="ar-SA"/>
                    </w:rPr>
                    <w:t>1次/年</w:t>
                  </w:r>
                </w:p>
              </w:tc>
            </w:tr>
          </w:tbl>
          <w:p>
            <w:pPr>
              <w:pStyle w:val="120"/>
              <w:ind w:firstLine="48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（4）废水污染物环境影响分析及治理措施可行性</w:t>
            </w:r>
          </w:p>
          <w:p>
            <w:pPr>
              <w:pStyle w:val="120"/>
              <w:tabs>
                <w:tab w:val="left" w:pos="5040"/>
              </w:tabs>
              <w:ind w:firstLine="480"/>
              <w:jc w:val="both"/>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项目产生的废水主要为纯水制备废水、实验废水、职工生活污水和地面清洁废水。</w:t>
            </w:r>
          </w:p>
          <w:p>
            <w:pPr>
              <w:pStyle w:val="119"/>
              <w:jc w:val="both"/>
              <w:rPr>
                <w:rFonts w:hint="default" w:ascii="Times New Roman" w:hAnsi="Times New Roman" w:eastAsia="宋体" w:cs="Times New Roman"/>
                <w:color w:val="FF0000"/>
                <w:highlight w:val="none"/>
                <w:lang w:val="en-US" w:eastAsia="zh-CN"/>
              </w:rPr>
            </w:pPr>
            <w:r>
              <w:rPr>
                <w:rFonts w:hint="default" w:ascii="Times New Roman" w:hAnsi="Times New Roman" w:cs="Times New Roman"/>
                <w:bCs w:val="0"/>
                <w:color w:val="FF0000"/>
                <w:sz w:val="24"/>
                <w:highlight w:val="none"/>
                <w:lang w:val="en-US" w:eastAsia="zh-CN"/>
              </w:rPr>
              <w:t>其中实验废水进入实验废水处理设备处理后排入市政污水管网。其他废水包括纯水制备废水直接排入市政污水管网。生活污水、地面清洗废水经化粪池预处理后，排入市政污水管网。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val="0"/>
                <w:color w:val="FF0000"/>
                <w:kern w:val="2"/>
                <w:sz w:val="24"/>
                <w:szCs w:val="22"/>
                <w:highlight w:val="none"/>
                <w:lang w:val="en-US" w:eastAsia="zh-CN" w:bidi="ar-SA"/>
              </w:rPr>
            </w:pPr>
            <w:r>
              <w:rPr>
                <w:rFonts w:hint="default" w:ascii="Times New Roman" w:hAnsi="Times New Roman" w:cs="Times New Roman" w:eastAsiaTheme="minorEastAsia"/>
                <w:bCs w:val="0"/>
                <w:color w:val="FF0000"/>
                <w:kern w:val="2"/>
                <w:sz w:val="24"/>
                <w:szCs w:val="22"/>
                <w:highlight w:val="none"/>
                <w:lang w:val="en-US" w:eastAsia="zh-CN" w:bidi="ar-SA"/>
              </w:rPr>
              <w:t>本项目排放至市政污水管网的污水成分较为简单，经中和处理后主要污染物为盐分。实验废水经中和处理后，废水中污染物可满足《污水排入城镇下水道水质标准》（GBT3.1962-2015）</w:t>
            </w:r>
            <w:r>
              <w:rPr>
                <w:rFonts w:hint="default" w:ascii="Times New Roman" w:hAnsi="Times New Roman" w:cs="Times New Roman"/>
                <w:bCs w:val="0"/>
                <w:color w:val="FF0000"/>
                <w:kern w:val="2"/>
                <w:sz w:val="24"/>
                <w:szCs w:val="22"/>
                <w:highlight w:val="none"/>
                <w:lang w:val="en-US" w:eastAsia="zh-CN" w:bidi="ar-SA"/>
              </w:rPr>
              <w:t>B</w:t>
            </w:r>
            <w:r>
              <w:rPr>
                <w:rFonts w:hint="default" w:ascii="Times New Roman" w:hAnsi="Times New Roman" w:cs="Times New Roman" w:eastAsiaTheme="minorEastAsia"/>
                <w:bCs w:val="0"/>
                <w:color w:val="FF0000"/>
                <w:kern w:val="2"/>
                <w:sz w:val="24"/>
                <w:szCs w:val="22"/>
                <w:highlight w:val="none"/>
                <w:lang w:val="en-US" w:eastAsia="zh-CN" w:bidi="ar-SA"/>
              </w:rPr>
              <w:t>级标准，排入市政污水管网。其他清洗废水中污染物较少可直接排入市政污水管网。生活污水经化粪池预处理后，各种污染物浓度可满足《污水排入城镇下水道水质标准》（GBT3.1962-2015）</w:t>
            </w:r>
            <w:r>
              <w:rPr>
                <w:rFonts w:hint="default" w:ascii="Times New Roman" w:hAnsi="Times New Roman" w:cs="Times New Roman"/>
                <w:bCs w:val="0"/>
                <w:color w:val="FF0000"/>
                <w:kern w:val="2"/>
                <w:sz w:val="24"/>
                <w:szCs w:val="22"/>
                <w:highlight w:val="none"/>
                <w:lang w:val="en-US" w:eastAsia="zh-CN" w:bidi="ar-SA"/>
              </w:rPr>
              <w:t>B</w:t>
            </w:r>
            <w:r>
              <w:rPr>
                <w:rFonts w:hint="default" w:ascii="Times New Roman" w:hAnsi="Times New Roman" w:cs="Times New Roman" w:eastAsiaTheme="minorEastAsia"/>
                <w:bCs w:val="0"/>
                <w:color w:val="FF0000"/>
                <w:kern w:val="2"/>
                <w:sz w:val="24"/>
                <w:szCs w:val="22"/>
                <w:highlight w:val="none"/>
                <w:lang w:val="en-US" w:eastAsia="zh-CN" w:bidi="ar-SA"/>
              </w:rPr>
              <w:t>级标准。</w:t>
            </w:r>
          </w:p>
          <w:p>
            <w:pPr>
              <w:pStyle w:val="120"/>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cs="Times New Roman" w:eastAsiaTheme="minorEastAsia"/>
                <w:bCs w:val="0"/>
                <w:color w:val="FF0000"/>
                <w:kern w:val="2"/>
                <w:sz w:val="24"/>
                <w:szCs w:val="22"/>
                <w:highlight w:val="none"/>
                <w:lang w:val="en-US" w:eastAsia="zh-CN" w:bidi="ar-SA"/>
              </w:rPr>
            </w:pPr>
            <w:r>
              <w:rPr>
                <w:rFonts w:hint="default" w:ascii="Times New Roman" w:hAnsi="Times New Roman" w:cs="Times New Roman" w:eastAsiaTheme="minorEastAsia"/>
                <w:bCs w:val="0"/>
                <w:color w:val="FF0000"/>
                <w:kern w:val="2"/>
                <w:sz w:val="24"/>
                <w:szCs w:val="22"/>
                <w:highlight w:val="none"/>
                <w:lang w:val="en-US" w:eastAsia="zh-CN" w:bidi="ar-SA"/>
              </w:rPr>
              <w:t>（5）污水处理厂依托可行性</w:t>
            </w:r>
          </w:p>
          <w:p>
            <w:pPr>
              <w:pStyle w:val="120"/>
              <w:ind w:firstLine="48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宁县城区生活污水处理厂实际污水处理能力为达3500m</w:t>
            </w:r>
            <w:r>
              <w:rPr>
                <w:rFonts w:hint="default" w:ascii="Times New Roman" w:hAnsi="Times New Roman" w:eastAsia="宋体" w:cs="Times New Roman"/>
                <w:color w:val="FF0000"/>
                <w:highlight w:val="none"/>
                <w:vertAlign w:val="superscript"/>
                <w:lang w:val="en-US" w:eastAsia="zh-CN"/>
              </w:rPr>
              <w:t>3</w:t>
            </w:r>
            <w:r>
              <w:rPr>
                <w:rFonts w:hint="default" w:ascii="Times New Roman" w:hAnsi="Times New Roman" w:eastAsia="宋体" w:cs="Times New Roman"/>
                <w:color w:val="FF0000"/>
                <w:highlight w:val="none"/>
                <w:lang w:val="en-US" w:eastAsia="zh-CN"/>
              </w:rPr>
              <w:t>/d，主要由污水处理构筑物、污泥处理构筑物和辅助生产建筑物及配套工程等组成，总占地面积20996m</w:t>
            </w:r>
            <w:r>
              <w:rPr>
                <w:rFonts w:hint="default" w:ascii="Times New Roman" w:hAnsi="Times New Roman" w:eastAsia="宋体" w:cs="Times New Roman"/>
                <w:color w:val="FF0000"/>
                <w:highlight w:val="none"/>
                <w:vertAlign w:val="superscript"/>
                <w:lang w:val="en-US" w:eastAsia="zh-CN"/>
              </w:rPr>
              <w:t>2</w:t>
            </w:r>
            <w:r>
              <w:rPr>
                <w:rFonts w:hint="default" w:ascii="Times New Roman" w:hAnsi="Times New Roman" w:eastAsia="宋体" w:cs="Times New Roman"/>
                <w:color w:val="FF0000"/>
                <w:highlight w:val="none"/>
                <w:lang w:val="en-US" w:eastAsia="zh-CN"/>
              </w:rPr>
              <w:t>。</w:t>
            </w:r>
          </w:p>
          <w:p>
            <w:pPr>
              <w:pStyle w:val="120"/>
              <w:ind w:firstLine="480"/>
              <w:jc w:val="both"/>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本项</w:t>
            </w:r>
            <w:r>
              <w:rPr>
                <w:rFonts w:hint="default" w:ascii="Times New Roman" w:hAnsi="Times New Roman" w:cs="Times New Roman"/>
                <w:color w:val="FF0000"/>
                <w:highlight w:val="none"/>
                <w:lang w:val="en-US" w:eastAsia="zh-CN"/>
              </w:rPr>
              <w:t>目</w:t>
            </w:r>
            <w:r>
              <w:rPr>
                <w:rFonts w:hint="default" w:ascii="Times New Roman" w:hAnsi="Times New Roman" w:eastAsia="宋体" w:cs="Times New Roman"/>
                <w:color w:val="FF0000"/>
                <w:highlight w:val="none"/>
                <w:lang w:val="en-US" w:eastAsia="zh-CN"/>
              </w:rPr>
              <w:t>在宁县城区生活污水处理厂污水接纳范围内，现阶段进水水量远小于设计总进水量，污水出水水质满足</w:t>
            </w:r>
            <w:r>
              <w:rPr>
                <w:rFonts w:hint="eastAsia" w:ascii="Times New Roman" w:hAnsi="Times New Roman" w:cs="Times New Roman"/>
                <w:color w:val="FF0000"/>
                <w:highlight w:val="none"/>
                <w:lang w:val="en-US" w:eastAsia="zh-CN"/>
              </w:rPr>
              <w:t>宁</w:t>
            </w:r>
            <w:r>
              <w:rPr>
                <w:rFonts w:hint="default" w:ascii="Times New Roman" w:hAnsi="Times New Roman" w:cs="Times New Roman"/>
                <w:color w:val="FF0000"/>
                <w:highlight w:val="none"/>
                <w:lang w:val="en-US" w:eastAsia="zh-CN"/>
              </w:rPr>
              <w:t>县</w:t>
            </w:r>
            <w:r>
              <w:rPr>
                <w:rFonts w:hint="default" w:ascii="Times New Roman" w:hAnsi="Times New Roman" w:eastAsia="宋体" w:cs="Times New Roman"/>
                <w:color w:val="FF0000"/>
                <w:highlight w:val="none"/>
                <w:lang w:val="en-US" w:eastAsia="zh-CN"/>
              </w:rPr>
              <w:t>污水处理厂进水水质标准。项目位于该污水厂收纳污水范围内，所产生废水均由该污水处理厂进一步处理，依托可行。</w:t>
            </w:r>
          </w:p>
          <w:p>
            <w:pPr>
              <w:spacing w:line="360" w:lineRule="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3、噪声</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3.1预测模型</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lang w:eastAsia="zh-CN"/>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3.2预测参数</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（1）噪声源强</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本项目运营期主要噪声源为空调外机、风机等运行时产生的噪声，噪声源强约为80dB(A)。本项目风机放置于楼顶，采取基础减振、距离衰减、安装隔声罩等措施并远离厂界布置，预计隔声量可达10dB(A)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本评价以</w:t>
            </w:r>
            <w:r>
              <w:rPr>
                <w:rFonts w:hint="default" w:ascii="Times New Roman" w:hAnsi="Times New Roman" w:eastAsia="宋体" w:cs="Times New Roman"/>
                <w:color w:val="auto"/>
                <w:sz w:val="24"/>
                <w:lang w:eastAsia="zh-CN"/>
              </w:rPr>
              <w:t>项目</w:t>
            </w:r>
            <w:r>
              <w:rPr>
                <w:rFonts w:hint="default" w:ascii="Times New Roman" w:hAnsi="Times New Roman" w:eastAsia="宋体" w:cs="Times New Roman"/>
                <w:color w:val="auto"/>
                <w:sz w:val="24"/>
              </w:rPr>
              <w:t>边界作为本项目厂界对噪声进行预测</w:t>
            </w:r>
            <w:r>
              <w:rPr>
                <w:rFonts w:hint="default" w:ascii="Times New Roman" w:hAnsi="Times New Roman" w:eastAsia="宋体" w:cs="Times New Roman"/>
                <w:color w:val="auto"/>
                <w:sz w:val="24"/>
                <w:lang w:eastAsia="zh-CN"/>
              </w:rPr>
              <w:t>。</w:t>
            </w:r>
          </w:p>
          <w:p>
            <w:pPr>
              <w:ind w:firstLine="925" w:firstLineChars="419"/>
              <w:jc w:val="center"/>
              <w:rPr>
                <w:rFonts w:hint="default" w:ascii="Times New Roman" w:hAnsi="Times New Roman" w:eastAsia="宋体" w:cs="Times New Roman"/>
                <w:color w:val="auto"/>
                <w:sz w:val="24"/>
              </w:rPr>
            </w:pPr>
            <w:r>
              <w:rPr>
                <w:rFonts w:hint="default" w:ascii="Times New Roman" w:hAnsi="Times New Roman" w:eastAsia="宋体" w:cs="Times New Roman"/>
                <w:b/>
                <w:color w:val="auto"/>
                <w:szCs w:val="21"/>
              </w:rPr>
              <w:t>表</w:t>
            </w:r>
            <w:r>
              <w:rPr>
                <w:rFonts w:hint="default" w:ascii="Times New Roman" w:hAnsi="Times New Roman" w:eastAsia="宋体" w:cs="Times New Roman"/>
                <w:b/>
                <w:color w:val="auto"/>
                <w:szCs w:val="21"/>
                <w:lang w:eastAsia="zh-CN"/>
              </w:rPr>
              <w:t>4-8</w:t>
            </w:r>
            <w:r>
              <w:rPr>
                <w:rFonts w:hint="default" w:ascii="Times New Roman" w:hAnsi="Times New Roman" w:eastAsia="宋体" w:cs="Times New Roman"/>
                <w:b/>
                <w:color w:val="auto"/>
                <w:szCs w:val="21"/>
              </w:rPr>
              <w:t xml:space="preserve">       主要噪声设备</w:t>
            </w:r>
            <w:r>
              <w:rPr>
                <w:rFonts w:hint="default" w:ascii="Times New Roman" w:hAnsi="Times New Roman" w:eastAsia="宋体" w:cs="Times New Roman"/>
                <w:b/>
                <w:color w:val="auto"/>
                <w:szCs w:val="21"/>
                <w:lang w:eastAsia="zh-CN"/>
              </w:rPr>
              <w:t>噪声源强</w:t>
            </w:r>
            <w:r>
              <w:rPr>
                <w:rFonts w:hint="default" w:ascii="Times New Roman" w:hAnsi="Times New Roman" w:eastAsia="宋体" w:cs="Times New Roman"/>
                <w:b/>
                <w:color w:val="auto"/>
                <w:szCs w:val="21"/>
              </w:rPr>
              <w:t xml:space="preserve">             dB（A）</w:t>
            </w:r>
          </w:p>
          <w:tbl>
            <w:tblPr>
              <w:tblStyle w:val="36"/>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197"/>
              <w:gridCol w:w="1436"/>
              <w:gridCol w:w="1396"/>
              <w:gridCol w:w="2244"/>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874" w:type="dxa"/>
                  <w:tcBorders>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1197"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名称</w:t>
                  </w:r>
                </w:p>
              </w:tc>
              <w:tc>
                <w:tcPr>
                  <w:tcW w:w="1436"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位置</w:t>
                  </w:r>
                </w:p>
              </w:tc>
              <w:tc>
                <w:tcPr>
                  <w:tcW w:w="1396"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源强 db  (A)</w:t>
                  </w:r>
                </w:p>
              </w:tc>
              <w:tc>
                <w:tcPr>
                  <w:tcW w:w="2244"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控制措施</w:t>
                  </w:r>
                </w:p>
              </w:tc>
              <w:tc>
                <w:tcPr>
                  <w:tcW w:w="1450" w:type="dxa"/>
                  <w:tcBorders>
                    <w:left w:val="single" w:color="000000" w:sz="4" w:space="0"/>
                    <w:right w:val="single" w:color="000000" w:sz="8"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等压声压级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874" w:type="dxa"/>
                  <w:tcBorders>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w:t>
                  </w:r>
                </w:p>
              </w:tc>
              <w:tc>
                <w:tcPr>
                  <w:tcW w:w="1197"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空调机组</w:t>
                  </w:r>
                </w:p>
              </w:tc>
              <w:tc>
                <w:tcPr>
                  <w:tcW w:w="1436" w:type="dxa"/>
                  <w:vMerge w:val="restart"/>
                  <w:tcBorders>
                    <w:left w:val="single" w:color="000000" w:sz="4" w:space="0"/>
                    <w:bottom w:val="nil"/>
                    <w:right w:val="single" w:color="000000" w:sz="4" w:space="0"/>
                  </w:tcBorders>
                </w:tcPr>
                <w:p>
                  <w:pPr>
                    <w:jc w:val="center"/>
                    <w:rPr>
                      <w:rFonts w:hint="default" w:ascii="Times New Roman" w:hAnsi="Times New Roman" w:eastAsia="宋体" w:cs="Times New Roman"/>
                      <w:color w:val="auto"/>
                      <w:sz w:val="21"/>
                      <w:szCs w:val="21"/>
                      <w:lang w:eastAsia="zh-CN"/>
                    </w:rPr>
                  </w:pPr>
                </w:p>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实验室外墙</w:t>
                  </w:r>
                </w:p>
              </w:tc>
              <w:tc>
                <w:tcPr>
                  <w:tcW w:w="1396"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70</w:t>
                  </w:r>
                </w:p>
              </w:tc>
              <w:tc>
                <w:tcPr>
                  <w:tcW w:w="2244" w:type="dxa"/>
                  <w:vMerge w:val="restart"/>
                  <w:tcBorders>
                    <w:left w:val="single" w:color="000000" w:sz="4" w:space="0"/>
                    <w:bottom w:val="nil"/>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基础减振、车间隔声、 距离衰减</w:t>
                  </w:r>
                </w:p>
              </w:tc>
              <w:tc>
                <w:tcPr>
                  <w:tcW w:w="1450" w:type="dxa"/>
                  <w:tcBorders>
                    <w:left w:val="single" w:color="000000" w:sz="4" w:space="0"/>
                    <w:right w:val="single" w:color="000000" w:sz="8"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874" w:type="dxa"/>
                  <w:tcBorders>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w:t>
                  </w:r>
                </w:p>
              </w:tc>
              <w:tc>
                <w:tcPr>
                  <w:tcW w:w="1197"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风机</w:t>
                  </w:r>
                </w:p>
              </w:tc>
              <w:tc>
                <w:tcPr>
                  <w:tcW w:w="1436" w:type="dxa"/>
                  <w:vMerge w:val="continue"/>
                  <w:tcBorders>
                    <w:top w:val="nil"/>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p>
              </w:tc>
              <w:tc>
                <w:tcPr>
                  <w:tcW w:w="1396" w:type="dxa"/>
                  <w:tcBorders>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80</w:t>
                  </w:r>
                </w:p>
              </w:tc>
              <w:tc>
                <w:tcPr>
                  <w:tcW w:w="2244" w:type="dxa"/>
                  <w:vMerge w:val="continue"/>
                  <w:tcBorders>
                    <w:top w:val="nil"/>
                    <w:left w:val="single" w:color="000000" w:sz="4" w:space="0"/>
                    <w:right w:val="single" w:color="000000" w:sz="4" w:space="0"/>
                  </w:tcBorders>
                </w:tcPr>
                <w:p>
                  <w:pPr>
                    <w:jc w:val="center"/>
                    <w:rPr>
                      <w:rFonts w:hint="default" w:ascii="Times New Roman" w:hAnsi="Times New Roman" w:eastAsia="宋体" w:cs="Times New Roman"/>
                      <w:color w:val="auto"/>
                      <w:sz w:val="21"/>
                      <w:szCs w:val="21"/>
                      <w:lang w:eastAsia="zh-CN"/>
                    </w:rPr>
                  </w:pPr>
                </w:p>
              </w:tc>
              <w:tc>
                <w:tcPr>
                  <w:tcW w:w="1450" w:type="dxa"/>
                  <w:tcBorders>
                    <w:left w:val="single" w:color="000000" w:sz="4" w:space="0"/>
                    <w:right w:val="single" w:color="000000" w:sz="8" w:space="0"/>
                  </w:tcBorders>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70</w:t>
                  </w:r>
                </w:p>
              </w:tc>
            </w:tr>
          </w:tbl>
          <w:p>
            <w:pPr>
              <w:pStyle w:val="23"/>
              <w:widowControl w:val="0"/>
              <w:spacing w:before="0" w:beforeAutospacing="0" w:after="0" w:afterAutospacing="0" w:line="360" w:lineRule="auto"/>
              <w:ind w:firstLine="480" w:firstLineChars="200"/>
              <w:jc w:val="both"/>
              <w:rPr>
                <w:rFonts w:hint="default" w:ascii="Times New Roman" w:hAnsi="Times New Roman" w:cs="Times New Roman"/>
                <w:color w:val="auto"/>
                <w:lang w:bidi="ar"/>
              </w:rPr>
            </w:pPr>
            <w:r>
              <w:rPr>
                <w:rFonts w:hint="default" w:ascii="Times New Roman" w:hAnsi="Times New Roman" w:cs="Times New Roman"/>
                <w:color w:val="auto"/>
                <w:lang w:bidi="ar"/>
              </w:rPr>
              <w:t>（2）基础数据</w:t>
            </w:r>
          </w:p>
          <w:p>
            <w:pPr>
              <w:pStyle w:val="109"/>
              <w:ind w:firstLine="48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项目噪声环境影响预测基础数据见表4-9。</w:t>
            </w:r>
          </w:p>
          <w:p>
            <w:pPr>
              <w:pStyle w:val="115"/>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表4-9    项目噪声环境影响预测基础数据表</w:t>
            </w:r>
          </w:p>
          <w:tbl>
            <w:tblPr>
              <w:tblStyle w:val="2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150"/>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2150" w:type="dxa"/>
                </w:tcPr>
                <w:p>
                  <w:pPr>
                    <w:widowControl/>
                    <w:jc w:val="center"/>
                    <w:rPr>
                      <w:rFonts w:hint="default" w:ascii="Times New Roman" w:hAnsi="Times New Roman" w:eastAsia="宋体" w:cs="Times New Roman"/>
                      <w:color w:val="auto"/>
                      <w:lang w:eastAsia="zh-CN"/>
                    </w:rPr>
                  </w:pPr>
                  <w:bookmarkStart w:id="8" w:name="PT_4"/>
                  <w:r>
                    <w:rPr>
                      <w:rFonts w:hint="default" w:ascii="Times New Roman" w:hAnsi="Times New Roman" w:eastAsia="宋体" w:cs="Times New Roman"/>
                      <w:color w:val="auto"/>
                      <w:lang w:eastAsia="zh-CN"/>
                    </w:rPr>
                    <w:t>序号</w:t>
                  </w:r>
                </w:p>
              </w:tc>
              <w:tc>
                <w:tcPr>
                  <w:tcW w:w="2150" w:type="dxa"/>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名称</w:t>
                  </w:r>
                </w:p>
              </w:tc>
              <w:tc>
                <w:tcPr>
                  <w:tcW w:w="2150" w:type="dxa"/>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单位</w:t>
                  </w:r>
                </w:p>
              </w:tc>
              <w:tc>
                <w:tcPr>
                  <w:tcW w:w="2150" w:type="dxa"/>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年平均风速</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m/s</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2</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主导风向</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东南风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3</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年平均气温</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4</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年平均相对湿度</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5</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大气压强</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atm</w:t>
                  </w:r>
                </w:p>
              </w:tc>
              <w:tc>
                <w:tcPr>
                  <w:tcW w:w="2150" w:type="dxa"/>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w:t>
                  </w:r>
                </w:p>
              </w:tc>
            </w:tr>
            <w:bookmarkEnd w:id="8"/>
          </w:tbl>
          <w:p>
            <w:pPr>
              <w:pStyle w:val="115"/>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 xml:space="preserve">表4-10 </w:t>
            </w:r>
            <w:r>
              <w:rPr>
                <w:rFonts w:hint="default" w:ascii="Times New Roman" w:hAnsi="Times New Roman" w:eastAsia="宋体" w:cs="Times New Roman"/>
                <w:color w:val="auto"/>
                <w:lang w:eastAsia="zh-CN"/>
              </w:rPr>
              <w:tab/>
            </w:r>
            <w:r>
              <w:rPr>
                <w:rFonts w:hint="default" w:ascii="Times New Roman" w:hAnsi="Times New Roman" w:eastAsia="宋体" w:cs="Times New Roman"/>
                <w:color w:val="auto"/>
                <w:lang w:eastAsia="zh-CN"/>
              </w:rPr>
              <w:t>工业企业噪声源强调查清单（室外声源）</w:t>
            </w:r>
          </w:p>
          <w:tbl>
            <w:tblPr>
              <w:tblStyle w:val="27"/>
              <w:tblW w:w="85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5"/>
              <w:gridCol w:w="889"/>
              <w:gridCol w:w="672"/>
              <w:gridCol w:w="828"/>
              <w:gridCol w:w="907"/>
              <w:gridCol w:w="1770"/>
              <w:gridCol w:w="1237"/>
              <w:gridCol w:w="859"/>
              <w:gridCol w:w="8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595" w:type="dxa"/>
                  <w:vMerge w:val="restart"/>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序号</w:t>
                  </w:r>
                </w:p>
              </w:tc>
              <w:tc>
                <w:tcPr>
                  <w:tcW w:w="889" w:type="dxa"/>
                  <w:vMerge w:val="restart"/>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声源名称</w:t>
                  </w:r>
                </w:p>
              </w:tc>
              <w:tc>
                <w:tcPr>
                  <w:tcW w:w="2407" w:type="dxa"/>
                  <w:gridSpan w:val="3"/>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空间相对位置/m</w:t>
                  </w:r>
                </w:p>
              </w:tc>
              <w:tc>
                <w:tcPr>
                  <w:tcW w:w="3007" w:type="dxa"/>
                  <w:gridSpan w:val="2"/>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声源源强（任选一种）</w:t>
                  </w:r>
                </w:p>
              </w:tc>
              <w:tc>
                <w:tcPr>
                  <w:tcW w:w="859" w:type="dxa"/>
                  <w:vMerge w:val="restart"/>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声源控制措施</w:t>
                  </w:r>
                </w:p>
              </w:tc>
              <w:tc>
                <w:tcPr>
                  <w:tcW w:w="801" w:type="dxa"/>
                  <w:vMerge w:val="restart"/>
                  <w:tcBorders>
                    <w:tl2br w:val="nil"/>
                    <w:tr2bl w:val="nil"/>
                  </w:tcBorders>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95" w:type="dxa"/>
                  <w:vMerge w:val="continue"/>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p>
              </w:tc>
              <w:tc>
                <w:tcPr>
                  <w:tcW w:w="889" w:type="dxa"/>
                  <w:vMerge w:val="continue"/>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p>
              </w:tc>
              <w:tc>
                <w:tcPr>
                  <w:tcW w:w="672"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X</w:t>
                  </w:r>
                </w:p>
              </w:tc>
              <w:tc>
                <w:tcPr>
                  <w:tcW w:w="828"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Y</w:t>
                  </w:r>
                </w:p>
              </w:tc>
              <w:tc>
                <w:tcPr>
                  <w:tcW w:w="907"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Z</w:t>
                  </w:r>
                </w:p>
              </w:tc>
              <w:tc>
                <w:tcPr>
                  <w:tcW w:w="1770"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（声压级/距声源距离）/（dB(A)/m）</w:t>
                  </w:r>
                </w:p>
              </w:tc>
              <w:tc>
                <w:tcPr>
                  <w:tcW w:w="1237"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声功率级/dB(A)</w:t>
                  </w:r>
                </w:p>
              </w:tc>
              <w:tc>
                <w:tcPr>
                  <w:tcW w:w="859" w:type="dxa"/>
                  <w:vMerge w:val="continue"/>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p>
              </w:tc>
              <w:tc>
                <w:tcPr>
                  <w:tcW w:w="801" w:type="dxa"/>
                  <w:vMerge w:val="continue"/>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5" w:type="dxa"/>
                  <w:tcBorders>
                    <w:tl2br w:val="nil"/>
                    <w:tr2bl w:val="nil"/>
                  </w:tcBorders>
                  <w:shd w:val="clear" w:color="auto" w:fill="FFFFFF"/>
                  <w:vAlign w:val="center"/>
                </w:tcPr>
                <w:p>
                  <w:pPr>
                    <w:jc w:val="center"/>
                    <w:rPr>
                      <w:rFonts w:hint="default" w:ascii="Times New Roman" w:hAnsi="Times New Roman" w:eastAsia="宋体" w:cs="Times New Roman"/>
                      <w:color w:val="auto"/>
                      <w:kern w:val="2"/>
                      <w:sz w:val="20"/>
                      <w:szCs w:val="20"/>
                      <w:lang w:eastAsia="zh-CN"/>
                    </w:rPr>
                  </w:pPr>
                  <w:r>
                    <w:rPr>
                      <w:rFonts w:hint="default" w:ascii="Times New Roman" w:hAnsi="Times New Roman" w:eastAsia="宋体" w:cs="Times New Roman"/>
                      <w:color w:val="auto"/>
                      <w:sz w:val="20"/>
                      <w:szCs w:val="20"/>
                    </w:rPr>
                    <w:t>1</w:t>
                  </w:r>
                </w:p>
              </w:tc>
              <w:tc>
                <w:tcPr>
                  <w:tcW w:w="889"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风机</w:t>
                  </w:r>
                </w:p>
              </w:tc>
              <w:tc>
                <w:tcPr>
                  <w:tcW w:w="672"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5.4</w:t>
                  </w:r>
                </w:p>
              </w:tc>
              <w:tc>
                <w:tcPr>
                  <w:tcW w:w="828"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18.2</w:t>
                  </w:r>
                </w:p>
              </w:tc>
              <w:tc>
                <w:tcPr>
                  <w:tcW w:w="907"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1140.8</w:t>
                  </w:r>
                </w:p>
              </w:tc>
              <w:tc>
                <w:tcPr>
                  <w:tcW w:w="1770"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5.0</w:t>
                  </w:r>
                </w:p>
              </w:tc>
              <w:tc>
                <w:tcPr>
                  <w:tcW w:w="1237"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83</w:t>
                  </w:r>
                </w:p>
              </w:tc>
              <w:tc>
                <w:tcPr>
                  <w:tcW w:w="859" w:type="dxa"/>
                  <w:vMerge w:val="restart"/>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基础减振、隔声</w:t>
                  </w:r>
                </w:p>
              </w:tc>
              <w:tc>
                <w:tcPr>
                  <w:tcW w:w="801"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95" w:type="dxa"/>
                  <w:tcBorders>
                    <w:tl2br w:val="nil"/>
                    <w:tr2bl w:val="nil"/>
                  </w:tcBorders>
                  <w:shd w:val="clear" w:color="auto" w:fill="FFFFFF"/>
                  <w:vAlign w:val="center"/>
                </w:tcPr>
                <w:p>
                  <w:pPr>
                    <w:jc w:val="center"/>
                    <w:rPr>
                      <w:rFonts w:hint="default" w:ascii="Times New Roman" w:hAnsi="Times New Roman" w:eastAsia="宋体" w:cs="Times New Roman"/>
                      <w:color w:val="auto"/>
                      <w:kern w:val="2"/>
                      <w:sz w:val="20"/>
                      <w:szCs w:val="20"/>
                      <w:lang w:eastAsia="zh-CN"/>
                    </w:rPr>
                  </w:pPr>
                  <w:r>
                    <w:rPr>
                      <w:rFonts w:hint="default" w:ascii="Times New Roman" w:hAnsi="Times New Roman" w:eastAsia="宋体" w:cs="Times New Roman"/>
                      <w:color w:val="auto"/>
                      <w:sz w:val="20"/>
                      <w:szCs w:val="20"/>
                    </w:rPr>
                    <w:t>2</w:t>
                  </w:r>
                </w:p>
              </w:tc>
              <w:tc>
                <w:tcPr>
                  <w:tcW w:w="889"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空调</w:t>
                  </w:r>
                </w:p>
              </w:tc>
              <w:tc>
                <w:tcPr>
                  <w:tcW w:w="672"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-1.5</w:t>
                  </w:r>
                </w:p>
              </w:tc>
              <w:tc>
                <w:tcPr>
                  <w:tcW w:w="828"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-25.7</w:t>
                  </w:r>
                </w:p>
              </w:tc>
              <w:tc>
                <w:tcPr>
                  <w:tcW w:w="907" w:type="dxa"/>
                  <w:tcBorders>
                    <w:tl2br w:val="nil"/>
                    <w:tr2bl w:val="nil"/>
                  </w:tcBorders>
                  <w:shd w:val="clear" w:color="auto" w:fill="FFFFFF"/>
                  <w:vAlign w:val="center"/>
                </w:tcPr>
                <w:p>
                  <w:pPr>
                    <w:widowControl/>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1141.1</w:t>
                  </w:r>
                </w:p>
              </w:tc>
              <w:tc>
                <w:tcPr>
                  <w:tcW w:w="1770"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5.0</w:t>
                  </w:r>
                </w:p>
              </w:tc>
              <w:tc>
                <w:tcPr>
                  <w:tcW w:w="1237"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80</w:t>
                  </w:r>
                </w:p>
              </w:tc>
              <w:tc>
                <w:tcPr>
                  <w:tcW w:w="859" w:type="dxa"/>
                  <w:vMerge w:val="continue"/>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p>
              </w:tc>
              <w:tc>
                <w:tcPr>
                  <w:tcW w:w="801" w:type="dxa"/>
                  <w:tcBorders>
                    <w:tl2br w:val="nil"/>
                    <w:tr2bl w:val="nil"/>
                  </w:tcBorders>
                  <w:shd w:val="clear" w:color="auto" w:fill="FFFFFF"/>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昼间</w:t>
                  </w:r>
                </w:p>
              </w:tc>
            </w:tr>
          </w:tbl>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3.3预测结果</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通过预测模型计算，项目厂界噪声预测结果与达标分析见表</w:t>
            </w:r>
            <w:r>
              <w:rPr>
                <w:rFonts w:hint="default" w:ascii="Times New Roman" w:hAnsi="Times New Roman" w:eastAsia="宋体" w:cs="Times New Roman"/>
                <w:color w:val="auto"/>
                <w:sz w:val="24"/>
                <w:lang w:eastAsia="zh-CN"/>
              </w:rPr>
              <w:t>4-11，</w:t>
            </w:r>
            <w:r>
              <w:rPr>
                <w:rFonts w:hint="default" w:ascii="Times New Roman" w:hAnsi="Times New Roman" w:eastAsia="宋体" w:cs="Times New Roman"/>
                <w:color w:val="auto"/>
                <w:sz w:val="24"/>
                <w:szCs w:val="24"/>
                <w:lang w:eastAsia="zh-CN"/>
              </w:rPr>
              <w:t>声环境保护目标噪声预测结果与达标分析见</w:t>
            </w:r>
            <w:r>
              <w:rPr>
                <w:rFonts w:hint="default" w:ascii="Times New Roman" w:hAnsi="Times New Roman" w:eastAsia="宋体" w:cs="Times New Roman"/>
                <w:color w:val="auto"/>
                <w:sz w:val="24"/>
                <w:lang w:eastAsia="zh-CN"/>
              </w:rPr>
              <w:t>表4-12。</w:t>
            </w:r>
          </w:p>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b/>
                <w:color w:val="auto"/>
                <w:kern w:val="2"/>
                <w:sz w:val="21"/>
                <w:szCs w:val="21"/>
                <w:lang w:eastAsia="zh-CN"/>
              </w:rPr>
              <w:t>表4-11      厂界噪声预测结果与达标分析表</w:t>
            </w:r>
            <w:bookmarkStart w:id="9" w:name="PT_7"/>
          </w:p>
          <w:tbl>
            <w:tblPr>
              <w:tblStyle w:val="2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1"/>
              <w:gridCol w:w="1231"/>
              <w:gridCol w:w="12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23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463" w:type="dxa"/>
                  <w:gridSpan w:val="2"/>
                  <w:tcBorders>
                    <w:right w:val="single" w:color="000000" w:sz="12"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123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23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eastAsia="zh-CN"/>
                    </w:rPr>
                    <w:t>贡献</w:t>
                  </w:r>
                  <w:r>
                    <w:rPr>
                      <w:rFonts w:hint="default" w:ascii="Times New Roman" w:hAnsi="Times New Roman" w:eastAsia="宋体" w:cs="Times New Roman"/>
                      <w:b/>
                      <w:color w:val="auto"/>
                      <w:sz w:val="21"/>
                      <w:szCs w:val="21"/>
                    </w:rPr>
                    <w:t>值（dB(A)）</w:t>
                  </w:r>
                </w:p>
              </w:tc>
              <w:tc>
                <w:tcPr>
                  <w:tcW w:w="123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23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232" w:type="dxa"/>
                  <w:tcBorders>
                    <w:right w:val="single" w:color="000000" w:sz="12" w:space="0"/>
                  </w:tcBorders>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东</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12.4</w:t>
                  </w:r>
                </w:p>
              </w:tc>
              <w:tc>
                <w:tcPr>
                  <w:tcW w:w="1232"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0.4</w:t>
                  </w:r>
                </w:p>
              </w:tc>
              <w:tc>
                <w:tcPr>
                  <w:tcW w:w="1231" w:type="dxa"/>
                  <w:vMerge w:val="restart"/>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最大噪声</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55.3</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60</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南</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7.6</w:t>
                  </w:r>
                </w:p>
              </w:tc>
              <w:tc>
                <w:tcPr>
                  <w:tcW w:w="1232"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-44.5</w:t>
                  </w: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49.6</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60</w:t>
                  </w: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西</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-11</w:t>
                  </w:r>
                </w:p>
              </w:tc>
              <w:tc>
                <w:tcPr>
                  <w:tcW w:w="1232"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-2.8</w:t>
                  </w: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42.6</w:t>
                  </w: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60</w:t>
                  </w: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北</w:t>
                  </w: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-8</w:t>
                  </w:r>
                </w:p>
              </w:tc>
              <w:tc>
                <w:tcPr>
                  <w:tcW w:w="1232"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42.3</w:t>
                  </w:r>
                </w:p>
              </w:tc>
              <w:tc>
                <w:tcPr>
                  <w:tcW w:w="123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31" w:type="dxa"/>
                  <w:shd w:val="clear" w:color="auto" w:fill="FFFFFF"/>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47.2</w:t>
                  </w: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60</w:t>
                  </w:r>
                </w:p>
              </w:tc>
              <w:tc>
                <w:tcPr>
                  <w:tcW w:w="123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达标</w:t>
                  </w:r>
                </w:p>
              </w:tc>
            </w:tr>
            <w:bookmarkEnd w:id="9"/>
          </w:tbl>
          <w:p>
            <w:pPr>
              <w:pStyle w:val="116"/>
              <w:adjustRightInd/>
              <w:snapToGrid/>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 xml:space="preserve">4-12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eastAsia="zh-CN"/>
              </w:rPr>
              <w:t>工业企业声环境保护目标噪声预测结果与达标分析表</w:t>
            </w:r>
            <w:r>
              <w:rPr>
                <w:rFonts w:hint="default" w:ascii="Times New Roman" w:hAnsi="Times New Roman" w:eastAsia="宋体" w:cs="Times New Roman"/>
                <w:color w:val="auto"/>
                <w:sz w:val="21"/>
                <w:szCs w:val="21"/>
              </w:rPr>
              <w:t xml:space="preserve">   单位：dB(A)</w:t>
            </w:r>
          </w:p>
          <w:tbl>
            <w:tblPr>
              <w:tblStyle w:val="27"/>
              <w:tblW w:w="85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412"/>
              <w:gridCol w:w="756"/>
              <w:gridCol w:w="557"/>
              <w:gridCol w:w="678"/>
              <w:gridCol w:w="626"/>
              <w:gridCol w:w="818"/>
              <w:gridCol w:w="907"/>
              <w:gridCol w:w="959"/>
              <w:gridCol w:w="949"/>
              <w:gridCol w:w="950"/>
              <w:gridCol w:w="94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757" w:hRule="atLeast"/>
                <w:jc w:val="center"/>
              </w:trPr>
              <w:tc>
                <w:tcPr>
                  <w:tcW w:w="412" w:type="dxa"/>
                  <w:vMerge w:val="restart"/>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序号</w:t>
                  </w:r>
                </w:p>
              </w:tc>
              <w:tc>
                <w:tcPr>
                  <w:tcW w:w="756" w:type="dxa"/>
                  <w:vMerge w:val="restart"/>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声环境保护目标名称</w:t>
                  </w:r>
                </w:p>
              </w:tc>
              <w:tc>
                <w:tcPr>
                  <w:tcW w:w="1861" w:type="dxa"/>
                  <w:gridSpan w:val="3"/>
                  <w:tcBorders>
                    <w:tl2br w:val="nil"/>
                    <w:tr2bl w:val="nil"/>
                  </w:tcBorders>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空间相对位置/m</w:t>
                  </w:r>
                </w:p>
              </w:tc>
              <w:tc>
                <w:tcPr>
                  <w:tcW w:w="818"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噪声现状值/dB(A)</w:t>
                  </w:r>
                </w:p>
              </w:tc>
              <w:tc>
                <w:tcPr>
                  <w:tcW w:w="907"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噪声标准/dB(A)</w:t>
                  </w:r>
                </w:p>
              </w:tc>
              <w:tc>
                <w:tcPr>
                  <w:tcW w:w="959"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噪声贡献值/dB(A)</w:t>
                  </w:r>
                </w:p>
              </w:tc>
              <w:tc>
                <w:tcPr>
                  <w:tcW w:w="949"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噪声预测值/dB(A)</w:t>
                  </w:r>
                </w:p>
              </w:tc>
              <w:tc>
                <w:tcPr>
                  <w:tcW w:w="950"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较现状增量/dB(A)</w:t>
                  </w:r>
                </w:p>
              </w:tc>
              <w:tc>
                <w:tcPr>
                  <w:tcW w:w="942" w:type="dxa"/>
                  <w:tcBorders>
                    <w:tl2br w:val="nil"/>
                    <w:tr2bl w:val="nil"/>
                  </w:tcBorders>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超标和达标情况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84" w:hRule="atLeast"/>
                <w:jc w:val="center"/>
              </w:trPr>
              <w:tc>
                <w:tcPr>
                  <w:tcW w:w="412" w:type="dxa"/>
                  <w:vMerge w:val="continue"/>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p>
              </w:tc>
              <w:tc>
                <w:tcPr>
                  <w:tcW w:w="756" w:type="dxa"/>
                  <w:vMerge w:val="continue"/>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p>
              </w:tc>
              <w:tc>
                <w:tcPr>
                  <w:tcW w:w="557"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X</w:t>
                  </w:r>
                </w:p>
              </w:tc>
              <w:tc>
                <w:tcPr>
                  <w:tcW w:w="678"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Y</w:t>
                  </w:r>
                </w:p>
              </w:tc>
              <w:tc>
                <w:tcPr>
                  <w:tcW w:w="626"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Z</w:t>
                  </w:r>
                </w:p>
              </w:tc>
              <w:tc>
                <w:tcPr>
                  <w:tcW w:w="818"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c>
                <w:tcPr>
                  <w:tcW w:w="907"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c>
                <w:tcPr>
                  <w:tcW w:w="959"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c>
                <w:tcPr>
                  <w:tcW w:w="949"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c>
                <w:tcPr>
                  <w:tcW w:w="950"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c>
                <w:tcPr>
                  <w:tcW w:w="942" w:type="dxa"/>
                  <w:tcBorders>
                    <w:tl2br w:val="nil"/>
                    <w:tr2bl w:val="nil"/>
                  </w:tcBorders>
                  <w:shd w:val="clear" w:color="auto" w:fill="FFFFFF"/>
                  <w:vAlign w:val="center"/>
                </w:tcPr>
                <w:p>
                  <w:pPr>
                    <w:jc w:val="center"/>
                    <w:rPr>
                      <w:rFonts w:hint="default" w:ascii="Times New Roman" w:hAnsi="Times New Roman" w:eastAsia="宋体" w:cs="Times New Roman"/>
                      <w:b/>
                      <w:color w:val="auto"/>
                      <w:sz w:val="16"/>
                      <w:szCs w:val="16"/>
                    </w:rPr>
                  </w:pPr>
                  <w:r>
                    <w:rPr>
                      <w:rFonts w:hint="default" w:ascii="Times New Roman" w:hAnsi="Times New Roman" w:eastAsia="宋体" w:cs="Times New Roman"/>
                      <w:b/>
                      <w:color w:val="auto"/>
                      <w:sz w:val="16"/>
                      <w:szCs w:val="16"/>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009" w:hRule="atLeast"/>
                <w:jc w:val="center"/>
              </w:trPr>
              <w:tc>
                <w:tcPr>
                  <w:tcW w:w="412"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w:t>
                  </w:r>
                </w:p>
              </w:tc>
              <w:tc>
                <w:tcPr>
                  <w:tcW w:w="756" w:type="dxa"/>
                  <w:tcBorders>
                    <w:tl2br w:val="nil"/>
                    <w:tr2bl w:val="nil"/>
                  </w:tcBorders>
                  <w:shd w:val="clear" w:color="auto" w:fill="FFFFFF"/>
                  <w:vAlign w:val="center"/>
                </w:tcPr>
                <w:p>
                  <w:pPr>
                    <w:jc w:val="center"/>
                    <w:rPr>
                      <w:rFonts w:hint="default" w:ascii="Times New Roman" w:hAnsi="Times New Roman" w:eastAsia="宋体" w:cs="Times New Roman"/>
                      <w:color w:val="auto"/>
                      <w:kern w:val="2"/>
                      <w:sz w:val="16"/>
                      <w:szCs w:val="16"/>
                      <w:lang w:eastAsia="zh-CN"/>
                    </w:rPr>
                  </w:pPr>
                  <w:r>
                    <w:rPr>
                      <w:rFonts w:hint="default" w:ascii="Times New Roman" w:hAnsi="Times New Roman" w:eastAsia="宋体" w:cs="Times New Roman"/>
                      <w:color w:val="auto"/>
                      <w:sz w:val="16"/>
                      <w:szCs w:val="16"/>
                      <w:lang w:eastAsia="zh-CN"/>
                    </w:rPr>
                    <w:t>西侧敏感点</w:t>
                  </w:r>
                </w:p>
              </w:tc>
              <w:tc>
                <w:tcPr>
                  <w:tcW w:w="557"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-22.4</w:t>
                  </w:r>
                </w:p>
              </w:tc>
              <w:tc>
                <w:tcPr>
                  <w:tcW w:w="678"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3.3</w:t>
                  </w:r>
                </w:p>
              </w:tc>
              <w:tc>
                <w:tcPr>
                  <w:tcW w:w="626"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1140</w:t>
                  </w:r>
                </w:p>
              </w:tc>
              <w:tc>
                <w:tcPr>
                  <w:tcW w:w="818"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47.2</w:t>
                  </w:r>
                </w:p>
              </w:tc>
              <w:tc>
                <w:tcPr>
                  <w:tcW w:w="907"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60</w:t>
                  </w:r>
                </w:p>
              </w:tc>
              <w:tc>
                <w:tcPr>
                  <w:tcW w:w="959"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48.1</w:t>
                  </w:r>
                </w:p>
              </w:tc>
              <w:tc>
                <w:tcPr>
                  <w:tcW w:w="949"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50.68</w:t>
                  </w:r>
                </w:p>
              </w:tc>
              <w:tc>
                <w:tcPr>
                  <w:tcW w:w="950"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3.48</w:t>
                  </w:r>
                </w:p>
              </w:tc>
              <w:tc>
                <w:tcPr>
                  <w:tcW w:w="942"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009" w:hRule="atLeast"/>
                <w:jc w:val="center"/>
              </w:trPr>
              <w:tc>
                <w:tcPr>
                  <w:tcW w:w="412"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2</w:t>
                  </w:r>
                </w:p>
              </w:tc>
              <w:tc>
                <w:tcPr>
                  <w:tcW w:w="756"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val="en-US" w:eastAsia="zh-CN"/>
                    </w:rPr>
                    <w:t>北</w:t>
                  </w:r>
                  <w:r>
                    <w:rPr>
                      <w:rFonts w:hint="default" w:ascii="Times New Roman" w:hAnsi="Times New Roman" w:eastAsia="宋体" w:cs="Times New Roman"/>
                      <w:color w:val="auto"/>
                      <w:sz w:val="16"/>
                      <w:szCs w:val="16"/>
                      <w:lang w:eastAsia="zh-CN"/>
                    </w:rPr>
                    <w:t>侧敏感点</w:t>
                  </w:r>
                </w:p>
              </w:tc>
              <w:tc>
                <w:tcPr>
                  <w:tcW w:w="557"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45.6</w:t>
                  </w:r>
                </w:p>
              </w:tc>
              <w:tc>
                <w:tcPr>
                  <w:tcW w:w="678"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1.6</w:t>
                  </w:r>
                </w:p>
              </w:tc>
              <w:tc>
                <w:tcPr>
                  <w:tcW w:w="626"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1140</w:t>
                  </w:r>
                </w:p>
              </w:tc>
              <w:tc>
                <w:tcPr>
                  <w:tcW w:w="818"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42.2</w:t>
                  </w:r>
                </w:p>
              </w:tc>
              <w:tc>
                <w:tcPr>
                  <w:tcW w:w="907"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60</w:t>
                  </w:r>
                </w:p>
              </w:tc>
              <w:tc>
                <w:tcPr>
                  <w:tcW w:w="959"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43.4</w:t>
                  </w:r>
                </w:p>
              </w:tc>
              <w:tc>
                <w:tcPr>
                  <w:tcW w:w="949"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45.85</w:t>
                  </w:r>
                </w:p>
              </w:tc>
              <w:tc>
                <w:tcPr>
                  <w:tcW w:w="950"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3.65</w:t>
                  </w:r>
                </w:p>
              </w:tc>
              <w:tc>
                <w:tcPr>
                  <w:tcW w:w="942" w:type="dxa"/>
                  <w:tcBorders>
                    <w:tl2br w:val="nil"/>
                    <w:tr2bl w:val="nil"/>
                  </w:tcBorders>
                  <w:shd w:val="clear" w:color="auto" w:fill="FFFFFF"/>
                  <w:vAlign w:val="center"/>
                </w:tcPr>
                <w:p>
                  <w:pPr>
                    <w:jc w:val="center"/>
                    <w:rPr>
                      <w:rFonts w:hint="default" w:ascii="Times New Roman" w:hAnsi="Times New Roman" w:eastAsia="宋体" w:cs="Times New Roman"/>
                      <w:color w:val="auto"/>
                      <w:sz w:val="16"/>
                      <w:szCs w:val="16"/>
                      <w:lang w:eastAsia="zh-CN"/>
                    </w:rPr>
                  </w:pPr>
                  <w:r>
                    <w:rPr>
                      <w:rFonts w:hint="default" w:ascii="Times New Roman" w:hAnsi="Times New Roman" w:eastAsia="宋体" w:cs="Times New Roman"/>
                      <w:color w:val="auto"/>
                      <w:sz w:val="16"/>
                      <w:szCs w:val="16"/>
                      <w:lang w:eastAsia="zh-CN"/>
                    </w:rPr>
                    <w:t>达标</w:t>
                  </w:r>
                </w:p>
              </w:tc>
            </w:tr>
          </w:tbl>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rPr>
              <w:t>本项目工作制度为单班8小时制，夜间不进行实验。由上表噪声预测结果可以看出，项目投产后厂界昼间噪声影响值均小于《工业企业厂界环境噪声排放标准》（GB12348-2008）</w:t>
            </w:r>
            <w:r>
              <w:rPr>
                <w:rFonts w:hint="default" w:ascii="Times New Roman" w:hAnsi="Times New Roman" w:eastAsia="宋体" w:cs="Times New Roman"/>
                <w:color w:val="auto"/>
                <w:sz w:val="24"/>
                <w:lang w:eastAsia="zh-CN"/>
              </w:rPr>
              <w:t>2</w:t>
            </w:r>
            <w:r>
              <w:rPr>
                <w:rFonts w:hint="default" w:ascii="Times New Roman" w:hAnsi="Times New Roman" w:eastAsia="宋体" w:cs="Times New Roman"/>
                <w:color w:val="auto"/>
                <w:sz w:val="24"/>
              </w:rPr>
              <w:t>类昼间标准限值，各厂界噪声达标排放</w:t>
            </w:r>
            <w:r>
              <w:rPr>
                <w:rFonts w:hint="default" w:ascii="Times New Roman" w:hAnsi="Times New Roman" w:eastAsia="宋体" w:cs="Times New Roman"/>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3.4噪声治理措施</w:t>
            </w:r>
          </w:p>
          <w:p>
            <w:pPr>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 xml:space="preserve">本项目营运期的主要噪声源为风机和实验室设备等设备噪声，为了保护职工及周围居民不受本项目噪声的影响，应采取有效的隔声、消声、减振措施。具体措施如下： </w:t>
            </w:r>
          </w:p>
          <w:p>
            <w:pPr>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（1）设备选型方面，在满足功能要求的前提下，风机、抽风机等设备选用装配质量好、低噪声设备；</w:t>
            </w:r>
          </w:p>
          <w:p>
            <w:pPr>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（2）设备合理布局，风机等高噪声设施用房布置在地下，利用建筑物、构筑物来阻隔声波的传播，减少对周围环境的影响；</w:t>
            </w:r>
          </w:p>
          <w:p>
            <w:pPr>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（3）风机安装风机消声器，以降低风机的运行噪声和气流噪声向外传播。风机消声器的消声量应不低于30dB（A）；</w:t>
            </w:r>
          </w:p>
          <w:p>
            <w:pPr>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4）为避免设备的振动和噪声对周围环境造成影响，在进行设备的安装设计时应采取如下隔振及消声措施：选用优质低转速、低噪声、高效率、低能源的水泵；设备底座下设置橡胶隔振器、金属弹簧隔振器或弹性衬垫材料，现场安装时，各地脚螺栓和底座安装槽必须预埋。</w:t>
            </w:r>
          </w:p>
          <w:p>
            <w:pPr>
              <w:spacing w:line="360" w:lineRule="auto"/>
              <w:ind w:firstLine="480" w:firstLineChars="200"/>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lang w:eastAsia="zh-CN"/>
              </w:rPr>
              <w:t>（5）加强产噪设备的维护管理，避免因不正常运行所导致的噪声增大。上述噪声控制技术都已经较为成熟，通过采取各项减振、隔声、消声等综合治理措施，从技术角度上讲，完全可以满足噪声防治的需要，噪声值满足《工业企业厂界环境噪声排放标准》（GB12348-2008）中的2类标准；噪声的排放在可承受范围内。因此，本项目拟采取的噪声防治措施可行。</w:t>
            </w:r>
          </w:p>
          <w:p>
            <w:pPr>
              <w:spacing w:line="360" w:lineRule="auto"/>
              <w:ind w:firstLine="480" w:firstLineChars="200"/>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eastAsia="zh-CN"/>
              </w:rPr>
              <w:t>3.3例行监测计划</w:t>
            </w:r>
          </w:p>
          <w:p>
            <w:pPr>
              <w:adjustRightInd w:val="0"/>
              <w:snapToGrid w:val="0"/>
              <w:spacing w:line="360" w:lineRule="auto"/>
              <w:ind w:firstLine="480" w:firstLineChars="200"/>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eastAsia="zh-CN" w:bidi="ar"/>
              </w:rPr>
              <w:t>根据《排污单位自行监测技术指南 总则》（HJ819-2017），结合项目性质和排污特点，项目噪声检测计划如下：</w:t>
            </w:r>
          </w:p>
          <w:p>
            <w:pPr>
              <w:adjustRightInd w:val="0"/>
              <w:snapToGrid w:val="0"/>
              <w:spacing w:line="360" w:lineRule="auto"/>
              <w:ind w:firstLine="480" w:firstLineChars="200"/>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监测点位：厂界四周</w:t>
            </w:r>
            <w:r>
              <w:rPr>
                <w:rFonts w:hint="eastAsia" w:ascii="Times New Roman" w:hAnsi="Times New Roman" w:eastAsia="宋体" w:cs="Times New Roman"/>
                <w:color w:val="FF0000"/>
                <w:sz w:val="24"/>
                <w:lang w:val="en-US" w:eastAsia="zh-CN"/>
              </w:rPr>
              <w:t>及敏感地处</w:t>
            </w:r>
            <w:r>
              <w:rPr>
                <w:rFonts w:hint="default" w:ascii="Times New Roman" w:hAnsi="Times New Roman" w:eastAsia="宋体" w:cs="Times New Roman"/>
                <w:color w:val="FF0000"/>
                <w:sz w:val="24"/>
                <w:lang w:eastAsia="zh-CN"/>
              </w:rPr>
              <w:t>；</w:t>
            </w:r>
          </w:p>
          <w:p>
            <w:pPr>
              <w:spacing w:line="360" w:lineRule="auto"/>
              <w:ind w:firstLine="480" w:firstLineChars="200"/>
              <w:rPr>
                <w:rFonts w:hint="default" w:ascii="Times New Roman" w:hAnsi="Times New Roman" w:eastAsia="宋体" w:cs="Times New Roman"/>
                <w:color w:val="FF0000"/>
                <w:spacing w:val="6"/>
                <w:sz w:val="24"/>
                <w:lang w:eastAsia="zh-CN"/>
              </w:rPr>
            </w:pPr>
            <w:r>
              <w:rPr>
                <w:rFonts w:hint="default" w:ascii="Times New Roman" w:hAnsi="Times New Roman" w:eastAsia="宋体" w:cs="Times New Roman"/>
                <w:color w:val="FF0000"/>
                <w:sz w:val="24"/>
                <w:lang w:eastAsia="zh-CN"/>
              </w:rPr>
              <w:t>监测频次：一年一次</w:t>
            </w:r>
            <w:r>
              <w:rPr>
                <w:rFonts w:hint="default" w:ascii="Times New Roman" w:hAnsi="Times New Roman" w:eastAsia="宋体" w:cs="Times New Roman"/>
                <w:color w:val="FF0000"/>
                <w:spacing w:val="6"/>
                <w:sz w:val="24"/>
                <w:lang w:eastAsia="zh-CN"/>
              </w:rPr>
              <w:t>。</w:t>
            </w:r>
          </w:p>
          <w:p>
            <w:pPr>
              <w:spacing w:line="360" w:lineRule="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4、固废及源强分析</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本项目固体废物包括实验过程产生的一般工业固体废物、危险废物以及职工日常生活产生的生活垃圾。</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（1）</w:t>
            </w:r>
            <w:r>
              <w:rPr>
                <w:rFonts w:hint="default" w:ascii="Times New Roman" w:hAnsi="Times New Roman" w:eastAsia="宋体" w:cs="Times New Roman"/>
                <w:color w:val="auto"/>
                <w:sz w:val="24"/>
                <w:szCs w:val="24"/>
              </w:rPr>
              <w:t>一般工业固体废物</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①废包装材料</w:t>
            </w:r>
          </w:p>
          <w:p>
            <w:pPr>
              <w:pStyle w:val="4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废包装材料主要为包装药品的废纸箱、废塑料</w:t>
            </w:r>
            <w:r>
              <w:rPr>
                <w:rFonts w:hint="default" w:ascii="Times New Roman" w:hAnsi="Times New Roman" w:eastAsia="宋体" w:cs="Times New Roman"/>
                <w:color w:val="auto"/>
                <w:sz w:val="24"/>
                <w:szCs w:val="24"/>
                <w:lang w:eastAsia="zh-CN"/>
              </w:rPr>
              <w:t>、废木箱</w:t>
            </w:r>
            <w:r>
              <w:rPr>
                <w:rFonts w:hint="default" w:ascii="Times New Roman" w:hAnsi="Times New Roman" w:eastAsia="宋体" w:cs="Times New Roman"/>
                <w:color w:val="auto"/>
                <w:sz w:val="24"/>
                <w:szCs w:val="24"/>
              </w:rPr>
              <w:t>等，属于一般工业固体废物，产生量约为0.05t/a。</w:t>
            </w:r>
            <w:r>
              <w:rPr>
                <w:rFonts w:hint="default" w:ascii="Times New Roman" w:hAnsi="Times New Roman" w:eastAsia="宋体" w:cs="Times New Roman"/>
                <w:color w:val="auto"/>
                <w:sz w:val="24"/>
                <w:szCs w:val="24"/>
                <w:lang w:eastAsia="zh-CN"/>
              </w:rPr>
              <w:t>统一收集后外售利用。</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②废滤膜</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测定环境空气中PM10和PM2.5质量时，称重完样品后产生的废滤膜属于一般工业固体废物，产生量约为0.0</w:t>
            </w:r>
            <w:r>
              <w:rPr>
                <w:rFonts w:hint="default" w:ascii="Times New Roman" w:hAnsi="Times New Roman" w:eastAsia="宋体" w:cs="Times New Roman"/>
                <w:color w:val="auto"/>
                <w:sz w:val="24"/>
                <w:szCs w:val="24"/>
                <w:lang w:eastAsia="zh-CN"/>
              </w:rPr>
              <w:t>0</w:t>
            </w:r>
            <w:r>
              <w:rPr>
                <w:rFonts w:hint="default" w:ascii="Times New Roman" w:hAnsi="Times New Roman" w:eastAsia="宋体" w:cs="Times New Roman"/>
                <w:color w:val="auto"/>
                <w:sz w:val="24"/>
                <w:szCs w:val="24"/>
              </w:rPr>
              <w:t>1t/a，</w:t>
            </w:r>
            <w:r>
              <w:rPr>
                <w:rFonts w:hint="default" w:ascii="Times New Roman" w:hAnsi="Times New Roman" w:eastAsia="宋体" w:cs="Times New Roman"/>
                <w:color w:val="auto"/>
                <w:sz w:val="24"/>
                <w:szCs w:val="24"/>
                <w:lang w:eastAsia="zh-CN"/>
              </w:rPr>
              <w:t>统一收集后外售利用</w:t>
            </w:r>
            <w:r>
              <w:rPr>
                <w:rFonts w:hint="default" w:ascii="Times New Roman" w:hAnsi="Times New Roman" w:eastAsia="宋体" w:cs="Times New Roman"/>
                <w:color w:val="auto"/>
                <w:sz w:val="24"/>
                <w:szCs w:val="24"/>
              </w:rPr>
              <w:t>。</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③纯水机废滤芯、废反渗透膜</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纯水机定期更换下来的废滤芯和废反渗透膜属于一般工业固体废物，根据建设单位提供资料，纯水机滤芯、反渗透膜</w:t>
            </w:r>
            <w:r>
              <w:rPr>
                <w:rFonts w:hint="default" w:ascii="Times New Roman" w:hAnsi="Times New Roman" w:eastAsia="宋体" w:cs="Times New Roman"/>
                <w:color w:val="auto"/>
                <w:sz w:val="24"/>
                <w:szCs w:val="24"/>
                <w:lang w:eastAsia="zh-CN"/>
              </w:rPr>
              <w:t>半</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eastAsia="zh-CN"/>
              </w:rPr>
              <w:t>左右</w:t>
            </w:r>
            <w:r>
              <w:rPr>
                <w:rFonts w:hint="default" w:ascii="Times New Roman" w:hAnsi="Times New Roman" w:eastAsia="宋体" w:cs="Times New Roman"/>
                <w:color w:val="auto"/>
                <w:sz w:val="24"/>
                <w:szCs w:val="24"/>
              </w:rPr>
              <w:t>更换一次，</w:t>
            </w:r>
            <w:r>
              <w:rPr>
                <w:rFonts w:hint="default" w:ascii="Times New Roman" w:hAnsi="Times New Roman" w:eastAsia="宋体" w:cs="Times New Roman"/>
                <w:color w:val="auto"/>
                <w:sz w:val="24"/>
                <w:szCs w:val="24"/>
                <w:lang w:eastAsia="zh-CN"/>
              </w:rPr>
              <w:t>由仪器厂家售后直接更换，</w:t>
            </w:r>
            <w:r>
              <w:rPr>
                <w:rFonts w:hint="default" w:ascii="Times New Roman" w:hAnsi="Times New Roman" w:eastAsia="宋体" w:cs="Times New Roman"/>
                <w:color w:val="auto"/>
                <w:sz w:val="24"/>
                <w:szCs w:val="24"/>
              </w:rPr>
              <w:t>每次更换量约0.0</w:t>
            </w: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厂家直接回收。</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rPr>
              <w:t>危险废物</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①器皿刷洗、冲洗废水</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本项目器皿初步清洗废水为高浓度清洗废水，含有较高浓度的有毒有害化学品及重金属污染物，产生量约为</w:t>
            </w:r>
            <w:r>
              <w:rPr>
                <w:rFonts w:hint="default" w:ascii="Times New Roman" w:hAnsi="Times New Roman" w:eastAsia="宋体" w:cs="Times New Roman"/>
                <w:color w:val="auto"/>
                <w:sz w:val="24"/>
                <w:szCs w:val="24"/>
                <w:lang w:eastAsia="zh-CN"/>
              </w:rPr>
              <w:t>3.577</w:t>
            </w:r>
            <w:r>
              <w:rPr>
                <w:rFonts w:hint="default" w:ascii="Times New Roman" w:hAnsi="Times New Roman" w:eastAsia="宋体" w:cs="Times New Roman"/>
                <w:color w:val="auto"/>
                <w:sz w:val="24"/>
                <w:szCs w:val="24"/>
              </w:rPr>
              <w:t>t/a。根据《国家危险废物名录》，刷洗废水属于危险废物，废物类别为HW49，废物代码为900-047-49，由专门的容器收集，分类暂存于危险废物暂存间，定期交由具有相应处理资质的单位进行处置。</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②实验废液</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产生于检测过程，产生量约</w:t>
            </w:r>
            <w:r>
              <w:rPr>
                <w:rFonts w:hint="default" w:ascii="Times New Roman" w:hAnsi="Times New Roman" w:eastAsia="宋体" w:cs="Times New Roman"/>
                <w:color w:val="auto"/>
                <w:sz w:val="24"/>
                <w:szCs w:val="24"/>
                <w:lang w:eastAsia="zh-CN"/>
              </w:rPr>
              <w:t>0.657</w:t>
            </w:r>
            <w:r>
              <w:rPr>
                <w:rFonts w:hint="default" w:ascii="Times New Roman" w:hAnsi="Times New Roman" w:eastAsia="宋体" w:cs="Times New Roman"/>
                <w:color w:val="auto"/>
                <w:sz w:val="24"/>
                <w:szCs w:val="24"/>
              </w:rPr>
              <w:t>t/a。根据《国家危险废物名录》，实验废液属于危险废物，废物类别为HW49，废物代码为900-047-49，由专门的容器收集，分类暂存于厂区内危险废物暂存间，定期交由具有相应处理资质的单位进行处置。</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③废试剂瓶</w:t>
            </w:r>
          </w:p>
          <w:p>
            <w:pPr>
              <w:pStyle w:val="4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为盛装有毒有害化学品的空试剂瓶，年产量约0.02t/a。根据《国家危险废物名录》废试剂瓶属于危险废物，废物类别为HW49，废物代码为900-041-49，分类暂存于厂区内危险废物暂存间，定期交由具有相应处理资质的单位进行处置。</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4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④</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过期药剂</w:t>
            </w:r>
          </w:p>
          <w:p>
            <w:pPr>
              <w:pStyle w:val="40"/>
              <w:spacing w:line="360" w:lineRule="auto"/>
              <w:ind w:firstLine="47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实验室试剂一般都有保质期，过了保质期的试剂作为危险废物管理，产生量约</w:t>
            </w:r>
            <w:r>
              <w:rPr>
                <w:rFonts w:hint="default" w:ascii="Times New Roman" w:hAnsi="Times New Roman" w:eastAsia="宋体" w:cs="Times New Roman"/>
                <w:color w:val="auto"/>
                <w:sz w:val="24"/>
                <w:szCs w:val="24"/>
              </w:rPr>
              <w:t>0.01t/a</w:t>
            </w:r>
            <w:r>
              <w:rPr>
                <w:rFonts w:hint="default" w:ascii="Times New Roman" w:hAnsi="Times New Roman" w:eastAsia="宋体" w:cs="Times New Roman"/>
                <w:color w:val="auto"/>
                <w:spacing w:val="-15"/>
                <w:sz w:val="24"/>
                <w:szCs w:val="24"/>
              </w:rPr>
              <w:t>。</w:t>
            </w:r>
            <w:r>
              <w:rPr>
                <w:rFonts w:hint="default" w:ascii="Times New Roman" w:hAnsi="Times New Roman" w:eastAsia="宋体" w:cs="Times New Roman"/>
                <w:color w:val="auto"/>
                <w:spacing w:val="-6"/>
                <w:sz w:val="24"/>
                <w:szCs w:val="24"/>
              </w:rPr>
              <w:t>根据《国家危险废物名录》，实验过期药剂属于危险废物，废物类别为</w:t>
            </w:r>
            <w:r>
              <w:rPr>
                <w:rFonts w:hint="default" w:ascii="Times New Roman" w:hAnsi="Times New Roman" w:eastAsia="宋体" w:cs="Times New Roman"/>
                <w:color w:val="auto"/>
                <w:sz w:val="24"/>
                <w:szCs w:val="24"/>
              </w:rPr>
              <w:t>HW49，废物代码为900-047-49，由专门的容器收集，分类暂存于厂区内危险废物暂存间，定期交由具有相应处理资质的单位进行处置。</w:t>
            </w:r>
          </w:p>
          <w:p>
            <w:pPr>
              <w:pStyle w:val="40"/>
              <w:spacing w:line="360"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lang w:eastAsia="zh-CN"/>
              </w:rPr>
              <w:t>（3）</w:t>
            </w:r>
            <w:r>
              <w:rPr>
                <w:rFonts w:hint="default" w:ascii="Times New Roman" w:hAnsi="Times New Roman" w:eastAsia="宋体" w:cs="Times New Roman"/>
                <w:color w:val="FF0000"/>
                <w:sz w:val="24"/>
                <w:szCs w:val="24"/>
              </w:rPr>
              <w:t>生活垃圾</w:t>
            </w:r>
          </w:p>
          <w:p>
            <w:pPr>
              <w:pStyle w:val="40"/>
              <w:spacing w:line="360" w:lineRule="auto"/>
              <w:ind w:firstLine="448"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pacing w:val="-8"/>
                <w:sz w:val="24"/>
                <w:szCs w:val="24"/>
              </w:rPr>
              <w:t>本项目共有员工</w:t>
            </w:r>
            <w:r>
              <w:rPr>
                <w:rFonts w:hint="default" w:ascii="Times New Roman" w:hAnsi="Times New Roman" w:eastAsia="宋体" w:cs="Times New Roman"/>
                <w:color w:val="FF0000"/>
                <w:sz w:val="24"/>
                <w:szCs w:val="24"/>
                <w:lang w:val="en-US" w:eastAsia="zh-CN"/>
              </w:rPr>
              <w:t>10</w:t>
            </w:r>
            <w:r>
              <w:rPr>
                <w:rFonts w:hint="default" w:ascii="Times New Roman" w:hAnsi="Times New Roman" w:eastAsia="宋体" w:cs="Times New Roman"/>
                <w:color w:val="FF0000"/>
                <w:spacing w:val="-7"/>
                <w:sz w:val="24"/>
                <w:szCs w:val="24"/>
              </w:rPr>
              <w:t>人，年工作天数为</w:t>
            </w:r>
            <w:r>
              <w:rPr>
                <w:rFonts w:hint="default" w:ascii="Times New Roman" w:hAnsi="Times New Roman" w:eastAsia="宋体" w:cs="Times New Roman"/>
                <w:color w:val="FF0000"/>
                <w:sz w:val="24"/>
                <w:szCs w:val="24"/>
                <w:lang w:val="en-US" w:eastAsia="zh-CN"/>
              </w:rPr>
              <w:t>250</w:t>
            </w:r>
            <w:r>
              <w:rPr>
                <w:rFonts w:hint="default" w:ascii="Times New Roman" w:hAnsi="Times New Roman" w:eastAsia="宋体" w:cs="Times New Roman"/>
                <w:color w:val="FF0000"/>
                <w:spacing w:val="-5"/>
                <w:sz w:val="24"/>
                <w:szCs w:val="24"/>
              </w:rPr>
              <w:t>天，按人均生活垃圾产生量</w:t>
            </w:r>
            <w:r>
              <w:rPr>
                <w:rFonts w:hint="default" w:ascii="Times New Roman" w:hAnsi="Times New Roman" w:eastAsia="宋体" w:cs="Times New Roman"/>
                <w:color w:val="FF0000"/>
                <w:sz w:val="24"/>
                <w:szCs w:val="24"/>
              </w:rPr>
              <w:t xml:space="preserve">0.5kg/d </w:t>
            </w:r>
            <w:r>
              <w:rPr>
                <w:rFonts w:hint="default" w:ascii="Times New Roman" w:hAnsi="Times New Roman" w:eastAsia="宋体" w:cs="Times New Roman"/>
                <w:color w:val="FF0000"/>
                <w:spacing w:val="-16"/>
                <w:sz w:val="24"/>
                <w:szCs w:val="24"/>
              </w:rPr>
              <w:t>计</w:t>
            </w:r>
            <w:r>
              <w:rPr>
                <w:rFonts w:hint="default" w:ascii="Times New Roman" w:hAnsi="Times New Roman" w:eastAsia="宋体" w:cs="Times New Roman"/>
                <w:color w:val="FF0000"/>
                <w:spacing w:val="-6"/>
                <w:sz w:val="24"/>
                <w:szCs w:val="24"/>
              </w:rPr>
              <w:t>算，则生活垃圾产生量为</w:t>
            </w:r>
            <w:r>
              <w:rPr>
                <w:rFonts w:hint="default" w:ascii="Times New Roman" w:hAnsi="Times New Roman" w:eastAsia="宋体" w:cs="Times New Roman"/>
                <w:color w:val="FF0000"/>
                <w:spacing w:val="-6"/>
                <w:sz w:val="24"/>
                <w:szCs w:val="24"/>
                <w:lang w:val="en-US" w:eastAsia="zh-CN"/>
              </w:rPr>
              <w:t>5</w:t>
            </w:r>
            <w:r>
              <w:rPr>
                <w:rFonts w:hint="default" w:ascii="Times New Roman" w:hAnsi="Times New Roman" w:eastAsia="宋体" w:cs="Times New Roman"/>
                <w:color w:val="FF0000"/>
                <w:sz w:val="24"/>
                <w:szCs w:val="24"/>
              </w:rPr>
              <w:t>kg/d（</w:t>
            </w:r>
            <w:r>
              <w:rPr>
                <w:rFonts w:hint="default" w:ascii="Times New Roman" w:hAnsi="Times New Roman" w:eastAsia="宋体" w:cs="Times New Roman"/>
                <w:color w:val="FF0000"/>
                <w:sz w:val="24"/>
                <w:szCs w:val="24"/>
                <w:lang w:val="en-US" w:eastAsia="zh-CN"/>
              </w:rPr>
              <w:t>1.25</w:t>
            </w:r>
            <w:r>
              <w:rPr>
                <w:rFonts w:hint="default" w:ascii="Times New Roman" w:hAnsi="Times New Roman" w:eastAsia="宋体" w:cs="Times New Roman"/>
                <w:color w:val="FF0000"/>
                <w:sz w:val="24"/>
                <w:szCs w:val="24"/>
              </w:rPr>
              <w:t>t/a），收集后交由市政环卫部门统一清运。</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本项目营运期产生的固体废物产生及处置情况详见表</w:t>
            </w:r>
            <w:r>
              <w:rPr>
                <w:rFonts w:hint="default" w:ascii="Times New Roman" w:hAnsi="Times New Roman" w:eastAsia="宋体" w:cs="Times New Roman"/>
                <w:color w:val="auto"/>
                <w:sz w:val="24"/>
                <w:szCs w:val="24"/>
                <w:lang w:eastAsia="zh-CN"/>
              </w:rPr>
              <w:t>4-9</w:t>
            </w:r>
            <w:r>
              <w:rPr>
                <w:rFonts w:hint="default" w:ascii="Times New Roman" w:hAnsi="Times New Roman" w:eastAsia="宋体" w:cs="Times New Roman"/>
                <w:color w:val="auto"/>
                <w:sz w:val="24"/>
                <w:szCs w:val="24"/>
              </w:rPr>
              <w:t>。</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sz w:val="21"/>
              </w:rPr>
              <w:t>表</w:t>
            </w:r>
            <w:r>
              <w:rPr>
                <w:rFonts w:hint="default" w:ascii="Times New Roman" w:hAnsi="Times New Roman" w:eastAsia="宋体" w:cs="Times New Roman"/>
                <w:b/>
                <w:color w:val="auto"/>
                <w:spacing w:val="-52"/>
                <w:sz w:val="21"/>
              </w:rPr>
              <w:t xml:space="preserve"> </w:t>
            </w:r>
            <w:r>
              <w:rPr>
                <w:rFonts w:hint="default" w:ascii="Times New Roman" w:hAnsi="Times New Roman" w:eastAsia="宋体" w:cs="Times New Roman"/>
                <w:b/>
                <w:color w:val="auto"/>
                <w:sz w:val="21"/>
                <w:lang w:eastAsia="zh-CN"/>
              </w:rPr>
              <w:t>4-9</w:t>
            </w:r>
            <w:r>
              <w:rPr>
                <w:rFonts w:hint="default" w:ascii="Times New Roman" w:hAnsi="Times New Roman" w:eastAsia="宋体" w:cs="Times New Roman"/>
                <w:b/>
                <w:color w:val="auto"/>
                <w:sz w:val="21"/>
              </w:rPr>
              <w:tab/>
            </w:r>
            <w:r>
              <w:rPr>
                <w:rFonts w:hint="default" w:ascii="Times New Roman" w:hAnsi="Times New Roman" w:eastAsia="宋体" w:cs="Times New Roman"/>
                <w:b/>
                <w:color w:val="auto"/>
                <w:sz w:val="21"/>
                <w:lang w:eastAsia="zh-CN"/>
              </w:rPr>
              <w:t xml:space="preserve">  </w:t>
            </w:r>
            <w:r>
              <w:rPr>
                <w:rFonts w:hint="default" w:ascii="Times New Roman" w:hAnsi="Times New Roman" w:eastAsia="宋体" w:cs="Times New Roman"/>
                <w:b/>
                <w:color w:val="auto"/>
                <w:sz w:val="21"/>
              </w:rPr>
              <w:t>固体废物产生量统计表</w:t>
            </w:r>
          </w:p>
          <w:tbl>
            <w:tblPr>
              <w:tblStyle w:val="27"/>
              <w:tblW w:w="857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97"/>
              <w:gridCol w:w="718"/>
              <w:gridCol w:w="856"/>
              <w:gridCol w:w="715"/>
              <w:gridCol w:w="870"/>
              <w:gridCol w:w="988"/>
              <w:gridCol w:w="782"/>
              <w:gridCol w:w="1091"/>
              <w:gridCol w:w="954"/>
              <w:gridCol w:w="90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1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工序</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性质</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废物类别</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废物代码</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52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处理处置措施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1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废包装材料</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药品包装工序</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一般固体废物</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27" w:type="pct"/>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定期交由</w:t>
                  </w:r>
                  <w:r>
                    <w:rPr>
                      <w:rFonts w:hint="default" w:ascii="Times New Roman" w:hAnsi="Times New Roman" w:eastAsia="宋体" w:cs="Times New Roman"/>
                      <w:color w:val="auto"/>
                      <w:sz w:val="21"/>
                      <w:szCs w:val="21"/>
                      <w:lang w:eastAsia="zh-CN"/>
                    </w:rPr>
                    <w:t>有资质</w:t>
                  </w:r>
                  <w:r>
                    <w:rPr>
                      <w:rFonts w:hint="default" w:ascii="Times New Roman" w:hAnsi="Times New Roman" w:eastAsia="宋体" w:cs="Times New Roman"/>
                      <w:color w:val="auto"/>
                      <w:sz w:val="21"/>
                      <w:szCs w:val="21"/>
                    </w:rPr>
                    <w:t>部门回收利用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1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废滤膜</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测量颗粒物重量工序</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rPr>
                    <w:t>1</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一般固体废物</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1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纯水机废滤芯、废反渗透膜</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纯水制备工序</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eastAsia="zh-CN"/>
                    </w:rPr>
                    <w:t>2</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一般固体废物</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器皿</w:t>
                  </w:r>
                  <w:r>
                    <w:rPr>
                      <w:rFonts w:hint="default" w:ascii="Times New Roman" w:hAnsi="Times New Roman" w:eastAsia="宋体" w:cs="Times New Roman"/>
                      <w:color w:val="auto"/>
                      <w:sz w:val="21"/>
                      <w:szCs w:val="21"/>
                      <w:lang w:eastAsia="zh-CN"/>
                    </w:rPr>
                    <w:t>清</w:t>
                  </w:r>
                  <w:r>
                    <w:rPr>
                      <w:rFonts w:hint="default" w:ascii="Times New Roman" w:hAnsi="Times New Roman" w:eastAsia="宋体" w:cs="Times New Roman"/>
                      <w:color w:val="auto"/>
                      <w:sz w:val="21"/>
                      <w:szCs w:val="21"/>
                    </w:rPr>
                    <w:t>洗废水</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器皿清洗工序</w:t>
                  </w:r>
                </w:p>
              </w:tc>
              <w:tc>
                <w:tcPr>
                  <w:tcW w:w="41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3.577</w:t>
                  </w:r>
                </w:p>
              </w:tc>
              <w:tc>
                <w:tcPr>
                  <w:tcW w:w="50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HW49其他废物</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非特定行业</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900-047-49</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T/C/I/R</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41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实验废液</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实验分析工序</w:t>
                  </w:r>
                </w:p>
              </w:tc>
              <w:tc>
                <w:tcPr>
                  <w:tcW w:w="41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0.657</w:t>
                  </w:r>
                </w:p>
              </w:tc>
              <w:tc>
                <w:tcPr>
                  <w:tcW w:w="50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57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HW49其他废物</w:t>
                  </w:r>
                </w:p>
              </w:tc>
              <w:tc>
                <w:tcPr>
                  <w:tcW w:w="4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非特定行业</w:t>
                  </w:r>
                </w:p>
              </w:tc>
              <w:tc>
                <w:tcPr>
                  <w:tcW w:w="6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900-047-49</w:t>
                  </w:r>
                </w:p>
              </w:tc>
              <w:tc>
                <w:tcPr>
                  <w:tcW w:w="55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T/C/I/R</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w:t>
                  </w:r>
                </w:p>
              </w:tc>
              <w:tc>
                <w:tcPr>
                  <w:tcW w:w="41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废试剂瓶</w:t>
                  </w:r>
                </w:p>
              </w:tc>
              <w:tc>
                <w:tcPr>
                  <w:tcW w:w="498"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有毒有害化学品包装</w:t>
                  </w:r>
                </w:p>
              </w:tc>
              <w:tc>
                <w:tcPr>
                  <w:tcW w:w="415"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0.02</w:t>
                  </w:r>
                </w:p>
              </w:tc>
              <w:tc>
                <w:tcPr>
                  <w:tcW w:w="50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危险废物</w:t>
                  </w:r>
                </w:p>
              </w:tc>
              <w:tc>
                <w:tcPr>
                  <w:tcW w:w="57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HW49其他废物</w:t>
                  </w:r>
                </w:p>
              </w:tc>
              <w:tc>
                <w:tcPr>
                  <w:tcW w:w="4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非特定行业</w:t>
                  </w:r>
                </w:p>
              </w:tc>
              <w:tc>
                <w:tcPr>
                  <w:tcW w:w="63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900-041-49</w:t>
                  </w:r>
                </w:p>
              </w:tc>
              <w:tc>
                <w:tcPr>
                  <w:tcW w:w="5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T/In</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w:t>
                  </w:r>
                </w:p>
              </w:tc>
              <w:tc>
                <w:tcPr>
                  <w:tcW w:w="41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过期药剂</w:t>
                  </w:r>
                </w:p>
              </w:tc>
              <w:tc>
                <w:tcPr>
                  <w:tcW w:w="498"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实验</w:t>
                  </w:r>
                </w:p>
              </w:tc>
              <w:tc>
                <w:tcPr>
                  <w:tcW w:w="415"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0.01</w:t>
                  </w:r>
                </w:p>
              </w:tc>
              <w:tc>
                <w:tcPr>
                  <w:tcW w:w="50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危险废物</w:t>
                  </w:r>
                </w:p>
              </w:tc>
              <w:tc>
                <w:tcPr>
                  <w:tcW w:w="57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HW49其他废物</w:t>
                  </w:r>
                </w:p>
              </w:tc>
              <w:tc>
                <w:tcPr>
                  <w:tcW w:w="4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非特定行业</w:t>
                  </w:r>
                </w:p>
              </w:tc>
              <w:tc>
                <w:tcPr>
                  <w:tcW w:w="63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900-047-49</w:t>
                  </w:r>
                </w:p>
              </w:tc>
              <w:tc>
                <w:tcPr>
                  <w:tcW w:w="5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T/C/I/R</w:t>
                  </w:r>
                </w:p>
              </w:tc>
              <w:tc>
                <w:tcPr>
                  <w:tcW w:w="527"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406"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8</w:t>
                  </w:r>
                </w:p>
              </w:tc>
              <w:tc>
                <w:tcPr>
                  <w:tcW w:w="41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生活垃圾</w:t>
                  </w:r>
                </w:p>
              </w:tc>
              <w:tc>
                <w:tcPr>
                  <w:tcW w:w="498"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职工生活</w:t>
                  </w:r>
                </w:p>
              </w:tc>
              <w:tc>
                <w:tcPr>
                  <w:tcW w:w="415"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sz w:val="21"/>
                      <w:szCs w:val="21"/>
                      <w:lang w:val="en-US" w:eastAsia="zh-CN"/>
                    </w:rPr>
                    <w:t>1.25</w:t>
                  </w:r>
                </w:p>
              </w:tc>
              <w:tc>
                <w:tcPr>
                  <w:tcW w:w="50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生活垃圾</w:t>
                  </w:r>
                </w:p>
              </w:tc>
              <w:tc>
                <w:tcPr>
                  <w:tcW w:w="57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w:t>
                  </w:r>
                </w:p>
              </w:tc>
              <w:tc>
                <w:tcPr>
                  <w:tcW w:w="4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w:t>
                  </w:r>
                </w:p>
              </w:tc>
              <w:tc>
                <w:tcPr>
                  <w:tcW w:w="63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w:t>
                  </w:r>
                </w:p>
              </w:tc>
              <w:tc>
                <w:tcPr>
                  <w:tcW w:w="556"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w:t>
                  </w:r>
                </w:p>
              </w:tc>
              <w:tc>
                <w:tcPr>
                  <w:tcW w:w="527" w:type="pct"/>
                  <w:tcBorders>
                    <w:tl2br w:val="nil"/>
                    <w:tr2bl w:val="nil"/>
                  </w:tcBorders>
                  <w:vAlign w:val="center"/>
                </w:tcPr>
                <w:p>
                  <w:pPr>
                    <w:jc w:val="center"/>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sz w:val="21"/>
                      <w:szCs w:val="21"/>
                    </w:rPr>
                    <w:t>交由</w:t>
                  </w:r>
                  <w:r>
                    <w:rPr>
                      <w:rFonts w:hint="default" w:ascii="Times New Roman" w:hAnsi="Times New Roman" w:eastAsia="宋体" w:cs="Times New Roman"/>
                      <w:color w:val="auto"/>
                      <w:sz w:val="21"/>
                      <w:szCs w:val="21"/>
                      <w:lang w:eastAsia="zh-CN"/>
                    </w:rPr>
                    <w:t>环卫</w:t>
                  </w:r>
                  <w:r>
                    <w:rPr>
                      <w:rFonts w:hint="default" w:ascii="Times New Roman" w:hAnsi="Times New Roman" w:eastAsia="宋体" w:cs="Times New Roman"/>
                      <w:color w:val="auto"/>
                      <w:sz w:val="21"/>
                      <w:szCs w:val="21"/>
                    </w:rPr>
                    <w:t>部门定期清运</w:t>
                  </w:r>
                </w:p>
              </w:tc>
            </w:tr>
          </w:tbl>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（4）危废暂存间设置要求</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危废暂存间地面进行混凝土防渗，渗透系数不大于1.0×10</w:t>
            </w:r>
            <w:r>
              <w:rPr>
                <w:rFonts w:hint="default" w:ascii="Times New Roman" w:hAnsi="Times New Roman" w:eastAsia="宋体" w:cs="Times New Roman"/>
                <w:color w:val="auto"/>
                <w:sz w:val="24"/>
                <w:vertAlign w:val="superscript"/>
              </w:rPr>
              <w:t>-10</w:t>
            </w:r>
            <w:r>
              <w:rPr>
                <w:rFonts w:hint="default" w:ascii="Times New Roman" w:hAnsi="Times New Roman" w:eastAsia="宋体" w:cs="Times New Roman"/>
                <w:color w:val="auto"/>
                <w:sz w:val="24"/>
              </w:rPr>
              <w:t>cm/s，厚度不小于100mm。</w:t>
            </w:r>
            <w:r>
              <w:rPr>
                <w:rFonts w:hint="default" w:ascii="Times New Roman" w:hAnsi="Times New Roman" w:eastAsia="宋体" w:cs="Times New Roman"/>
                <w:color w:val="auto"/>
                <w:sz w:val="24"/>
                <w:szCs w:val="24"/>
              </w:rPr>
              <w:t>废机油收集、暂存严格执行《危险废物贮存污染控制标准》（GB18597-20</w:t>
            </w: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rPr>
              <w:t>的相关规定及要求。</w:t>
            </w:r>
          </w:p>
          <w:p>
            <w:pPr>
              <w:pStyle w:val="108"/>
              <w:spacing w:line="360" w:lineRule="auto"/>
              <w:ind w:firstLine="49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危废暂存间的相关要求：</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a.收集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最后按照《关于加强工业危险废物转移管理的通知》（环办[2006]34号）要求，对危险废物进行安全包装，并在包装的明显位置附上危险废物标签。</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b.贮存</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为了避免危险废物固废在厂内贮存过程产生二次污染，根据《危险废物贮存污染控制标准》（GB18597-20</w:t>
            </w: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）的有关要求，在厂内单独设危险废物临时贮存间，危险废物贮存按《危险废物贮存污染控制标准》（GB18597-20</w:t>
            </w: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）规定进行。危险废物临时贮存间地面与裙脚要用坚固、防渗的材料建造，建筑材料必须与危险废物相容。设施内要有安全照明设施和观察窗口。</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企业必须并按照《危险废物贮存污染控制标准》（GB18597-20</w:t>
            </w: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）进行场地防渗处理，危废暂存间地面应为底面基层素土压实，中层铺高密度聚乙烯隔离层（厚度大于2mm）防渗层，上层浇筑防渗混凝土，渗透系数小于1×10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cm/s，以达到防腐防渗漏的目的。</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c.处置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该项目产生的危险废物必须送有资质单位进行处置。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d.管理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完善申报登记等管理制度、规范危险废物贮存设施建设（防风、防雨、防渗的“三防”措施）、严格执行危险废物转移联单制度。</w:t>
            </w:r>
          </w:p>
          <w:p>
            <w:pPr>
              <w:keepNext/>
              <w:keepLines/>
              <w:spacing w:line="360" w:lineRule="auto"/>
              <w:outlineLvl w:val="2"/>
              <w:rPr>
                <w:rFonts w:hint="default" w:ascii="Times New Roman" w:hAnsi="Times New Roman" w:cs="Times New Roman"/>
                <w:b/>
                <w:color w:val="FF0000"/>
                <w:kern w:val="2"/>
                <w:sz w:val="24"/>
                <w:szCs w:val="20"/>
                <w:lang w:eastAsia="zh-CN"/>
              </w:rPr>
            </w:pPr>
            <w:r>
              <w:rPr>
                <w:rFonts w:hint="default" w:ascii="Times New Roman" w:hAnsi="Times New Roman" w:cs="Times New Roman"/>
                <w:b/>
                <w:color w:val="FF0000"/>
                <w:kern w:val="2"/>
                <w:sz w:val="24"/>
                <w:szCs w:val="20"/>
                <w:lang w:val="en-US" w:eastAsia="zh-CN"/>
              </w:rPr>
              <w:t>6</w:t>
            </w:r>
            <w:r>
              <w:rPr>
                <w:rFonts w:hint="default" w:ascii="Times New Roman" w:hAnsi="Times New Roman" w:cs="Times New Roman"/>
                <w:b/>
                <w:color w:val="FF0000"/>
                <w:kern w:val="2"/>
                <w:sz w:val="24"/>
                <w:szCs w:val="20"/>
                <w:lang w:eastAsia="zh-CN"/>
              </w:rPr>
              <w:t>、地下水</w:t>
            </w:r>
            <w:r>
              <w:rPr>
                <w:rFonts w:hint="default" w:ascii="Times New Roman" w:hAnsi="Times New Roman" w:cs="Times New Roman"/>
                <w:b/>
                <w:color w:val="FF0000"/>
                <w:kern w:val="2"/>
                <w:sz w:val="24"/>
                <w:szCs w:val="20"/>
                <w:lang w:val="en-US" w:eastAsia="zh-CN"/>
              </w:rPr>
              <w:t>和土壤</w:t>
            </w:r>
            <w:r>
              <w:rPr>
                <w:rFonts w:hint="default" w:ascii="Times New Roman" w:hAnsi="Times New Roman" w:cs="Times New Roman"/>
                <w:b/>
                <w:color w:val="FF0000"/>
                <w:kern w:val="2"/>
                <w:sz w:val="24"/>
                <w:szCs w:val="20"/>
                <w:lang w:eastAsia="zh-CN"/>
              </w:rPr>
              <w:t>污染防治措施</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（1）总体原则</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根据项目特点和当地的实际情况，按照“源头控制、分区防治、污染监控、应急响应”的地下水污染防治总体原则，本项目将从污染物的产生、入渗、扩散等采取全方位的控制措施。</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（2）源头控制措施</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本项目选择先进、成熟、可靠的工艺技术，并对产生的废物进行合理的综合利用和治理，尽可能从源头上减少污染物排放；按照国家相关规范要求，对工艺、管道、设备、污水收集构筑物采取相应的措施，以防止和降低污染物的跑、冒、滴、漏，将污染物泄露的环境风险事故降到最低程度。</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（3）分区防控措施</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对项目可能泄露污染物的污染区地面进行防渗设计，及时的将泄漏、渗漏的污染物进行收集处理，以有效防止洒落地面的污染物渗入地下；</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根据本项目可能泄露至地面区域的污染物性质和生产单元的构筑方式，本项目废水提升池、危废暂存间为重点防渗区；项目实验室为简单污染防治区。施工单位严格按照设计单位重点防渗区和辅助生产区的防渗设计要求施工，严禁渗漏污染地下水。</w:t>
            </w:r>
          </w:p>
          <w:p>
            <w:pPr>
              <w:spacing w:line="360" w:lineRule="auto"/>
              <w:ind w:firstLine="482" w:firstLineChars="200"/>
              <w:rPr>
                <w:rFonts w:hint="default" w:ascii="Times New Roman" w:hAnsi="Times New Roman" w:cs="Times New Roman"/>
                <w:b/>
                <w:bCs/>
                <w:color w:val="FF0000"/>
                <w:kern w:val="2"/>
                <w:sz w:val="24"/>
                <w:szCs w:val="32"/>
                <w:lang w:eastAsia="zh-CN"/>
              </w:rPr>
            </w:pPr>
            <w:bookmarkStart w:id="10" w:name="_Toc489429693"/>
            <w:r>
              <w:rPr>
                <w:rFonts w:hint="default" w:ascii="Times New Roman" w:hAnsi="Times New Roman" w:cs="Times New Roman"/>
                <w:b/>
                <w:bCs/>
                <w:color w:val="FF0000"/>
                <w:kern w:val="2"/>
                <w:sz w:val="24"/>
                <w:szCs w:val="32"/>
                <w:lang w:eastAsia="zh-CN"/>
              </w:rPr>
              <w:t>（4）分区防渗措施</w:t>
            </w:r>
            <w:bookmarkEnd w:id="10"/>
          </w:p>
          <w:p>
            <w:pPr>
              <w:spacing w:line="360" w:lineRule="auto"/>
              <w:ind w:firstLine="480" w:firstLineChars="200"/>
              <w:rPr>
                <w:rFonts w:hint="default" w:ascii="Times New Roman" w:hAnsi="Times New Roman" w:cs="Times New Roman"/>
                <w:color w:val="FF0000"/>
                <w:kern w:val="2"/>
                <w:sz w:val="24"/>
                <w:szCs w:val="32"/>
                <w:lang w:eastAsia="zh-CN"/>
              </w:rPr>
            </w:pPr>
            <w:r>
              <w:rPr>
                <w:rFonts w:hint="default" w:ascii="Times New Roman" w:hAnsi="Times New Roman" w:cs="Times New Roman"/>
                <w:color w:val="FF0000"/>
                <w:kern w:val="2"/>
                <w:sz w:val="24"/>
                <w:szCs w:val="32"/>
                <w:lang w:eastAsia="zh-CN"/>
              </w:rPr>
              <w:t>项目地下水防控应以水平防渗为主，按照《环境影响评价技术导则 地下水环境》（HJ610-2016）11.2.2节要求，可根据建设项目场地天然包气带防污性能、污染控制难易程度和污染物特性，采取不同的分区防渗技术要求。项目场地天然包气带以黄土为主，防污性弱；可能污染地下水的物质主要为粪污，易生化降解。据此提出项目防渗技术要求见表4-1</w:t>
            </w:r>
            <w:r>
              <w:rPr>
                <w:rFonts w:hint="default" w:ascii="Times New Roman" w:hAnsi="Times New Roman" w:cs="Times New Roman"/>
                <w:color w:val="FF0000"/>
                <w:kern w:val="2"/>
                <w:sz w:val="24"/>
                <w:szCs w:val="32"/>
                <w:lang w:val="en-US" w:eastAsia="zh-CN"/>
              </w:rPr>
              <w:t>0</w:t>
            </w:r>
            <w:r>
              <w:rPr>
                <w:rFonts w:hint="default" w:ascii="Times New Roman" w:hAnsi="Times New Roman" w:cs="Times New Roman"/>
                <w:color w:val="FF0000"/>
                <w:kern w:val="2"/>
                <w:sz w:val="24"/>
                <w:szCs w:val="32"/>
                <w:lang w:eastAsia="zh-CN"/>
              </w:rPr>
              <w:t>。</w:t>
            </w:r>
          </w:p>
          <w:p>
            <w:pPr>
              <w:jc w:val="center"/>
              <w:rPr>
                <w:rFonts w:hint="default" w:ascii="Times New Roman" w:hAnsi="Times New Roman" w:cs="Times New Roman"/>
                <w:color w:val="FF0000"/>
                <w:kern w:val="2"/>
                <w:sz w:val="21"/>
                <w:szCs w:val="21"/>
                <w:lang w:eastAsia="zh-CN"/>
              </w:rPr>
            </w:pPr>
            <w:r>
              <w:rPr>
                <w:rFonts w:hint="default" w:ascii="Times New Roman" w:hAnsi="Times New Roman" w:cs="Times New Roman"/>
                <w:b/>
                <w:bCs/>
                <w:color w:val="FF0000"/>
                <w:kern w:val="2"/>
                <w:sz w:val="21"/>
                <w:szCs w:val="21"/>
                <w:lang w:eastAsia="zh-CN"/>
              </w:rPr>
              <w:t>表4-1</w:t>
            </w:r>
            <w:r>
              <w:rPr>
                <w:rFonts w:hint="default" w:ascii="Times New Roman" w:hAnsi="Times New Roman" w:cs="Times New Roman"/>
                <w:b/>
                <w:bCs/>
                <w:color w:val="FF0000"/>
                <w:kern w:val="2"/>
                <w:sz w:val="21"/>
                <w:szCs w:val="21"/>
                <w:lang w:val="en-US" w:eastAsia="zh-CN"/>
              </w:rPr>
              <w:t>0</w:t>
            </w:r>
            <w:r>
              <w:rPr>
                <w:rFonts w:hint="default" w:ascii="Times New Roman" w:hAnsi="Times New Roman" w:cs="Times New Roman"/>
                <w:b/>
                <w:bCs/>
                <w:color w:val="FF0000"/>
                <w:kern w:val="2"/>
                <w:sz w:val="21"/>
                <w:szCs w:val="21"/>
                <w:lang w:eastAsia="zh-CN"/>
              </w:rPr>
              <w:t xml:space="preserve">      防渗工程做法及要求</w:t>
            </w:r>
          </w:p>
          <w:tbl>
            <w:tblPr>
              <w:tblStyle w:val="27"/>
              <w:tblW w:w="84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969"/>
              <w:gridCol w:w="42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284"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污染区</w:t>
                  </w:r>
                </w:p>
              </w:tc>
              <w:tc>
                <w:tcPr>
                  <w:tcW w:w="2969"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区域</w:t>
                  </w:r>
                </w:p>
              </w:tc>
              <w:tc>
                <w:tcPr>
                  <w:tcW w:w="4205"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防渗结构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284"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重点防渗区</w:t>
                  </w:r>
                </w:p>
              </w:tc>
              <w:tc>
                <w:tcPr>
                  <w:tcW w:w="2969"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危废暂存间</w:t>
                  </w:r>
                </w:p>
              </w:tc>
              <w:tc>
                <w:tcPr>
                  <w:tcW w:w="4205"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可采取防渗混凝土+2mm 厚HDPE防渗层进行防渗、防腐处理，确保防渗性能与6.0m厚黏土防渗层等效，防渗系数 K≤1×10-10cm/s；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84"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简单防渗区</w:t>
                  </w:r>
                </w:p>
              </w:tc>
              <w:tc>
                <w:tcPr>
                  <w:tcW w:w="2969"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项目实验室</w:t>
                  </w:r>
                </w:p>
              </w:tc>
              <w:tc>
                <w:tcPr>
                  <w:tcW w:w="4205" w:type="dxa"/>
                  <w:noWrap w:val="0"/>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一般地面硬化</w:t>
                  </w:r>
                </w:p>
              </w:tc>
            </w:tr>
          </w:tbl>
          <w:p>
            <w:pPr>
              <w:spacing w:line="360" w:lineRule="auto"/>
              <w:ind w:firstLine="482" w:firstLineChars="200"/>
              <w:jc w:val="both"/>
              <w:rPr>
                <w:rFonts w:hint="default" w:ascii="Times New Roman" w:hAnsi="Times New Roman" w:cs="Times New Roman"/>
                <w:b/>
                <w:color w:val="FF0000"/>
                <w:kern w:val="2"/>
                <w:sz w:val="24"/>
                <w:lang w:eastAsia="zh-CN"/>
              </w:rPr>
            </w:pPr>
            <w:r>
              <w:rPr>
                <w:rFonts w:hint="default" w:ascii="Times New Roman" w:hAnsi="Times New Roman" w:cs="Times New Roman"/>
                <w:b/>
                <w:color w:val="FF0000"/>
                <w:kern w:val="2"/>
                <w:sz w:val="24"/>
                <w:lang w:eastAsia="zh-CN"/>
              </w:rPr>
              <w:t>6、建设项目环境保护措施</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t>A.源头控制措施</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fldChar w:fldCharType="begin"/>
            </w:r>
            <w:r>
              <w:rPr>
                <w:rFonts w:hint="default" w:ascii="Times New Roman" w:hAnsi="Times New Roman" w:cs="Times New Roman"/>
                <w:bCs/>
                <w:color w:val="FF0000"/>
                <w:kern w:val="2"/>
                <w:sz w:val="24"/>
                <w:szCs w:val="28"/>
                <w:lang w:val="zh-CN" w:eastAsia="zh-CN"/>
              </w:rPr>
              <w:instrText xml:space="preserve">= 1 \* GB2</w:instrText>
            </w:r>
            <w:r>
              <w:rPr>
                <w:rFonts w:hint="default" w:ascii="Times New Roman" w:hAnsi="Times New Roman" w:cs="Times New Roman"/>
                <w:bCs/>
                <w:color w:val="FF0000"/>
                <w:kern w:val="2"/>
                <w:sz w:val="24"/>
                <w:szCs w:val="28"/>
                <w:lang w:val="zh-CN" w:eastAsia="zh-CN"/>
              </w:rPr>
              <w:fldChar w:fldCharType="separate"/>
            </w:r>
            <w:r>
              <w:rPr>
                <w:rFonts w:hint="default" w:ascii="Times New Roman" w:hAnsi="Times New Roman" w:cs="Times New Roman"/>
                <w:bCs/>
                <w:color w:val="FF0000"/>
                <w:kern w:val="2"/>
                <w:sz w:val="24"/>
                <w:szCs w:val="28"/>
                <w:lang w:val="zh-CN" w:eastAsia="zh-CN"/>
              </w:rPr>
              <w:t>⑴</w:t>
            </w:r>
            <w:r>
              <w:rPr>
                <w:rFonts w:hint="default" w:ascii="Times New Roman" w:hAnsi="Times New Roman" w:cs="Times New Roman"/>
                <w:bCs/>
                <w:color w:val="FF0000"/>
                <w:kern w:val="2"/>
                <w:sz w:val="24"/>
                <w:szCs w:val="28"/>
                <w:lang w:val="zh-CN" w:eastAsia="zh-CN"/>
              </w:rPr>
              <w:fldChar w:fldCharType="end"/>
            </w:r>
            <w:r>
              <w:rPr>
                <w:rFonts w:hint="default" w:ascii="Times New Roman" w:hAnsi="Times New Roman" w:cs="Times New Roman"/>
                <w:bCs/>
                <w:color w:val="FF0000"/>
                <w:kern w:val="2"/>
                <w:sz w:val="24"/>
                <w:szCs w:val="28"/>
                <w:lang w:val="zh-CN" w:eastAsia="zh-CN"/>
              </w:rPr>
              <w:t>废水源头控制措施</w:t>
            </w:r>
          </w:p>
          <w:p>
            <w:pPr>
              <w:pStyle w:val="119"/>
              <w:jc w:val="both"/>
              <w:rPr>
                <w:rFonts w:hint="default" w:ascii="Times New Roman" w:hAnsi="Times New Roman" w:eastAsia="宋体" w:cs="Times New Roman"/>
                <w:color w:val="FF0000"/>
                <w:highlight w:val="none"/>
                <w:lang w:val="en-US" w:eastAsia="zh-CN"/>
              </w:rPr>
            </w:pPr>
            <w:r>
              <w:rPr>
                <w:rFonts w:hint="default" w:ascii="Times New Roman" w:hAnsi="Times New Roman" w:cs="Times New Roman"/>
                <w:bCs w:val="0"/>
                <w:color w:val="FF0000"/>
                <w:sz w:val="24"/>
                <w:highlight w:val="none"/>
                <w:lang w:val="en-US" w:eastAsia="zh-CN"/>
              </w:rPr>
              <w:t>其中实验废水进入实验废水处理设备处理后排入市政污水管网。其他废水包括纯水制备废水直接排入市政污水管网。生活污水、地面清洗废水经化粪池预处理后，排入市政污水管网。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val="0"/>
                <w:color w:val="FF0000"/>
                <w:kern w:val="2"/>
                <w:sz w:val="24"/>
                <w:szCs w:val="22"/>
                <w:highlight w:val="none"/>
                <w:lang w:val="en-US" w:eastAsia="zh-CN" w:bidi="ar-SA"/>
              </w:rPr>
            </w:pPr>
            <w:r>
              <w:rPr>
                <w:rFonts w:hint="default" w:ascii="Times New Roman" w:hAnsi="Times New Roman" w:cs="Times New Roman" w:eastAsiaTheme="minorEastAsia"/>
                <w:bCs w:val="0"/>
                <w:color w:val="FF0000"/>
                <w:kern w:val="2"/>
                <w:sz w:val="24"/>
                <w:szCs w:val="22"/>
                <w:highlight w:val="none"/>
                <w:lang w:val="en-US" w:eastAsia="zh-CN" w:bidi="ar-SA"/>
              </w:rPr>
              <w:t>本项目排放至市政污水管网的污水成分较为简单，经中和处理后主要污染物为盐分。实验废水经中和处理后，废水中污染物可满足《污水排入城镇下水道水质标准》（GBT3.1962-2015）</w:t>
            </w:r>
            <w:r>
              <w:rPr>
                <w:rFonts w:hint="default" w:ascii="Times New Roman" w:hAnsi="Times New Roman" w:cs="Times New Roman"/>
                <w:bCs w:val="0"/>
                <w:color w:val="FF0000"/>
                <w:kern w:val="2"/>
                <w:sz w:val="24"/>
                <w:szCs w:val="22"/>
                <w:highlight w:val="none"/>
                <w:lang w:val="en-US" w:eastAsia="zh-CN" w:bidi="ar-SA"/>
              </w:rPr>
              <w:t>B</w:t>
            </w:r>
            <w:r>
              <w:rPr>
                <w:rFonts w:hint="default" w:ascii="Times New Roman" w:hAnsi="Times New Roman" w:cs="Times New Roman" w:eastAsiaTheme="minorEastAsia"/>
                <w:bCs w:val="0"/>
                <w:color w:val="FF0000"/>
                <w:kern w:val="2"/>
                <w:sz w:val="24"/>
                <w:szCs w:val="22"/>
                <w:highlight w:val="none"/>
                <w:lang w:val="en-US" w:eastAsia="zh-CN" w:bidi="ar-SA"/>
              </w:rPr>
              <w:t>级标准，排入市政污水管网。其他清洗废水中污染物较少可直接排入市政污水管网。生活污水经化粪池预处理后，各种污染物浓度可满足《污水排入城镇下水道水质标准》（GBT3.1962-2015）</w:t>
            </w:r>
            <w:r>
              <w:rPr>
                <w:rFonts w:hint="default" w:ascii="Times New Roman" w:hAnsi="Times New Roman" w:cs="Times New Roman"/>
                <w:bCs w:val="0"/>
                <w:color w:val="FF0000"/>
                <w:kern w:val="2"/>
                <w:sz w:val="24"/>
                <w:szCs w:val="22"/>
                <w:highlight w:val="none"/>
                <w:lang w:val="en-US" w:eastAsia="zh-CN" w:bidi="ar-SA"/>
              </w:rPr>
              <w:t>B</w:t>
            </w:r>
            <w:r>
              <w:rPr>
                <w:rFonts w:hint="default" w:ascii="Times New Roman" w:hAnsi="Times New Roman" w:cs="Times New Roman" w:eastAsiaTheme="minorEastAsia"/>
                <w:bCs w:val="0"/>
                <w:color w:val="FF0000"/>
                <w:kern w:val="2"/>
                <w:sz w:val="24"/>
                <w:szCs w:val="22"/>
                <w:highlight w:val="none"/>
                <w:lang w:val="en-US" w:eastAsia="zh-CN" w:bidi="ar-SA"/>
              </w:rPr>
              <w:t>级标准。</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fldChar w:fldCharType="begin"/>
            </w:r>
            <w:r>
              <w:rPr>
                <w:rFonts w:hint="default" w:ascii="Times New Roman" w:hAnsi="Times New Roman" w:cs="Times New Roman"/>
                <w:bCs/>
                <w:color w:val="FF0000"/>
                <w:kern w:val="2"/>
                <w:sz w:val="24"/>
                <w:szCs w:val="28"/>
                <w:lang w:val="zh-CN" w:eastAsia="zh-CN"/>
              </w:rPr>
              <w:instrText xml:space="preserve">= 2 \* GB2</w:instrText>
            </w:r>
            <w:r>
              <w:rPr>
                <w:rFonts w:hint="default" w:ascii="Times New Roman" w:hAnsi="Times New Roman" w:cs="Times New Roman"/>
                <w:bCs/>
                <w:color w:val="FF0000"/>
                <w:kern w:val="2"/>
                <w:sz w:val="24"/>
                <w:szCs w:val="28"/>
                <w:lang w:val="zh-CN" w:eastAsia="zh-CN"/>
              </w:rPr>
              <w:fldChar w:fldCharType="separate"/>
            </w:r>
            <w:r>
              <w:rPr>
                <w:rFonts w:hint="default" w:ascii="Times New Roman" w:hAnsi="Times New Roman" w:cs="Times New Roman"/>
                <w:bCs/>
                <w:color w:val="FF0000"/>
                <w:kern w:val="2"/>
                <w:sz w:val="24"/>
                <w:szCs w:val="28"/>
                <w:lang w:val="zh-CN" w:eastAsia="zh-CN"/>
              </w:rPr>
              <w:t>⑵</w:t>
            </w:r>
            <w:r>
              <w:rPr>
                <w:rFonts w:hint="default" w:ascii="Times New Roman" w:hAnsi="Times New Roman" w:cs="Times New Roman"/>
                <w:bCs/>
                <w:color w:val="FF0000"/>
                <w:kern w:val="2"/>
                <w:sz w:val="24"/>
                <w:szCs w:val="28"/>
                <w:lang w:val="zh-CN" w:eastAsia="zh-CN"/>
              </w:rPr>
              <w:fldChar w:fldCharType="end"/>
            </w:r>
            <w:r>
              <w:rPr>
                <w:rFonts w:hint="default" w:ascii="Times New Roman" w:hAnsi="Times New Roman" w:cs="Times New Roman"/>
                <w:bCs/>
                <w:color w:val="FF0000"/>
                <w:kern w:val="2"/>
                <w:sz w:val="24"/>
                <w:szCs w:val="28"/>
                <w:lang w:val="zh-CN" w:eastAsia="zh-CN"/>
              </w:rPr>
              <w:t>废气源头控制措施</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t>装置定期检查，发现泄漏点及时处理；</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t>B.过程防控措施</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fldChar w:fldCharType="begin"/>
            </w:r>
            <w:r>
              <w:rPr>
                <w:rFonts w:hint="default" w:ascii="Times New Roman" w:hAnsi="Times New Roman" w:cs="Times New Roman"/>
                <w:bCs/>
                <w:color w:val="FF0000"/>
                <w:kern w:val="2"/>
                <w:sz w:val="24"/>
                <w:szCs w:val="28"/>
                <w:lang w:val="zh-CN" w:eastAsia="zh-CN"/>
              </w:rPr>
              <w:instrText xml:space="preserve">= 1 \* GB2</w:instrText>
            </w:r>
            <w:r>
              <w:rPr>
                <w:rFonts w:hint="default" w:ascii="Times New Roman" w:hAnsi="Times New Roman" w:cs="Times New Roman"/>
                <w:bCs/>
                <w:color w:val="FF0000"/>
                <w:kern w:val="2"/>
                <w:sz w:val="24"/>
                <w:szCs w:val="28"/>
                <w:lang w:val="zh-CN" w:eastAsia="zh-CN"/>
              </w:rPr>
              <w:fldChar w:fldCharType="separate"/>
            </w:r>
            <w:r>
              <w:rPr>
                <w:rFonts w:hint="default" w:ascii="Times New Roman" w:hAnsi="Times New Roman" w:cs="Times New Roman"/>
                <w:bCs/>
                <w:color w:val="FF0000"/>
                <w:kern w:val="2"/>
                <w:sz w:val="24"/>
                <w:szCs w:val="28"/>
                <w:lang w:val="zh-CN" w:eastAsia="zh-CN"/>
              </w:rPr>
              <w:t>⑴</w:t>
            </w:r>
            <w:r>
              <w:rPr>
                <w:rFonts w:hint="default" w:ascii="Times New Roman" w:hAnsi="Times New Roman" w:cs="Times New Roman"/>
                <w:bCs/>
                <w:color w:val="FF0000"/>
                <w:kern w:val="2"/>
                <w:sz w:val="24"/>
                <w:szCs w:val="28"/>
                <w:lang w:val="zh-CN" w:eastAsia="zh-CN"/>
              </w:rPr>
              <w:fldChar w:fldCharType="end"/>
            </w:r>
            <w:r>
              <w:rPr>
                <w:rFonts w:hint="default" w:ascii="Times New Roman" w:hAnsi="Times New Roman" w:cs="Times New Roman"/>
                <w:bCs/>
                <w:color w:val="FF0000"/>
                <w:kern w:val="2"/>
                <w:sz w:val="24"/>
                <w:szCs w:val="28"/>
                <w:lang w:val="zh-CN" w:eastAsia="zh-CN"/>
              </w:rPr>
              <w:t>场地参照《石油化工工程防渗技术规范》（GB/T 50934-2013）采取分区防渗措施，将地面设施防渗措施分为：重点防渗区、一般防渗区和简单防渗区三个级别。其中，重点防渗区包括危废暂存间、事故池、脱酸罐区、污水罐，防渗结构层的渗透系数不应大于1.0×10</w:t>
            </w:r>
            <w:r>
              <w:rPr>
                <w:rFonts w:hint="default" w:ascii="Times New Roman" w:hAnsi="Times New Roman" w:cs="Times New Roman"/>
                <w:bCs/>
                <w:color w:val="FF0000"/>
                <w:kern w:val="2"/>
                <w:sz w:val="24"/>
                <w:szCs w:val="28"/>
                <w:vertAlign w:val="superscript"/>
                <w:lang w:val="zh-CN" w:eastAsia="zh-CN"/>
              </w:rPr>
              <w:t>-10</w:t>
            </w:r>
            <w:r>
              <w:rPr>
                <w:rFonts w:hint="default" w:ascii="Times New Roman" w:hAnsi="Times New Roman" w:cs="Times New Roman"/>
                <w:bCs/>
                <w:color w:val="FF0000"/>
                <w:kern w:val="2"/>
                <w:sz w:val="24"/>
                <w:szCs w:val="28"/>
                <w:lang w:val="zh-CN" w:eastAsia="zh-CN"/>
              </w:rPr>
              <w:t>cm/s；</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fldChar w:fldCharType="begin"/>
            </w:r>
            <w:r>
              <w:rPr>
                <w:rFonts w:hint="default" w:ascii="Times New Roman" w:hAnsi="Times New Roman" w:cs="Times New Roman"/>
                <w:bCs/>
                <w:color w:val="FF0000"/>
                <w:kern w:val="2"/>
                <w:sz w:val="24"/>
                <w:szCs w:val="28"/>
                <w:lang w:val="zh-CN" w:eastAsia="zh-CN"/>
              </w:rPr>
              <w:instrText xml:space="preserve">= 2 \* GB2</w:instrText>
            </w:r>
            <w:r>
              <w:rPr>
                <w:rFonts w:hint="default" w:ascii="Times New Roman" w:hAnsi="Times New Roman" w:cs="Times New Roman"/>
                <w:bCs/>
                <w:color w:val="FF0000"/>
                <w:kern w:val="2"/>
                <w:sz w:val="24"/>
                <w:szCs w:val="28"/>
                <w:lang w:val="zh-CN" w:eastAsia="zh-CN"/>
              </w:rPr>
              <w:fldChar w:fldCharType="separate"/>
            </w:r>
            <w:r>
              <w:rPr>
                <w:rFonts w:hint="default" w:ascii="Times New Roman" w:hAnsi="Times New Roman" w:cs="Times New Roman"/>
                <w:bCs/>
                <w:color w:val="FF0000"/>
                <w:kern w:val="2"/>
                <w:sz w:val="24"/>
                <w:szCs w:val="28"/>
                <w:lang w:val="zh-CN" w:eastAsia="zh-CN"/>
              </w:rPr>
              <w:t>⑵</w:t>
            </w:r>
            <w:r>
              <w:rPr>
                <w:rFonts w:hint="default" w:ascii="Times New Roman" w:hAnsi="Times New Roman" w:cs="Times New Roman"/>
                <w:bCs/>
                <w:color w:val="FF0000"/>
                <w:kern w:val="2"/>
                <w:sz w:val="24"/>
                <w:szCs w:val="28"/>
                <w:lang w:val="zh-CN" w:eastAsia="zh-CN"/>
              </w:rPr>
              <w:fldChar w:fldCharType="end"/>
            </w:r>
            <w:r>
              <w:rPr>
                <w:rFonts w:hint="default" w:ascii="Times New Roman" w:hAnsi="Times New Roman" w:cs="Times New Roman"/>
                <w:bCs/>
                <w:color w:val="FF0000"/>
                <w:kern w:val="2"/>
                <w:sz w:val="24"/>
                <w:szCs w:val="28"/>
                <w:lang w:val="zh-CN" w:eastAsia="zh-CN"/>
              </w:rPr>
              <w:t>危废暂存间应按照《危险废物贮存污染控制标准》（GB 18597-20</w:t>
            </w:r>
            <w:r>
              <w:rPr>
                <w:rFonts w:hint="default" w:ascii="Times New Roman" w:hAnsi="Times New Roman" w:cs="Times New Roman"/>
                <w:bCs/>
                <w:color w:val="FF0000"/>
                <w:kern w:val="2"/>
                <w:sz w:val="24"/>
                <w:szCs w:val="28"/>
                <w:lang w:val="en-US" w:eastAsia="zh-CN"/>
              </w:rPr>
              <w:t>23</w:t>
            </w:r>
            <w:r>
              <w:rPr>
                <w:rFonts w:hint="default" w:ascii="Times New Roman" w:hAnsi="Times New Roman" w:cs="Times New Roman"/>
                <w:bCs/>
                <w:color w:val="FF0000"/>
                <w:kern w:val="2"/>
                <w:sz w:val="24"/>
                <w:szCs w:val="28"/>
                <w:lang w:val="zh-CN" w:eastAsia="zh-CN"/>
              </w:rPr>
              <w:t>）相关要求建设，暂存点内底面及提交进行基础防渗，防渗系数至少满足1m厚粘土层（渗透系数≤1.0×10</w:t>
            </w:r>
            <w:r>
              <w:rPr>
                <w:rFonts w:hint="default" w:ascii="Times New Roman" w:hAnsi="Times New Roman" w:cs="Times New Roman"/>
                <w:bCs/>
                <w:color w:val="FF0000"/>
                <w:kern w:val="2"/>
                <w:sz w:val="24"/>
                <w:szCs w:val="28"/>
                <w:vertAlign w:val="superscript"/>
                <w:lang w:val="zh-CN" w:eastAsia="zh-CN"/>
              </w:rPr>
              <w:t>-7</w:t>
            </w:r>
            <w:r>
              <w:rPr>
                <w:rFonts w:hint="default" w:ascii="Times New Roman" w:hAnsi="Times New Roman" w:cs="Times New Roman"/>
                <w:bCs/>
                <w:color w:val="FF0000"/>
                <w:kern w:val="2"/>
                <w:sz w:val="24"/>
                <w:szCs w:val="28"/>
                <w:lang w:val="zh-CN" w:eastAsia="zh-CN"/>
              </w:rPr>
              <w:t>cm/s），或2mm厚高密度聚乙烯，或至少2mm厚的其它人工材料，但渗透系数≤1.0×10</w:t>
            </w:r>
            <w:r>
              <w:rPr>
                <w:rFonts w:hint="default" w:ascii="Times New Roman" w:hAnsi="Times New Roman" w:cs="Times New Roman"/>
                <w:bCs/>
                <w:color w:val="FF0000"/>
                <w:kern w:val="2"/>
                <w:sz w:val="24"/>
                <w:szCs w:val="28"/>
                <w:vertAlign w:val="superscript"/>
                <w:lang w:val="zh-CN" w:eastAsia="zh-CN"/>
              </w:rPr>
              <w:t>-10</w:t>
            </w:r>
            <w:r>
              <w:rPr>
                <w:rFonts w:hint="default" w:ascii="Times New Roman" w:hAnsi="Times New Roman" w:cs="Times New Roman"/>
                <w:bCs/>
                <w:color w:val="FF0000"/>
                <w:kern w:val="2"/>
                <w:sz w:val="24"/>
                <w:szCs w:val="28"/>
                <w:lang w:val="zh-CN" w:eastAsia="zh-CN"/>
              </w:rPr>
              <w:t>cm/s。</w:t>
            </w:r>
          </w:p>
          <w:p>
            <w:pPr>
              <w:spacing w:line="360" w:lineRule="auto"/>
              <w:ind w:firstLine="480" w:firstLineChars="200"/>
              <w:jc w:val="both"/>
              <w:rPr>
                <w:rFonts w:hint="default" w:ascii="Times New Roman" w:hAnsi="Times New Roman" w:cs="Times New Roman"/>
                <w:bCs/>
                <w:color w:val="FF0000"/>
                <w:kern w:val="2"/>
                <w:sz w:val="24"/>
                <w:szCs w:val="28"/>
                <w:lang w:val="zh-CN" w:eastAsia="zh-CN"/>
              </w:rPr>
            </w:pPr>
            <w:r>
              <w:rPr>
                <w:rFonts w:hint="default" w:ascii="Times New Roman" w:hAnsi="Times New Roman" w:cs="Times New Roman"/>
                <w:bCs/>
                <w:color w:val="FF0000"/>
                <w:kern w:val="2"/>
                <w:sz w:val="24"/>
                <w:szCs w:val="28"/>
                <w:lang w:val="zh-CN" w:eastAsia="zh-CN"/>
              </w:rPr>
              <w:fldChar w:fldCharType="begin"/>
            </w:r>
            <w:r>
              <w:rPr>
                <w:rFonts w:hint="default" w:ascii="Times New Roman" w:hAnsi="Times New Roman" w:cs="Times New Roman"/>
                <w:bCs/>
                <w:color w:val="FF0000"/>
                <w:kern w:val="2"/>
                <w:sz w:val="24"/>
                <w:szCs w:val="28"/>
                <w:lang w:val="zh-CN" w:eastAsia="zh-CN"/>
              </w:rPr>
              <w:instrText xml:space="preserve"> = 3 \* GB2 </w:instrText>
            </w:r>
            <w:r>
              <w:rPr>
                <w:rFonts w:hint="default" w:ascii="Times New Roman" w:hAnsi="Times New Roman" w:cs="Times New Roman"/>
                <w:bCs/>
                <w:color w:val="FF0000"/>
                <w:kern w:val="2"/>
                <w:sz w:val="24"/>
                <w:szCs w:val="28"/>
                <w:lang w:val="zh-CN" w:eastAsia="zh-CN"/>
              </w:rPr>
              <w:fldChar w:fldCharType="separate"/>
            </w:r>
            <w:r>
              <w:rPr>
                <w:rFonts w:hint="default" w:ascii="Times New Roman" w:hAnsi="Times New Roman" w:cs="Times New Roman"/>
                <w:bCs/>
                <w:color w:val="FF0000"/>
                <w:kern w:val="2"/>
                <w:sz w:val="24"/>
                <w:szCs w:val="28"/>
                <w:lang w:val="zh-CN" w:eastAsia="zh-CN"/>
              </w:rPr>
              <w:t>⑶</w:t>
            </w:r>
            <w:r>
              <w:rPr>
                <w:rFonts w:hint="default" w:ascii="Times New Roman" w:hAnsi="Times New Roman" w:cs="Times New Roman"/>
                <w:bCs/>
                <w:color w:val="FF0000"/>
                <w:kern w:val="2"/>
                <w:sz w:val="24"/>
                <w:szCs w:val="28"/>
                <w:lang w:val="zh-CN" w:eastAsia="zh-CN"/>
              </w:rPr>
              <w:fldChar w:fldCharType="end"/>
            </w:r>
            <w:r>
              <w:rPr>
                <w:rFonts w:hint="default" w:ascii="Times New Roman" w:hAnsi="Times New Roman" w:cs="Times New Roman"/>
                <w:bCs/>
                <w:color w:val="FF0000"/>
                <w:kern w:val="2"/>
                <w:sz w:val="24"/>
                <w:szCs w:val="28"/>
                <w:lang w:val="zh-CN" w:eastAsia="zh-CN"/>
              </w:rPr>
              <w:t>环评建议项目应根据相关的标准规范要求，对项目采取的各类设备设施加强日常维护，发生故障时及时发现及时进行维修，以防止污染下风向土壤。同时土壤污染物可通过生物降解或植物吸收而净化土壤，也可以在厂区空闲区域进行人工栽植适应评价区环境的灌木、草地等植被，以减少对周边土壤环境的影响。</w:t>
            </w:r>
          </w:p>
          <w:p>
            <w:pPr>
              <w:pStyle w:val="10"/>
              <w:rPr>
                <w:rFonts w:hint="default" w:ascii="Times New Roman" w:hAnsi="Times New Roman" w:cs="Times New Roman"/>
                <w:lang w:eastAsia="zh-CN"/>
              </w:rPr>
            </w:pPr>
          </w:p>
          <w:p>
            <w:pPr>
              <w:spacing w:line="360" w:lineRule="auto"/>
              <w:rPr>
                <w:rFonts w:hint="default" w:ascii="Times New Roman" w:hAnsi="Times New Roman" w:eastAsia="宋体" w:cs="Times New Roman"/>
                <w:b/>
                <w:bCs/>
                <w:color w:val="auto"/>
                <w:sz w:val="24"/>
                <w:szCs w:val="28"/>
              </w:rPr>
            </w:pPr>
            <w:r>
              <w:rPr>
                <w:rFonts w:hint="default"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8"/>
                <w:lang w:eastAsia="zh-CN"/>
              </w:rPr>
              <w:t>环境风险评价</w:t>
            </w:r>
            <w:r>
              <w:rPr>
                <w:rFonts w:hint="default" w:ascii="Times New Roman" w:hAnsi="Times New Roman" w:eastAsia="宋体" w:cs="Times New Roman"/>
                <w:b/>
                <w:bCs/>
                <w:color w:val="auto"/>
                <w:sz w:val="24"/>
                <w:szCs w:val="28"/>
              </w:rPr>
              <w:t>分析</w:t>
            </w:r>
          </w:p>
          <w:p>
            <w:pPr>
              <w:pStyle w:val="40"/>
              <w:spacing w:line="360" w:lineRule="auto"/>
              <w:ind w:firstLine="482" w:firstLineChars="200"/>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val="en-US" w:eastAsia="zh-CN"/>
              </w:rPr>
              <w:t>7</w:t>
            </w:r>
            <w:r>
              <w:rPr>
                <w:rFonts w:hint="default" w:ascii="Times New Roman" w:hAnsi="Times New Roman" w:eastAsia="宋体" w:cs="Times New Roman"/>
                <w:b/>
                <w:bCs/>
                <w:color w:val="auto"/>
                <w:sz w:val="24"/>
                <w:lang w:eastAsia="zh-CN"/>
              </w:rPr>
              <w:t>.1环境风险评价依据</w:t>
            </w:r>
          </w:p>
          <w:p>
            <w:pPr>
              <w:pStyle w:val="4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（1）风险调查</w:t>
            </w:r>
          </w:p>
          <w:p>
            <w:pPr>
              <w:spacing w:line="360" w:lineRule="auto"/>
              <w:ind w:firstLine="504" w:firstLineChars="200"/>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依据《建设项目环境风险评价技术导则》（HJ169-2018）表 B.1可知，本项目在生产过程中涉及的主要风险物质为盐酸、硫酸、硝酸、磷酸、乙醇、氨水、丙酮、硫酸汞</w:t>
            </w:r>
            <w:r>
              <w:rPr>
                <w:rFonts w:hint="default" w:ascii="Times New Roman" w:hAnsi="Times New Roman" w:eastAsia="宋体" w:cs="Times New Roman"/>
                <w:color w:val="auto"/>
                <w:spacing w:val="6"/>
                <w:sz w:val="24"/>
                <w:lang w:eastAsia="zh-CN"/>
              </w:rPr>
              <w:t>等</w:t>
            </w:r>
            <w:r>
              <w:rPr>
                <w:rFonts w:hint="default" w:ascii="Times New Roman" w:hAnsi="Times New Roman" w:eastAsia="宋体" w:cs="Times New Roman"/>
                <w:color w:val="auto"/>
                <w:spacing w:val="6"/>
                <w:sz w:val="24"/>
              </w:rPr>
              <w:t>。主要分布在实验室、试剂室内，这些物质在运输、储存、使用过程中具有一定的环境风险。本项目涉及的主要危险物质及其临界量见下表。</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（2）风险潜势初判</w:t>
            </w:r>
          </w:p>
          <w:p>
            <w:pPr>
              <w:pStyle w:val="40"/>
              <w:spacing w:line="360" w:lineRule="auto"/>
              <w:ind w:firstLine="448"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8"/>
                <w:sz w:val="24"/>
                <w:szCs w:val="24"/>
              </w:rPr>
              <w:t>根据《建设项目环境风险评价技术导则》</w:t>
            </w:r>
            <w:r>
              <w:rPr>
                <w:rFonts w:hint="default" w:ascii="Times New Roman" w:hAnsi="Times New Roman" w:eastAsia="宋体" w:cs="Times New Roman"/>
                <w:color w:val="auto"/>
                <w:sz w:val="24"/>
                <w:szCs w:val="24"/>
              </w:rPr>
              <w:t>（HJ169-2018）</w:t>
            </w:r>
            <w:r>
              <w:rPr>
                <w:rFonts w:hint="default" w:ascii="Times New Roman" w:hAnsi="Times New Roman" w:eastAsia="宋体" w:cs="Times New Roman"/>
                <w:color w:val="auto"/>
                <w:spacing w:val="-2"/>
                <w:sz w:val="24"/>
                <w:szCs w:val="24"/>
              </w:rPr>
              <w:t xml:space="preserve">当存在多种危险物质时， </w:t>
            </w:r>
            <w:r>
              <w:rPr>
                <w:rFonts w:hint="default" w:ascii="Times New Roman" w:hAnsi="Times New Roman" w:eastAsia="宋体" w:cs="Times New Roman"/>
                <w:color w:val="auto"/>
                <w:sz w:val="24"/>
                <w:szCs w:val="24"/>
              </w:rPr>
              <w:t>则按式（C.1）计算物质总量与其临界量比值（Q）：</w:t>
            </w:r>
          </w:p>
          <w:p>
            <w:pPr>
              <w:pStyle w:val="40"/>
              <w:spacing w:line="360" w:lineRule="auto"/>
              <w:ind w:firstLine="480" w:firstLineChars="2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drawing>
                <wp:inline distT="0" distB="0" distL="114300" distR="114300">
                  <wp:extent cx="1083310" cy="285750"/>
                  <wp:effectExtent l="0" t="0" r="254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a:stretch>
                            <a:fillRect/>
                          </a:stretch>
                        </pic:blipFill>
                        <pic:spPr>
                          <a:xfrm>
                            <a:off x="0" y="0"/>
                            <a:ext cx="1083310" cy="285750"/>
                          </a:xfrm>
                          <a:prstGeom prst="rect">
                            <a:avLst/>
                          </a:prstGeom>
                          <a:noFill/>
                          <a:ln>
                            <a:noFill/>
                          </a:ln>
                        </pic:spPr>
                      </pic:pic>
                    </a:graphicData>
                  </a:graphic>
                </wp:inline>
              </w:drawing>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式中：q1、q2……qn——每种危险物质的最大存在总量，t；</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Q1、Q2……Qn——每种危险物质的临界量，t。当 Q＜1 时，该项目环境风险潜势为Ⅰ。</w:t>
            </w:r>
          </w:p>
          <w:p>
            <w:pPr>
              <w:pStyle w:val="40"/>
              <w:spacing w:line="360" w:lineRule="auto"/>
              <w:ind w:firstLine="356"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1"/>
                <w:sz w:val="24"/>
                <w:szCs w:val="24"/>
              </w:rPr>
              <w:t xml:space="preserve">当 </w:t>
            </w:r>
            <w:r>
              <w:rPr>
                <w:rFonts w:hint="default" w:ascii="Times New Roman" w:hAnsi="Times New Roman" w:eastAsia="宋体" w:cs="Times New Roman"/>
                <w:color w:val="auto"/>
                <w:sz w:val="24"/>
                <w:szCs w:val="24"/>
              </w:rPr>
              <w:t xml:space="preserve">Q≥1 </w:t>
            </w:r>
            <w:r>
              <w:rPr>
                <w:rFonts w:hint="default" w:ascii="Times New Roman" w:hAnsi="Times New Roman" w:eastAsia="宋体" w:cs="Times New Roman"/>
                <w:color w:val="auto"/>
                <w:spacing w:val="-16"/>
                <w:sz w:val="24"/>
                <w:szCs w:val="24"/>
              </w:rPr>
              <w:t xml:space="preserve">时，将 </w:t>
            </w:r>
            <w:r>
              <w:rPr>
                <w:rFonts w:hint="default" w:ascii="Times New Roman" w:hAnsi="Times New Roman" w:eastAsia="宋体" w:cs="Times New Roman"/>
                <w:color w:val="auto"/>
                <w:sz w:val="24"/>
                <w:szCs w:val="24"/>
              </w:rPr>
              <w:t>Q 值划分为：（1）1≤Q＜10；（2）10≤Q＜100；（3）Q≥100。</w:t>
            </w:r>
            <w:r>
              <w:rPr>
                <w:rFonts w:hint="default" w:ascii="Times New Roman" w:hAnsi="Times New Roman" w:eastAsia="宋体" w:cs="Times New Roman"/>
                <w:color w:val="auto"/>
                <w:spacing w:val="-13"/>
                <w:sz w:val="24"/>
                <w:szCs w:val="24"/>
              </w:rPr>
              <w:t xml:space="preserve">” </w:t>
            </w:r>
            <w:r>
              <w:rPr>
                <w:rFonts w:hint="default" w:ascii="Times New Roman" w:hAnsi="Times New Roman" w:eastAsia="宋体" w:cs="Times New Roman"/>
                <w:color w:val="auto"/>
                <w:spacing w:val="-5"/>
                <w:sz w:val="24"/>
                <w:szCs w:val="24"/>
              </w:rPr>
              <w:t xml:space="preserve">根据项目风险源调查，项目 </w:t>
            </w:r>
            <w:r>
              <w:rPr>
                <w:rFonts w:hint="default" w:ascii="Times New Roman" w:hAnsi="Times New Roman" w:eastAsia="宋体" w:cs="Times New Roman"/>
                <w:color w:val="auto"/>
                <w:sz w:val="24"/>
                <w:szCs w:val="24"/>
              </w:rPr>
              <w:t>Q 值计算结果如下表：</w:t>
            </w:r>
          </w:p>
          <w:p>
            <w:pPr>
              <w:pStyle w:val="24"/>
              <w:spacing w:before="0" w:after="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表</w:t>
            </w:r>
            <w:r>
              <w:rPr>
                <w:rFonts w:hint="default" w:ascii="Times New Roman" w:hAnsi="Times New Roman" w:eastAsia="宋体" w:cs="Times New Roman"/>
                <w:color w:val="auto"/>
                <w:sz w:val="21"/>
                <w:lang w:eastAsia="zh-CN"/>
              </w:rPr>
              <w:t>4-10     危险物质数量与临界量比值（Q）计算结果一览表</w:t>
            </w:r>
          </w:p>
          <w:tbl>
            <w:tblPr>
              <w:tblStyle w:val="27"/>
              <w:tblW w:w="859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02"/>
              <w:gridCol w:w="1522"/>
              <w:gridCol w:w="1826"/>
              <w:gridCol w:w="1607"/>
              <w:gridCol w:w="923"/>
              <w:gridCol w:w="11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931"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危险物质特性</w:t>
                  </w: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危险物质名称</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CAS号</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最大存在总量</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qn /t</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临界量 Qn /t</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该种危险物</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 Q 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3" w:hRule="atLeast"/>
                <w:jc w:val="center"/>
              </w:trPr>
              <w:tc>
                <w:tcPr>
                  <w:tcW w:w="931" w:type="pct"/>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易燃物质</w:t>
                  </w: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甲醇</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67-56-1</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0.0024</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正己烷</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110-54-3</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w:t>
                  </w:r>
                  <w:r>
                    <w:rPr>
                      <w:rFonts w:hint="default" w:ascii="Times New Roman" w:hAnsi="Times New Roman" w:eastAsia="宋体" w:cs="Times New Roman"/>
                      <w:color w:val="auto"/>
                      <w:sz w:val="21"/>
                      <w:szCs w:val="21"/>
                      <w:lang w:eastAsia="zh-CN"/>
                    </w:rPr>
                    <w:t>65</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0.0006</w:t>
                  </w:r>
                  <w:r>
                    <w:rPr>
                      <w:rFonts w:hint="default" w:ascii="Times New Roman" w:hAnsi="Times New Roman" w:eastAsia="宋体" w:cs="Times New Roman"/>
                      <w:color w:val="auto"/>
                      <w:sz w:val="21"/>
                      <w:szCs w:val="21"/>
                      <w:lang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丙酮</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57-64-1</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w:t>
                  </w:r>
                  <w:r>
                    <w:rPr>
                      <w:rFonts w:hint="default" w:ascii="Times New Roman" w:hAnsi="Times New Roman" w:eastAsia="宋体" w:cs="Times New Roman"/>
                      <w:color w:val="auto"/>
                      <w:sz w:val="21"/>
                      <w:szCs w:val="21"/>
                      <w:lang w:eastAsia="zh-CN"/>
                    </w:rPr>
                    <w:t>788</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0.00079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3"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乙炔</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74-86-2</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0.047</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腐蚀性、强氧化性</w:t>
                  </w: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7664-93-9</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0.001</w:t>
                  </w:r>
                  <w:r>
                    <w:rPr>
                      <w:rFonts w:hint="default" w:ascii="Times New Roman" w:hAnsi="Times New Roman" w:eastAsia="宋体" w:cs="Times New Roman"/>
                      <w:color w:val="auto"/>
                      <w:sz w:val="21"/>
                      <w:szCs w:val="21"/>
                      <w:lang w:eastAsia="zh-CN"/>
                    </w:rPr>
                    <w:t>8</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0.0001</w:t>
                  </w:r>
                  <w:r>
                    <w:rPr>
                      <w:rFonts w:hint="default" w:ascii="Times New Roman" w:hAnsi="Times New Roman" w:eastAsia="宋体" w:cs="Times New Roman"/>
                      <w:color w:val="auto"/>
                      <w:sz w:val="21"/>
                      <w:szCs w:val="21"/>
                      <w:lang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硝酸</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7697-37-2</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0.000</w:t>
                  </w:r>
                  <w:r>
                    <w:rPr>
                      <w:rFonts w:hint="default" w:ascii="Times New Roman" w:hAnsi="Times New Roman" w:eastAsia="宋体" w:cs="Times New Roman"/>
                      <w:color w:val="auto"/>
                      <w:sz w:val="21"/>
                      <w:szCs w:val="21"/>
                      <w:lang w:eastAsia="zh-CN"/>
                    </w:rPr>
                    <w:t>36</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0.000</w:t>
                  </w:r>
                  <w:r>
                    <w:rPr>
                      <w:rFonts w:hint="default" w:ascii="Times New Roman" w:hAnsi="Times New Roman" w:eastAsia="宋体" w:cs="Times New Roman"/>
                      <w:color w:val="auto"/>
                      <w:sz w:val="21"/>
                      <w:szCs w:val="21"/>
                      <w:lang w:eastAsia="zh-CN"/>
                    </w:rPr>
                    <w:t>048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盐酸</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7647-01-0</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0.0046</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0.000061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氨水</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1336-21-6</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0.00064</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0.000064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4"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乙酸</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64-19-7</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0.0026</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0.00026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磷酸</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7664-38-2</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0.0014</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毒性物质</w:t>
                  </w: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三氯甲烷</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67-66-3</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0.0015</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31" w:type="pct"/>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88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四氯化碳</w:t>
                  </w:r>
                </w:p>
              </w:tc>
              <w:tc>
                <w:tcPr>
                  <w:tcW w:w="1062"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56-23-5</w:t>
                  </w:r>
                </w:p>
              </w:tc>
              <w:tc>
                <w:tcPr>
                  <w:tcW w:w="93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0.0016</w:t>
                  </w:r>
                </w:p>
              </w:tc>
              <w:tc>
                <w:tcPr>
                  <w:tcW w:w="53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0.00021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4350" w:type="pct"/>
                  <w:gridSpan w:val="5"/>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 Q值 Σ</w:t>
                  </w:r>
                </w:p>
              </w:tc>
              <w:tc>
                <w:tcPr>
                  <w:tcW w:w="64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0.0075</w:t>
                  </w:r>
                </w:p>
              </w:tc>
            </w:tr>
          </w:tbl>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由上表可知，Q&lt;1，该项目环境风险潜势为I。</w:t>
            </w:r>
          </w:p>
          <w:p>
            <w:pPr>
              <w:tabs>
                <w:tab w:val="left" w:pos="967"/>
              </w:tabs>
              <w:spacing w:after="2"/>
              <w:ind w:left="5"/>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color w:val="auto"/>
                <w:sz w:val="21"/>
                <w:lang w:eastAsia="zh-CN"/>
              </w:rPr>
              <w:t>4-11</w:t>
            </w:r>
            <w:r>
              <w:rPr>
                <w:rFonts w:hint="default" w:ascii="Times New Roman" w:hAnsi="Times New Roman" w:eastAsia="宋体" w:cs="Times New Roman"/>
                <w:b/>
                <w:color w:val="auto"/>
                <w:sz w:val="21"/>
              </w:rPr>
              <w:tab/>
            </w:r>
            <w:r>
              <w:rPr>
                <w:rFonts w:hint="default" w:ascii="Times New Roman" w:hAnsi="Times New Roman" w:eastAsia="宋体" w:cs="Times New Roman"/>
                <w:b/>
                <w:color w:val="auto"/>
                <w:sz w:val="21"/>
                <w:lang w:eastAsia="zh-CN"/>
              </w:rPr>
              <w:t xml:space="preserve">  </w:t>
            </w:r>
            <w:r>
              <w:rPr>
                <w:rFonts w:hint="default" w:ascii="Times New Roman" w:hAnsi="Times New Roman" w:eastAsia="宋体" w:cs="Times New Roman"/>
                <w:b/>
                <w:color w:val="auto"/>
                <w:sz w:val="21"/>
              </w:rPr>
              <w:t>评价工作等级划分</w:t>
            </w:r>
          </w:p>
          <w:tbl>
            <w:tblPr>
              <w:tblStyle w:val="27"/>
              <w:tblW w:w="86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897"/>
              <w:gridCol w:w="1793"/>
              <w:gridCol w:w="1459"/>
              <w:gridCol w:w="1725"/>
              <w:gridCol w:w="17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00" w:type="pct"/>
                  <w:tcBorders>
                    <w:tl2br w:val="nil"/>
                    <w:tr2bl w:val="nil"/>
                  </w:tcBorders>
                  <w:vAlign w:val="center"/>
                </w:tcPr>
                <w:p>
                  <w:pPr>
                    <w:pStyle w:val="40"/>
                    <w:spacing w:before="21"/>
                    <w:ind w:left="224" w:right="211"/>
                    <w:jc w:val="center"/>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环境风险潜势</w:t>
                  </w:r>
                </w:p>
              </w:tc>
              <w:tc>
                <w:tcPr>
                  <w:tcW w:w="1040" w:type="pct"/>
                  <w:tcBorders>
                    <w:tl2br w:val="nil"/>
                    <w:tr2bl w:val="nil"/>
                  </w:tcBorders>
                  <w:vAlign w:val="center"/>
                </w:tcPr>
                <w:p>
                  <w:pPr>
                    <w:pStyle w:val="40"/>
                    <w:spacing w:before="21"/>
                    <w:ind w:left="482" w:right="470"/>
                    <w:jc w:val="center"/>
                    <w:rPr>
                      <w:rFonts w:hint="default" w:ascii="Times New Roman" w:hAnsi="Times New Roman" w:eastAsia="宋体" w:cs="Times New Roman"/>
                      <w:bCs/>
                      <w:color w:val="auto"/>
                      <w:sz w:val="13"/>
                    </w:rPr>
                  </w:pPr>
                  <w:r>
                    <w:rPr>
                      <w:rFonts w:hint="default" w:ascii="Times New Roman" w:hAnsi="Times New Roman" w:eastAsia="宋体" w:cs="Times New Roman"/>
                      <w:bCs/>
                      <w:color w:val="auto"/>
                      <w:sz w:val="21"/>
                    </w:rPr>
                    <w:t>IV、IV</w:t>
                  </w:r>
                  <w:r>
                    <w:rPr>
                      <w:rFonts w:hint="default" w:ascii="Times New Roman" w:hAnsi="Times New Roman" w:eastAsia="宋体" w:cs="Times New Roman"/>
                      <w:bCs/>
                      <w:color w:val="auto"/>
                      <w:position w:val="7"/>
                      <w:sz w:val="13"/>
                    </w:rPr>
                    <w:t>+</w:t>
                  </w:r>
                </w:p>
              </w:tc>
              <w:tc>
                <w:tcPr>
                  <w:tcW w:w="846" w:type="pct"/>
                  <w:tcBorders>
                    <w:tl2br w:val="nil"/>
                    <w:tr2bl w:val="nil"/>
                  </w:tcBorders>
                  <w:vAlign w:val="center"/>
                </w:tcPr>
                <w:p>
                  <w:pPr>
                    <w:pStyle w:val="40"/>
                    <w:spacing w:before="35"/>
                    <w:ind w:right="743"/>
                    <w:jc w:val="center"/>
                    <w:rPr>
                      <w:rFonts w:hint="default" w:ascii="Times New Roman" w:hAnsi="Times New Roman" w:eastAsia="宋体" w:cs="Times New Roman"/>
                      <w:bCs/>
                      <w:color w:val="auto"/>
                      <w:sz w:val="21"/>
                    </w:rPr>
                  </w:pPr>
                  <w:r>
                    <w:rPr>
                      <w:rFonts w:hint="default" w:ascii="Times New Roman" w:hAnsi="Times New Roman" w:eastAsia="宋体" w:cs="Times New Roman"/>
                      <w:bCs/>
                      <w:color w:val="auto"/>
                      <w:w w:val="95"/>
                      <w:sz w:val="21"/>
                    </w:rPr>
                    <w:t>III</w:t>
                  </w:r>
                </w:p>
              </w:tc>
              <w:tc>
                <w:tcPr>
                  <w:tcW w:w="1000" w:type="pct"/>
                  <w:tcBorders>
                    <w:tl2br w:val="nil"/>
                    <w:tr2bl w:val="nil"/>
                  </w:tcBorders>
                  <w:vAlign w:val="center"/>
                </w:tcPr>
                <w:p>
                  <w:pPr>
                    <w:pStyle w:val="40"/>
                    <w:spacing w:before="35"/>
                    <w:ind w:left="436" w:right="424"/>
                    <w:jc w:val="center"/>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II</w:t>
                  </w:r>
                </w:p>
              </w:tc>
              <w:tc>
                <w:tcPr>
                  <w:tcW w:w="1011" w:type="pct"/>
                  <w:tcBorders>
                    <w:tl2br w:val="nil"/>
                    <w:tr2bl w:val="nil"/>
                  </w:tcBorders>
                  <w:vAlign w:val="center"/>
                </w:tcPr>
                <w:p>
                  <w:pPr>
                    <w:pStyle w:val="40"/>
                    <w:spacing w:before="35"/>
                    <w:ind w:left="8"/>
                    <w:jc w:val="center"/>
                    <w:rPr>
                      <w:rFonts w:hint="default" w:ascii="Times New Roman" w:hAnsi="Times New Roman" w:eastAsia="宋体" w:cs="Times New Roman"/>
                      <w:bCs/>
                      <w:color w:val="auto"/>
                      <w:sz w:val="21"/>
                    </w:rPr>
                  </w:pPr>
                  <w:r>
                    <w:rPr>
                      <w:rFonts w:hint="default" w:ascii="Times New Roman" w:hAnsi="Times New Roman" w:eastAsia="宋体" w:cs="Times New Roman"/>
                      <w:bCs/>
                      <w:color w:val="auto"/>
                      <w:w w:val="99"/>
                      <w:sz w:val="21"/>
                    </w:rPr>
                    <w:t>I</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1100" w:type="pct"/>
                  <w:tcBorders>
                    <w:tl2br w:val="nil"/>
                    <w:tr2bl w:val="nil"/>
                  </w:tcBorders>
                  <w:vAlign w:val="center"/>
                </w:tcPr>
                <w:p>
                  <w:pPr>
                    <w:pStyle w:val="40"/>
                    <w:spacing w:before="21"/>
                    <w:ind w:left="219" w:right="211"/>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评价工作等级</w:t>
                  </w:r>
                </w:p>
              </w:tc>
              <w:tc>
                <w:tcPr>
                  <w:tcW w:w="1040" w:type="pct"/>
                  <w:tcBorders>
                    <w:tl2br w:val="nil"/>
                    <w:tr2bl w:val="nil"/>
                  </w:tcBorders>
                  <w:vAlign w:val="center"/>
                </w:tcPr>
                <w:p>
                  <w:pPr>
                    <w:pStyle w:val="40"/>
                    <w:spacing w:before="21"/>
                    <w:ind w:left="8"/>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w w:val="99"/>
                      <w:sz w:val="21"/>
                    </w:rPr>
                    <w:t>一</w:t>
                  </w:r>
                </w:p>
              </w:tc>
              <w:tc>
                <w:tcPr>
                  <w:tcW w:w="846" w:type="pct"/>
                  <w:tcBorders>
                    <w:tl2br w:val="nil"/>
                    <w:tr2bl w:val="nil"/>
                  </w:tcBorders>
                  <w:vAlign w:val="center"/>
                </w:tcPr>
                <w:p>
                  <w:pPr>
                    <w:pStyle w:val="40"/>
                    <w:spacing w:before="21"/>
                    <w:ind w:right="762"/>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w w:val="99"/>
                      <w:sz w:val="21"/>
                    </w:rPr>
                    <w:t>二</w:t>
                  </w:r>
                </w:p>
              </w:tc>
              <w:tc>
                <w:tcPr>
                  <w:tcW w:w="1000" w:type="pct"/>
                  <w:tcBorders>
                    <w:tl2br w:val="nil"/>
                    <w:tr2bl w:val="nil"/>
                  </w:tcBorders>
                  <w:vAlign w:val="center"/>
                </w:tcPr>
                <w:p>
                  <w:pPr>
                    <w:pStyle w:val="40"/>
                    <w:spacing w:before="21"/>
                    <w:ind w:left="1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w w:val="99"/>
                      <w:sz w:val="21"/>
                    </w:rPr>
                    <w:t>三</w:t>
                  </w:r>
                </w:p>
              </w:tc>
              <w:tc>
                <w:tcPr>
                  <w:tcW w:w="1011" w:type="pct"/>
                  <w:tcBorders>
                    <w:tl2br w:val="nil"/>
                    <w:tr2bl w:val="nil"/>
                  </w:tcBorders>
                  <w:vAlign w:val="center"/>
                </w:tcPr>
                <w:p>
                  <w:pPr>
                    <w:pStyle w:val="40"/>
                    <w:spacing w:before="21"/>
                    <w:ind w:right="43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简单分析</w:t>
                  </w:r>
                </w:p>
              </w:tc>
            </w:tr>
          </w:tbl>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本项目涉及的危险物质Q值＜1，环境风险潜势为I，可开展简单分析，在描述危险物质、环境影响途径、环境危害后果、风险防范措施等方面给出定性的说明。</w:t>
            </w:r>
          </w:p>
          <w:p>
            <w:pPr>
              <w:pStyle w:val="40"/>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eastAsia="zh-CN"/>
              </w:rPr>
              <w:t>.2</w:t>
            </w:r>
            <w:r>
              <w:rPr>
                <w:rFonts w:hint="default" w:ascii="Times New Roman" w:hAnsi="Times New Roman" w:eastAsia="宋体" w:cs="Times New Roman"/>
                <w:b/>
                <w:bCs/>
                <w:color w:val="auto"/>
                <w:sz w:val="24"/>
                <w:szCs w:val="24"/>
              </w:rPr>
              <w:t>环境风险识别</w:t>
            </w:r>
          </w:p>
          <w:p>
            <w:pPr>
              <w:pStyle w:val="4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结合本项目所涉及的原辅料、污染物、废物等物质，本评价从物质危险性、储存、处理几个方面来进行环境风险识别。</w:t>
            </w:r>
          </w:p>
          <w:p>
            <w:pPr>
              <w:tabs>
                <w:tab w:val="left" w:pos="4235"/>
              </w:tabs>
              <w:spacing w:before="99" w:after="23"/>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color w:val="auto"/>
                <w:sz w:val="21"/>
                <w:lang w:eastAsia="zh-CN"/>
              </w:rPr>
              <w:t>4-12</w:t>
            </w:r>
            <w:r>
              <w:rPr>
                <w:rFonts w:hint="default" w:ascii="Times New Roman" w:hAnsi="Times New Roman" w:eastAsia="宋体" w:cs="Times New Roman"/>
                <w:b/>
                <w:color w:val="auto"/>
                <w:sz w:val="21"/>
              </w:rPr>
              <w:t xml:space="preserve"> </w:t>
            </w:r>
            <w:r>
              <w:rPr>
                <w:rFonts w:hint="default" w:ascii="Times New Roman" w:hAnsi="Times New Roman" w:eastAsia="宋体" w:cs="Times New Roman"/>
                <w:b/>
                <w:color w:val="auto"/>
                <w:sz w:val="21"/>
                <w:lang w:eastAsia="zh-CN"/>
              </w:rPr>
              <w:t xml:space="preserve">   化学试剂</w:t>
            </w:r>
            <w:r>
              <w:rPr>
                <w:rFonts w:hint="default" w:ascii="Times New Roman" w:hAnsi="Times New Roman" w:eastAsia="宋体" w:cs="Times New Roman"/>
                <w:b/>
                <w:color w:val="auto"/>
                <w:sz w:val="21"/>
              </w:rPr>
              <w:t>理化性质</w:t>
            </w:r>
          </w:p>
          <w:tbl>
            <w:tblPr>
              <w:tblStyle w:val="27"/>
              <w:tblW w:w="859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0" w:type="dxa"/>
                <w:bottom w:w="0" w:type="dxa"/>
                <w:right w:w="0" w:type="dxa"/>
              </w:tblCellMar>
            </w:tblPr>
            <w:tblGrid>
              <w:gridCol w:w="405"/>
              <w:gridCol w:w="1076"/>
              <w:gridCol w:w="1087"/>
              <w:gridCol w:w="3955"/>
              <w:gridCol w:w="207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3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试剂</w:t>
                  </w:r>
                </w:p>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理化性质、爆炸性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氢氧化钠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NaOH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俗称烧碱、火碱、苛性钠，纯品是无色透明的晶体，具有高腐蚀性、潮解性；密度2.130、熔点318.4℃、沸点1390℃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：无资料；刺激性：家兔经眼：1%重度刺激；家兔经皮：50mg/24小时，重度刺激</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2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氢氧化钾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白色粉末或片状固体，具强碱性及腐蚀性，溶于水，能溶于乙醇和甘油。相对密度2.044。熔点380℃（无水）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p>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：1230mg/kg(大鼠经口)；LC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氢氧化铝</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Al(OH)</w:t>
                  </w:r>
                  <w:r>
                    <w:rPr>
                      <w:rFonts w:hint="default" w:ascii="Times New Roman" w:hAnsi="Times New Roman" w:eastAsia="宋体" w:cs="Times New Roman"/>
                      <w:color w:val="auto"/>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固态，是铝的氢氧化物。是一种碱，由于又显一定的酸性，所以又可称之为一水合偏铝酸（HAlO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O）</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p>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氢氧化钡</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Ba(OH)</w:t>
                  </w:r>
                  <w:r>
                    <w:rPr>
                      <w:rFonts w:hint="default" w:ascii="Times New Roman" w:hAnsi="Times New Roman" w:eastAsia="宋体" w:cs="Times New Roman"/>
                      <w:color w:val="auto"/>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无色透明结晶或白色粉末。可溶于水和甲醇，微溶于乙醇，几乎不溶于丙酮。相对密度2.188，熔点78℃，折光率1.471；有毒、有腐蚀性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color w:val="auto"/>
                      <w:sz w:val="21"/>
                      <w:szCs w:val="21"/>
                    </w:rPr>
                  </w:pPr>
                </w:p>
                <w:p>
                  <w:pPr>
                    <w:pStyle w:val="40"/>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：255mg/kg(小鼠腹腔)；LC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碳酸钙</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vertAlign w:val="subscript"/>
                      <w:lang w:eastAsia="zh-CN"/>
                    </w:rPr>
                  </w:pPr>
                  <w:r>
                    <w:rPr>
                      <w:rFonts w:hint="default" w:ascii="Times New Roman" w:hAnsi="Times New Roman" w:eastAsia="宋体" w:cs="Times New Roman"/>
                      <w:sz w:val="21"/>
                      <w:szCs w:val="21"/>
                      <w:lang w:eastAsia="zh-CN"/>
                    </w:rPr>
                    <w:t>CaCO</w:t>
                  </w:r>
                  <w:r>
                    <w:rPr>
                      <w:rFonts w:hint="default" w:ascii="Times New Roman" w:hAnsi="Times New Roman" w:eastAsia="宋体" w:cs="Times New Roman"/>
                      <w:sz w:val="21"/>
                      <w:szCs w:val="21"/>
                      <w:vertAlign w:val="subscript"/>
                      <w:lang w:eastAsia="zh-CN"/>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白色微细结晶粉末，无臭无味，能吸收臭气。熔点（ºC）：1339℃825-896.6</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急性毒性：LD50：6450mg/Kg（大白鼠经口），对眼睛有强烈刺激作用，对皮肤有中度刺激作用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盐酸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俗称氢氯酸，为一元强酸，具有刺激性气味。熔点（℃）：</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-114.8（纯HCl），沸点（℃）：</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108.6（20%恒沸溶液），相对密度(水=1)：1.20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：无资料；慢性影响：长期接触，引起慢性鼻炎、慢性支气管炎、牙齿酸蚀及皮肤损害</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硝酸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HNO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是一种强氧化性、腐蚀性的强酸。相对密度(d204)1.41，熔点-42℃（无水），沸点120.5℃（68%）</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：无资料；强氧化剂，能与多种物质猛烈反应，甚至发生爆炸</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是一种常见的无机酸，是中强酸。白色固体或者无色粘稠液体（&gt;42℃），密度：1.685g/ml（液体状态），熔点：42.35℃（316K），沸点：158℃（431K）</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：1530mg/kg(大鼠经口)；2740mg/kg(兔经皮)LC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03"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透明无色无臭液体，一种最活泼的二元无机强酸，沸点338℃，相对密度1.84</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：2140mg/kg(大鼠经口)；LC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：510mg/m</w:t>
                  </w:r>
                  <w:r>
                    <w:rPr>
                      <w:rFonts w:hint="default" w:ascii="Times New Roman" w:hAnsi="Times New Roman" w:eastAsia="宋体" w:cs="Times New Roman"/>
                      <w:sz w:val="21"/>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高氯酸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HClO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无机化合物，六大无机强酸之一。无水物为无色透明的发烟液体。可助燃，具强腐蚀性、强刺激性。熔点(℃)：-122，相对密度（水=1）：1.76，沸点：203℃</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:1100mg/kg(大鼠经口)；</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硼酸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BO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为白色粉末状结晶或三斜轴面鳞片状光泽结晶，有滑腻手感，无臭味。溶于水、酒精、甘油、醚类及香精油中，水溶液呈弱酸性。熔点：169℃，沸点：300℃，密度：1.43</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:2660mg/kg(大鼠经口)；LC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42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淀粉</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)n</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是葡萄糖的高聚体，白色粉末；无臭。在冷水或乙醇中均不溶解</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9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亚硝酸钠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rPr>
                    <w:t>NaNO</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式：白色至浅黄色粒状、棒状或粉末。有吸湿性。加热至320℃以上分解。在空气中慢慢氧化为硝酸钠。遇弱酸分解放出棕色三氧化二氮气体。溶于1.5份冷水、0.6份沸水，微溶于乙醇。水溶液呈碱性，pH约9。相对密度2.17。熔点271℃。有氧化性，与有机物接触能燃烧和爆炸，并放出有毒和刺激性的过氧化氮和氧化氮的气体</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:180mg/kg(大鼠经口)；LC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45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氯化钙</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CaCl</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立方结晶体，白色或灰白色，有粒状、蜂窝块状、圆球状、不规则颗粒状、粉末状。无毒、无臭、味微苦。吸湿性极强，暴露于空气中极易潮解。易溶于水，同时放出大量的热（氯化钙的溶解焓为-176.2cal/g），其水溶液呈微碱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：1000mg/kg(大鼠经口)；LC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无水硫酸钠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白色均匀细颗粒或粉末。无嗅，味咸而带苦。密度：2.68g/cm3。熔点884℃。易溶于水，溶解度在0-30.4℃内随温度的升高而迅速增大。溶于甘油，不溶于乙醇。水溶液呈中性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:5989mg/kg(小鼠经口)；LC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氯化铵</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无色晶体或白色颗粒性粉末，无臭、味咸、容易吸潮的白色粉末或结晶颗粒，分子量:53.49；熔点:520℃；密度（水=1）:1.53；溶解性:微溶于乙醇，溶于水，溶于甘油</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：1650mg/kg(大鼠经口)；LC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乙醇</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无色液体,有酒香。主要用于制酒工业、有机合成、消毒以及</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作溶剂等。熔点：-114.1℃，沸点：78.3℃，饱和蒸汽压：5.8KPa/20℃；相对密度（水=1）：0.79；溶解性：溶于水，可混溶于醚、氯仿、甘油等多数有机溶剂。危险性类别：第3.2中闪点易燃液体。爆炸上限[%（V/V）]：19%</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：7060mg/kg(兔经口)；LC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：37620mg/m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，10小时(大鼠吸入)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磷酸二氢钠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结晶或白色结晶性粉末。无臭，味咸，酸。热至100℃失去全部结晶水，灼热变成偏磷酸钠。易溶于水，几乎不溶于乙醇，其水溶液呈酸性。0.1mol/L水溶液在25℃时的pH为4.5。相对密度1.915。熔点60℃。商品也有一分子结晶水的</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磷酸氢二钾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结晶或白色结晶性粉末。无臭，味咸，酸。热至100℃失去全部结晶水，灼热变成偏磷酸钠。易溶于水，几乎不溶于乙醇，其水溶液呈酸性。0.1mol/L水溶液在25℃时的pH为4.5。相对密度1.915。熔点60℃。商品也有一分子结晶水的</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碘化汞</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HgI</w:t>
                  </w:r>
                  <w:r>
                    <w:rPr>
                      <w:rFonts w:hint="default" w:ascii="Times New Roman" w:hAnsi="Times New Roman" w:eastAsia="宋体" w:cs="Times New Roman"/>
                      <w:sz w:val="21"/>
                      <w:szCs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一种是红色碘化汞，四角晶体，相对密度6.36g/cm³(25℃)。在127℃转变为黄色，冷却时再变为红色。一种是黄色碘化汞，正交晶体，相对密度6.094g/cm³(127℃)。熔点259℃。沸点354℃</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"https://baike.so.com/doc/6921075-7143035.html"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急性毒</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性:</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"https://baike.so.com/doc/5568176-5783336.html"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LC50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:18mg/kg(大鼠经</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"https://baike.so.com/doc/6701985-6915935.html"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LD50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:75mg/kg(大鼠经皮)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分子量:105.99；熔点（ºC）:851；密度（水=1）:2.53；溶解性:易溶于水，不溶于乙醇、乙醚等；外观与性状:白色粉末或细颗粒(无水纯品)，味涩</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：4090mg/kg（大鼠经口）LC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：2300mg/m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，2小时（大鼠吸入）；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47"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磷酸二氢钾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白色粉末，熔点（ºC）:8257.6；密度2.238；在空气中稳定，溶于水，不溶于乙醇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：无资料；眼接触后：微刺激；食用大量后：反胃、呕吐、胃痛、腹泻，一般不适感觉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异丙醇</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8</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无色透明液体，溶于水，也溶于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"https://baike.so.com/doc/18539-19230.html"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"https://baike.so.com/doc/1396101-1475990.html"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醚</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"https://baike.so.com/doc/3194557-3366490.html"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苯</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、氯仿等多数有机溶剂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急性毒性：LD50：5045mg/kg(大鼠经口)；12800mg/kg(兔经皮)LC50：无资料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硫代硫酸钠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硫代硫酸钠，又名次亚硫酸钠、大苏打、海波。它是无色透明的单斜晶体，密度1.667g/cm3。熔点48摄氏度</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：腹膜内的-老鼠</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-5200mg/kg；LC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硫酸镁</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常温下纯品为无色或微紫色的棱柱形晶体，工业品因含杂质常为粉红、棕红色、土黄色块。具有臭味。溶解于冷水，极易溶于热水，微溶于醇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：820mg/kg(小鼠经口)；950mg/kg(小鼠静注)；LC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常温下纯品为无色或微紫色的棱柱形晶体，工业品因含杂质常为粉红、棕红色、土黄色块。具有臭味。溶解于冷水，极易溶于热水，微溶于醇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：820mg/kg(小鼠经口)；950mg/kg(小鼠静注)；LC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无色立方结晶或细小结晶粉末，味咸。外观是白色晶体状，其来源主要是海水，是食盐的主要成分。易溶于水、甘油，微溶于乙醇（酒精）、液氨；不溶于浓盐酸。不纯的氯化钠在空气中有潮解性。稳定性比较好</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：3000mg/kg(oral，rat)；10000mg/kg(dermal，rabbit)；LC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四氯乙烯</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室温下是不易燃的液体。容易挥发，有刺激的甜味</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半数致死量（LD50）：</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（大鼠，经口）13g/kg；</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（小鼠，经口）8.4g/kg</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C₆H₆</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苯沸点为80.1℃，熔点为5.5℃，在常温下为一种高度易燃，有香味的无色的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"https://baike.so.com/doc/5944437-6157371.html"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液体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，为一种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"https://baike.so.com/doc/1104012-1168170.html"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有</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机化合物，也是组成结构最简单的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"https://baike.so.com/doc/1210869-1280884.html"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芳香烃</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。苯有高的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"https://baike.so.com/doc/5993718-6206689.html"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毒性</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，也是一种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"https://baike.so.com/doc/2620622-2767138.html"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致癌</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物质。它难溶于水，且密度小于水，易溶于有机溶剂，本身也可作为有机溶剂。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急性毒性：口服-大鼠LD50:930毫克/公斤;口服-小鼠LD50:4700毫克/公斤(溶剂苯)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KCl</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密度(水=1)（固体）：1.98；熔点：770℃；外观：白色结晶或结晶性粉末；沸点：1500℃（部分会升华）；溶解性：1g溶于2.8ml水、1.8ml沸水、14ml甘油、约250ml乙醇，不溶于乙醚、丙酮和盐酸，氯化镁、氯化钠能降低其在水中溶解度</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：2600mg/kg(大鼠经口)，LC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：无资料；眼睛接触后：微刺激</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三氯化铁</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FeCl</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与性状：黑棕色结晶，也有薄片状；熔点(℃)：306；沸点(℃)：319；临界温度(℃)：315；闪点(℃)：无意义；溶解性：易溶于水，不溶于甘油，易溶于甲醇、乙醇、丙酮、乙醚；相对密度(水=1)：2.90；相对蒸气密度(空气=1)：5.61；分子量：162.21；主要用途：用作饮水和废水的处理剂，染料工业的氧化剂和媒染剂，有机合成的催化剂和氧化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：1872mg/kg(大鼠经口)；LC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亚甲基蓝</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16</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18</w:t>
                  </w:r>
                  <w:r>
                    <w:rPr>
                      <w:rFonts w:hint="default" w:ascii="Times New Roman" w:hAnsi="Times New Roman" w:eastAsia="宋体" w:cs="Times New Roman"/>
                      <w:sz w:val="21"/>
                      <w:szCs w:val="21"/>
                    </w:rPr>
                    <w:t>CIN</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S</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为深绿色青铜光泽结晶（三水合物），熔点215ºC，闪点14℃，密度1g/mL。可溶于水/乙醇，不溶于醚类。亚甲基蓝在空气中较稳定，其水溶液呈碱性，有毒。亚甲基蓝广泛应用于化学指示剂、染料、生物染色剂和药物等方面</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：1180mg/kg(大鼠经口)；LC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06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CH₃COOH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乙酸在常温下是一种有强烈刺激性酸味的无色液体。乙酸</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"https://baike.so.com/doc/367780-389604.html"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的熔点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为16.6℃（289.6K）。沸点117.9℃(391.2K）。相对</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"https://baike.so.com/doc/4210704-4411860.html"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密</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度1.05，</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"https://baike.so.com/doc/720555-762868.html"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闪点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39℃，</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"https://baike.so.com/doc/625906-662542.html"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爆炸极限</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4%～17%（体积）。纯的乙酸在低于熔点时会冻结成冰状</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"https://baike.so.com/doc/191492-202333.html"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晶</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体，所以无水乙酸又称为冰醋酸。乙酸易溶于水和乙醇，其水溶液呈弱酸性。乙酸盐也易溶于水，水溶液呈碱性。</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急性毒性[17]LD50：3530mg/kg（大鼠经口）；1060mg/kg（兔经皮）LC50：13791mg/m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（小鼠吸入，1h）</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乙二胺四乙酸二钠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C10H14N2Na2O8</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白色晶体状粉末，是一种重</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"https://baike.so.com/doc/6045856.html"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要络合剂</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。用于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"https://baike.so.com/doc/6562232.html"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化学镀铜</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、镀金、镀铅锡合金、钢铁件的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"https://baike.so.com/doc/6947575.html"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电化学</w:t>
                  </w:r>
                  <w:r>
                    <w:rPr>
                      <w:rFonts w:hint="default" w:ascii="Times New Roman" w:hAnsi="Times New Roman" w:eastAsia="宋体" w:cs="Times New Roman"/>
                      <w:sz w:val="21"/>
                      <w:szCs w:val="21"/>
                    </w:rPr>
                    <w:fldChar w:fldCharType="end"/>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抛光和铜件镀银前的溶液中，也可用EDTA-Na代替</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44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酒石酸钾钠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NaKC</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·4H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也称酒石酸钠钾、罗氏盐、罗谢尔盐，是酒石酸钠与酒石酸钾形成的复盐。它是无色至蓝白色正交晶系晶体，可溶于水，微溶于醇，味咸而凉，水溶液呈微碱性。60℃时开始失去结晶水，215℃时失去其全部结晶水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：无资料；本品无毒，对胃肠道有强烈刺激作用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24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丙酮</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香气味，极易挥发。熔点-94.6℃，沸点56.5℃，密度0.79，相对蒸汽密度1.59，与水混溶，可混溶于醚、氯仿、甘油等多数有机溶剂。爆炸上限13.0%（V/V），爆炸下限2.5%（V/V），闪点－20℃</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：5800mg/kg(大鼠经口)；20000mg/kg(兔经皮)；LC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060"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苯酚</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C₆H₆O</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又名石炭酸、羟基苯，是最简单的酚类有机物，一种弱酸。常温下为一种无色晶体，有毒。苯酚是一种常见的化学品，是生产某些树脂、杀菌剂、防腐剂以及药物（如阿司匹林）的重要原料。苯酚有腐蚀性，常温下微溶于水，易溶于有机溶液；当温度高于65℃时，能跟水以任意比例互溶。其溶液沾到皮肤上可用酒精洗涤，苯酚暴露在空气中呈粉红色。</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6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COONa</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三水合乙酸钠为无色透明或白色颗粒结晶，在空气中可被风化，可燃。易溶于水，微溶于乙醇，不溶于乙醚。123℃时失去结晶水。但是通常湿法制取的有醋酸的味道。水中发生</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"https://baike.so.com/doc/1558182-1647140.html"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水</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解</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大鼠经口LD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：3530mg/kg大鼠吸入LC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：&gt;30gm/m3/1H小鼠经口LD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：6891mg/kg</w:t>
                  </w:r>
                </w:p>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小鼠皮下LD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：3200mg/kg小鼠静脉注射LD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：1195mg/kg兔子皮肤LD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：&gt;10gm/kg兔子经静脉注射LD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：1300mg/kg</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水杨酸钠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7</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NaO</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CAS号为54-21-7，为白色鳞片状结晶或粉末，主治活动性风湿病、类风湿性关节炎及急等症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2264"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四氯化碳</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CCl</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观与性状：无色有特臭的透明液体，极易挥发；熔点(℃)：-22.6；沸点(℃)：76.8；相对密度(水=1)：1.6相对蒸气密度(空气=1)：5.3；饱和蒸气压(kPa)：13.33(23℃))；燃烧热(kJ/mol)：364.9；临界温度(℃)：283.2；临界压力(MPa)：45.58；辛醇/水分配系数的对数值：2.6；溶解性：微溶于水，易溶于多数有机溶剂；主要用途：用于有机合成、致冷剂、杀虫剂。亦作有机溶剂</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：2350mg/kg(大鼠经口)；5070mg/kg(大鼠经皮)；LC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：50400mg/m3，4小时(大鼠吸入)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三氯甲烷</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CHCl</w:t>
                  </w:r>
                  <w:r>
                    <w:rPr>
                      <w:rFonts w:hint="default" w:ascii="Times New Roman" w:hAnsi="Times New Roman" w:eastAsia="宋体" w:cs="Times New Roman"/>
                      <w:sz w:val="21"/>
                      <w:szCs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无色透明重质液体，易挥发，有特殊气味。沸点61.3℃，熔点-63.5℃，相对水密度1.50，不溶于水，溶于醇、醚、苯</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LD50：908mg/kg（大鼠经口）；LC50：47702mg/kg，4小时（大鼠吸入）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626"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42</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钼酸铵</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8</w:t>
                  </w:r>
                  <w:r>
                    <w:rPr>
                      <w:rFonts w:hint="default" w:ascii="Times New Roman" w:hAnsi="Times New Roman" w:eastAsia="宋体" w:cs="Times New Roman"/>
                      <w:sz w:val="21"/>
                      <w:szCs w:val="21"/>
                    </w:rPr>
                    <w:t>MoN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钼酸铵(又特种钼酸铵;(T-4)-钼酸铵;四钼酸铵;钼酸二铵;)易于纯化、易于溶解、易于热解离</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43</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CrO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黄色固体，是</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"https://baike.so.com/doc/5710042-7117149.html"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铬酸</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所成的钾盐，用于鉴别氯离子。铬酸钾中铬为六价，属于二级</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"https://baike.so.com/doc/5696479-5909184.html"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致癌物质</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，吸入或吞食会导致癌症。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44</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铁氰化钾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[Fe(CN)</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铁氰化钾是深红色</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"https://baike.so.com/doc/191492-202333.html"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晶体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(单斜、</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"https://baike.so.com/doc/6451532-6665216.html"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八面体</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)，水溶液呈黄色。熔点:300℃，573K，无特殊气味，:能溶于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"https://baike.so.com/doc/5342961-7116906.html"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水</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"https://baike.so.com/doc/252057-266820.html"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丙酮</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"https://baike.so.com/doc/3036121-3200992.html"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乙醇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，不溶于醋酸甲酯与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"https://baike.so.com/doc/717651-759720.html"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液氮</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45</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甲烷</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无色无味，比较稳定，与高锰酸钾等强氧化剂不反应，与强酸、强碱也不反应。但是在特定条件下，甲烷也会发生某些反应。</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急性毒性：小鼠吸入2%浓度×60分钟，麻醉作用；兔吸入2%浓度×60分钟，麻醉作用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3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46</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高锰酸钾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KMnO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分子量:158.03；熔点:240℃；密度:相对密度(水=1)2.7；蒸汽压:溶解性:溶于水、碱液，微溶于甲醇、丙酮、硫酸；外观与性状:深紫色细长斜方柱状结晶，有金属光泽。</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:1090mg/kg(大鼠经口)；LC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831"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47</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氨水</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OH</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分子式：NH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OH；分子量：35.05，熔点（℃）：-77，沸点（℃）：36，无色透明液体。有强烈的刺激性臭味。溶于水、醇</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：350mg/kg(大鼠经口)；LC</w:t>
                  </w:r>
                  <w:r>
                    <w:rPr>
                      <w:rFonts w:hint="default" w:ascii="Times New Roman" w:hAnsi="Times New Roman" w:eastAsia="宋体" w:cs="Times New Roman"/>
                      <w:sz w:val="21"/>
                      <w:szCs w:val="21"/>
                      <w:vertAlign w:val="subscript"/>
                    </w:rPr>
                    <w:t>50</w:t>
                  </w:r>
                  <w:r>
                    <w:rPr>
                      <w:rFonts w:hint="default" w:ascii="Times New Roman" w:hAnsi="Times New Roman" w:eastAsia="宋体" w:cs="Times New Roman"/>
                      <w:sz w:val="21"/>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PrEx>
              <w:trPr>
                <w:trHeight w:val="125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48</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无色或白色结晶、颗粒或粉末。无气味，味苦。质硬。</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"https://baike.so.com/doc/4543147-4753508.html"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化学性</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质不活泼。在空气中稳定。</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"https://baike.so.com/doc/4210704-4411860.html"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密</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度2.66g/cm。</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"https://baike.so.com/doc/367780-389604.html"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熔点</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1069℃。水溶液呈中性，常温下pH约为7。1g溶于8.3ml水、4ml沸水、75ml甘油，不溶于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"https://baike.so.com/doc/3036121-3200992.html" \h </w:instrText>
                  </w:r>
                  <w:r>
                    <w:rPr>
                      <w:rFonts w:hint="default" w:ascii="Times New Roman" w:hAnsi="Times New Roman" w:cs="Times New Roman"/>
                    </w:rPr>
                    <w:fldChar w:fldCharType="separate"/>
                  </w:r>
                  <w:r>
                    <w:rPr>
                      <w:rFonts w:hint="default" w:ascii="Times New Roman" w:hAnsi="Times New Roman" w:eastAsia="宋体" w:cs="Times New Roman"/>
                      <w:sz w:val="21"/>
                      <w:szCs w:val="21"/>
                    </w:rPr>
                    <w:t>乙醇</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855"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lang w:eastAsia="zh-CN"/>
                    </w:rPr>
                    <w:t>49</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硝酸钠</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NaNO</w:t>
                  </w:r>
                  <w:r>
                    <w:rPr>
                      <w:rFonts w:hint="default" w:ascii="Times New Roman" w:hAnsi="Times New Roman" w:eastAsia="宋体" w:cs="Times New Roman"/>
                      <w:sz w:val="21"/>
                      <w:vertAlign w:val="subscript"/>
                    </w:rPr>
                    <w:t>3</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熔点为306.8℃，密度为2.257g/cm</w:t>
                  </w:r>
                  <w:r>
                    <w:rPr>
                      <w:rFonts w:hint="default" w:ascii="Times New Roman" w:hAnsi="Times New Roman" w:eastAsia="宋体" w:cs="Times New Roman"/>
                      <w:sz w:val="13"/>
                    </w:rPr>
                    <w:t>3</w:t>
                  </w:r>
                  <w:r>
                    <w:rPr>
                      <w:rFonts w:hint="default" w:ascii="Times New Roman" w:hAnsi="Times New Roman" w:eastAsia="宋体" w:cs="Times New Roman"/>
                      <w:sz w:val="21"/>
                    </w:rPr>
                    <w:t>（20℃时），为无色透明或白微带黄色菱形晶体。其味苦咸，易溶于水和液氨，微溶于甘油和乙醇中，易潮解，特别在含有极少量氯化钠杂质时，硝酸钠潮解性就大为增加。当溶解于水时其溶液温度降低，溶液呈中性。在加热时，硝酸钠易成分解成亚硝酸钠和氧气</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LD</w:t>
                  </w:r>
                  <w:r>
                    <w:rPr>
                      <w:rFonts w:hint="default" w:ascii="Times New Roman" w:hAnsi="Times New Roman" w:eastAsia="宋体" w:cs="Times New Roman"/>
                      <w:sz w:val="21"/>
                      <w:vertAlign w:val="subscript"/>
                    </w:rPr>
                    <w:t>50</w:t>
                  </w:r>
                  <w:r>
                    <w:rPr>
                      <w:rFonts w:hint="default" w:ascii="Times New Roman" w:hAnsi="Times New Roman" w:eastAsia="宋体" w:cs="Times New Roman"/>
                      <w:sz w:val="21"/>
                    </w:rPr>
                    <w:t>：大鼠口服3236mg/kg体重；兔口服2680mg/kg体重。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01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lang w:eastAsia="zh-CN"/>
                    </w:rPr>
                    <w:t>50</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碘化钾</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KI</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白色立方结晶或粉末。在潮湿空气中微有吸湿性，久置析出游离碘而变成黄色，并能形成微量碘酸盐。密度3.123g/cm</w:t>
                  </w:r>
                  <w:r>
                    <w:rPr>
                      <w:rFonts w:hint="default" w:ascii="Times New Roman" w:hAnsi="Times New Roman" w:eastAsia="宋体" w:cs="Times New Roman"/>
                      <w:sz w:val="13"/>
                    </w:rPr>
                    <w:t>3</w:t>
                  </w:r>
                  <w:r>
                    <w:rPr>
                      <w:rFonts w:hint="default" w:ascii="Times New Roman" w:hAnsi="Times New Roman" w:eastAsia="宋体" w:cs="Times New Roman"/>
                      <w:sz w:val="21"/>
                    </w:rPr>
                    <w:t>，熔点681°C(954K)，沸点1330°C(1603K)</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LD</w:t>
                  </w:r>
                  <w:r>
                    <w:rPr>
                      <w:rFonts w:hint="default" w:ascii="Times New Roman" w:hAnsi="Times New Roman" w:eastAsia="宋体" w:cs="Times New Roman"/>
                      <w:sz w:val="21"/>
                      <w:vertAlign w:val="subscript"/>
                    </w:rPr>
                    <w:t>50</w:t>
                  </w:r>
                  <w:r>
                    <w:rPr>
                      <w:rFonts w:hint="default" w:ascii="Times New Roman" w:hAnsi="Times New Roman" w:eastAsia="宋体" w:cs="Times New Roman"/>
                      <w:sz w:val="21"/>
                    </w:rPr>
                    <w:t>：2779mg/kg（大鼠经口）</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0" w:type="dxa"/>
                  <w:bottom w:w="0" w:type="dxa"/>
                  <w:right w:w="0" w:type="dxa"/>
                </w:tblCellMar>
              </w:tblPrEx>
              <w:trPr>
                <w:trHeight w:val="1672" w:hRule="atLeast"/>
                <w:jc w:val="center"/>
              </w:trPr>
              <w:tc>
                <w:tcPr>
                  <w:tcW w:w="23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lang w:eastAsia="zh-CN"/>
                    </w:rPr>
                  </w:pPr>
                  <w:r>
                    <w:rPr>
                      <w:rFonts w:hint="default" w:ascii="Times New Roman" w:hAnsi="Times New Roman" w:eastAsia="宋体" w:cs="Times New Roman"/>
                      <w:sz w:val="23"/>
                      <w:lang w:eastAsia="zh-CN"/>
                    </w:rPr>
                    <w:t>51</w:t>
                  </w:r>
                </w:p>
              </w:tc>
              <w:tc>
                <w:tcPr>
                  <w:tcW w:w="626"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碘化汞</w:t>
                  </w:r>
                </w:p>
              </w:tc>
              <w:tc>
                <w:tcPr>
                  <w:tcW w:w="632"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HgI</w:t>
                  </w:r>
                  <w:r>
                    <w:rPr>
                      <w:rFonts w:hint="default" w:ascii="Times New Roman" w:hAnsi="Times New Roman" w:eastAsia="宋体" w:cs="Times New Roman"/>
                      <w:sz w:val="21"/>
                      <w:vertAlign w:val="subscript"/>
                    </w:rPr>
                    <w:t>2</w:t>
                  </w:r>
                </w:p>
              </w:tc>
              <w:tc>
                <w:tcPr>
                  <w:tcW w:w="2299"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四角晶体，相对密度6.36g/cm³</w:t>
                  </w:r>
                </w:p>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rPr>
                    <w:t>（25℃）。在127℃转变为黄色，冷却时再变为红色。一种是黄色碘化汞，正交晶体，相对密度6.094g/cm³（127℃）。熔点259℃。沸点354℃。在室温下不稳定，经过几小时后就转变为稳定的红色变体。不溶于水</w:t>
                  </w:r>
                </w:p>
              </w:tc>
              <w:tc>
                <w:tcPr>
                  <w:tcW w:w="1205" w:type="pct"/>
                  <w:tcBorders>
                    <w:tl2br w:val="nil"/>
                    <w:tr2bl w:val="nil"/>
                  </w:tcBorders>
                  <w:vAlign w:val="center"/>
                </w:tcPr>
                <w:p>
                  <w:pPr>
                    <w:pStyle w:val="40"/>
                    <w:autoSpaceDE w:val="0"/>
                    <w:autoSpaceDN w:val="0"/>
                    <w:jc w:val="center"/>
                    <w:rPr>
                      <w:rFonts w:hint="default" w:ascii="Times New Roman" w:hAnsi="Times New Roman" w:eastAsia="宋体" w:cs="Times New Roman"/>
                      <w:sz w:val="21"/>
                    </w:rPr>
                  </w:pPr>
                  <w:r>
                    <w:rPr>
                      <w:rFonts w:hint="default" w:ascii="Times New Roman" w:hAnsi="Times New Roman" w:eastAsia="宋体" w:cs="Times New Roman"/>
                      <w:sz w:val="21"/>
                      <w:u w:val="single"/>
                    </w:rPr>
                    <w:t>LC50</w:t>
                  </w:r>
                  <w:r>
                    <w:rPr>
                      <w:rFonts w:hint="default" w:ascii="Times New Roman" w:hAnsi="Times New Roman" w:eastAsia="宋体" w:cs="Times New Roman"/>
                      <w:sz w:val="21"/>
                    </w:rPr>
                    <w:t>：18mg/kg（大鼠经口）</w:t>
                  </w:r>
                </w:p>
              </w:tc>
            </w:tr>
          </w:tbl>
          <w:p>
            <w:pPr>
              <w:pStyle w:val="4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本项目环境风险识别情况详见下表。</w:t>
            </w:r>
          </w:p>
          <w:p>
            <w:pPr>
              <w:tabs>
                <w:tab w:val="left" w:pos="4235"/>
              </w:tabs>
              <w:spacing w:before="99" w:after="23"/>
              <w:jc w:val="center"/>
              <w:rPr>
                <w:rFonts w:hint="default" w:ascii="Times New Roman" w:hAnsi="Times New Roman" w:eastAsia="宋体" w:cs="Times New Roman"/>
                <w:b/>
                <w:sz w:val="21"/>
              </w:rPr>
            </w:pPr>
            <w:r>
              <w:rPr>
                <w:rFonts w:hint="default" w:ascii="Times New Roman" w:hAnsi="Times New Roman" w:eastAsia="宋体" w:cs="Times New Roman"/>
                <w:b/>
                <w:sz w:val="21"/>
              </w:rPr>
              <w:t>表</w:t>
            </w:r>
            <w:r>
              <w:rPr>
                <w:rFonts w:hint="default" w:ascii="Times New Roman" w:hAnsi="Times New Roman" w:eastAsia="宋体" w:cs="Times New Roman"/>
                <w:b/>
                <w:sz w:val="21"/>
                <w:lang w:eastAsia="zh-CN"/>
              </w:rPr>
              <w:t xml:space="preserve">4-13      </w:t>
            </w:r>
            <w:r>
              <w:rPr>
                <w:rFonts w:hint="default" w:ascii="Times New Roman" w:hAnsi="Times New Roman" w:eastAsia="宋体" w:cs="Times New Roman"/>
                <w:b/>
                <w:sz w:val="21"/>
              </w:rPr>
              <w:t>本项目环境风险识别情况一览表</w:t>
            </w:r>
          </w:p>
          <w:tbl>
            <w:tblPr>
              <w:tblStyle w:val="27"/>
              <w:tblW w:w="857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863"/>
              <w:gridCol w:w="2230"/>
              <w:gridCol w:w="1165"/>
              <w:gridCol w:w="222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4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风险源项</w:t>
                  </w: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主要危险物质</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事故类型</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事故原因</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环境影响途径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40" w:type="pct"/>
                  <w:vMerge w:val="restar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试剂间</w:t>
                  </w: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丙酮、甲醇、硫酸等</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试剂间易燃化学品泄</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露，遇明火发生火灾、爆炸</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误操作、设</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备、容器破损</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泄露后溢流、无组织挥发，火灾后有毒烟雾扩散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40" w:type="pct"/>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重铬酸钾、丙酮、</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三氯甲烷等</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试剂间内瓶装化学品</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误操作、容</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器破损</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泄露后溢流、渗透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64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气瓶存放区</w:t>
                  </w: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乙炔</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气瓶存放区易燃化学品泄露，遇明火发生火</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灾、爆炸</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误操作、设备、容器破</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损</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泄露后溢流、无组织挥发， 火灾后有毒烟雾扩散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4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废气处理</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w:t>
                  </w: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有机废气、无机废</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事故排放</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处理装置失</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64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危险废物暂存间</w:t>
                  </w:r>
                </w:p>
              </w:tc>
              <w:tc>
                <w:tcPr>
                  <w:tcW w:w="10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实验室废液、剩余水样、高浓度实验室废水等危险废物</w:t>
                  </w:r>
                </w:p>
              </w:tc>
              <w:tc>
                <w:tcPr>
                  <w:tcW w:w="129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危险废物暂存间盛装桶泄露</w:t>
                  </w:r>
                </w:p>
              </w:tc>
              <w:tc>
                <w:tcPr>
                  <w:tcW w:w="67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误操作、盛装桶破损</w:t>
                  </w:r>
                </w:p>
              </w:tc>
              <w:tc>
                <w:tcPr>
                  <w:tcW w:w="1294"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泄露后溢流、渗透</w:t>
                  </w:r>
                </w:p>
              </w:tc>
            </w:tr>
          </w:tbl>
          <w:p>
            <w:pPr>
              <w:pStyle w:val="4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6.3环境风险分析</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 1 \* GB3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rPr>
              <w:t>①</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泄漏事故情形设定</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本项目危险化学品贮存置于托盘上，有易燃易爆的化学品单独贮存于防爆柜内，有机废液、高浓度清洗废液等放置于盛装桶内，暂存于危险废物暂存间。 强酸（盐酸、硝酸等）泄漏时会伴随硝酸雾、盐酸雾等有毒有害烟雾产生，挥发性有机实验试剂（甲醇、乙醇、丙酮等）泄漏时会伴随有机废气废气产生，由于本项目实验试剂均为小瓶包装， 泄漏量较小，且泄漏发生时，应急人员能够及时采取措施，采用沙土吸收后转移至专用密闭容器交有资质的单位处置。</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因此发生泄漏事故时，泄漏物料能够得到有效控制，对周围环境的影响较小。</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 2 \* GB3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rPr>
              <w:t>②</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火灾事故情形设定</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当试剂间内发生易燃化学试剂（甲醇、乙醇、丙酮等）泄漏后，泄漏物料立即形成液池，一旦遇明火或高热能，可能会发生火灾。燃烧产物主要为二氧化碳、一氧化碳和水，一氧化碳会对附近企业员工及周边居民产生影响。</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试剂室内部设有视频监控设备以及火灾报警装置。火灾发生时值班人员能够及时发现报警，并通知应急人员佩戴个人防护用品，采用干粉灭火器、消防砂等进行灭火。事故结束后，再采用专用收集容器将受污染的消防砂收集后交有资质的单位处置。</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采取上述措施后，本项目易燃化学试剂发生火灾时能够及时得到控制，因此火灾产生的有毒废气对周围环境产生影响较小。</w:t>
            </w:r>
          </w:p>
          <w:p>
            <w:pPr>
              <w:pStyle w:val="40"/>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6.4环境风险管理要求</w:t>
            </w:r>
          </w:p>
          <w:p>
            <w:pPr>
              <w:pStyle w:val="40"/>
              <w:numPr>
                <w:ilvl w:val="0"/>
                <w:numId w:val="5"/>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加强危险化学品贮存过程中的管理：加强危险化学品管理，建立实验室危险化学品定期汇总登记制度，记录危险化学品种类和数量，并存档备查。根据危险化学品性能，分区分类存放，各类危险化学品不得与禁忌物料混合存放。</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①酸与碱分开放；</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②氧化性化学品与还原性化学品分开放；</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③有机物与无机物分开放；</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④易燃易爆的化学品应放在化学品安全柜（耐腐防爆柜）中，没有化学品安全柜的应放在通风阴凉的地方；</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⑤易燃易挥发有机试剂存放处不得有电开关，有机试剂挥发遇到电火花很可能发生爆炸；</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⑥特别注意强氧化剂不得与易燃有机试剂混放；</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⑦玻璃瓶装化学品、具有强腐蚀性化学品、大瓶化学品应放在试剂柜下层（便于取放的高度），塑料瓶装、小瓶装和质量轻的试剂可放在试剂柜上层；</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⑧按照相关要求设置灭火器等，做好防火防爆措施。</w:t>
            </w:r>
          </w:p>
          <w:p>
            <w:pPr>
              <w:pStyle w:val="40"/>
              <w:numPr>
                <w:ilvl w:val="0"/>
                <w:numId w:val="5"/>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加强危险化学品使用过程中的管理</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①实验室内严禁吸烟，使用一切加热工具均应严格遵守操作规程。</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②实验室应装有换气设备，并设通风橱，易挥发、有刺激性气味、有毒气产生的实验应在通风橱内进行，实验过程确保通风橱正常开启。</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③实验结束后，实验分析废液和危险废物应单独收集，定期交由有资质单位处理，不能倒入水槽内；</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④剩余的危险化学品必须回收。</w:t>
            </w:r>
          </w:p>
          <w:p>
            <w:pPr>
              <w:pStyle w:val="40"/>
              <w:numPr>
                <w:ilvl w:val="0"/>
                <w:numId w:val="5"/>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加强易制毒品贮存过程及使用过程中的管理</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贮存过程：易制毒药品须实行双人双锁保管制度，切实做好安全防盗工作，领用要严格签名登记。易制毒品应存入专门的仓库保管，储藏有毒药品的场所应保持干燥、通风、阴凉。</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使用过程：加强易制毒品中的管理：使用易制毒品的操作人员，必须穿戴好劳动防护用品，工作结束后必须更换工作服；盛装易制毒化学品的容器，使用前必须进行检查，消除隐患，防止火灾、爆炸、中毒等事故发生；使用易制毒品时必须有二人以上同时操作，投料计量必须经指定主操作人员复核，并做好记录。</w:t>
            </w:r>
          </w:p>
          <w:p>
            <w:pPr>
              <w:pStyle w:val="4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6.5环境风险防范措施</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（1）实验室应尽量采用无毒、无害或者低毒、低害的试剂，替代毒性大、危害严重的试剂；采用试剂利用率高、污染物产生量少的实验方法和设备；尽可能减少危险 化学品的使用，必须使用的，用采取有效的措施，降低排放量，并分类收集和处理，以降低其危险性。</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（2）实验室制定严格的实验操作规程，职工进行必要的安全培训，且进行有毒药 品等危险化学品实验，必须佩戴必要的防护措施，实验室内必须配备常用的医疗急救 药品等。</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（3）危险废物暂存地点地面及裙角应做耐腐蚀硬化、防渗漏处理，且表面无裂隙，所使用的材料要与危险废物相容；危险废物应储存与专用密闭容器中，并在容器外表 设置环境保护图形标志和警示标志；固体废物置场室内地面硬化处理。固体废物置场 室内地面和积水沟做防渗漏处理。一旦出现盛装液态固体废物的容器发生破裂或渗漏情况，马上修复或更换破损容器，积水沟内积存的液态物转抽至容器内保存。地面残留液体用布擦拭干净。出现泄露事故及时向有关部门通报。</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（4）实验室应配置相应灭火设备，并定期检查灭火状态及其有效期等。</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（5）定期进行安全环保宣传教育和紧急事故模拟演习，提高事故应变能力。</w:t>
            </w:r>
          </w:p>
          <w:p>
            <w:pPr>
              <w:pStyle w:val="4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6.6常见的事故防范措施及应急要求</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（1）火灾事故的预防及处理</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使用乙醇等易挥发、易燃烧的有机溶剂时如操作不慎，易引起火灾事故。为了防止事故发生，必须随时注意以下几点：①操作和处理易燃、易爆溶剂时，应远离火源；对易爆炸固体的残渣，必须小心销毁；不要把未熄灭的火柴梗乱丢；对于易发生自燃的物质及沾有它们的滤纸，不能随意丢弃，以免造成新的火源，引起火灾。②实验前应仔细检查仪器装置是否正确、稳妥与严密；操作要求正确、严格；常压操作时，切勿造成系统密闭，否则可能会发生爆炸事故；对沸点低于 80℃的液体，一般蒸馏时应采用水浴加热，不能直接用火加热；实验操作中，应防止有机物蒸气泄漏出来，更不要用敞口装置加热。若要进行除去溶剂的操作，则必须在通风橱里进行。③实验室里不允许存放大量易燃物。</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常用的应急处理方法有：①在可燃液体燃着时，应立即拿开着火区域内的一切可燃物质，关闭通风器，防止扩大燃烧。②酒精及其它可溶于水的液体着火时，可用水灭火。③甲苯等有机溶剂着火时，应用石棉布或干砂扑灭。绝对不能用水，否则反而 会扩大燃烧面积。④ 注意电器设备导线等着火时，不能用水及二氧化碳灭火器（泡沫灭火器），以免触电。应先切断电源，再用二氧化碳或四氯化碳灭火器灭火。⑤衣服着 火时，千万不要奔跑，应立即用石棉布或厚外衣盖熄，或者迅速脱下衣服，火势较大时，应卧地打滚以扑灭火焰。⑥发现烘箱有异味或冒烟时，应迅速切断电源，使其慢 慢降温，并准备好灭火器备用。千万不要急于打开烘箱门，以免突然供入空气助燃（爆），引起火灾。⑦发生火灾时应注意保护现场。较大的着火事故应立即报警。若有伤势较重者，应立即送医院。⑧ 熟悉实验室内灭火器材的位置和灭火器的使用方法。</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（2）爆炸事故的预防与处理</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①某些化合物容易爆炸，在使用和操作时应特别注意。②仪器装置不正确或操作错误， 有时会引起爆炸。如果在常压下进行蒸馏或加热回流，仪器必须与大气相通。在蒸馏时要注意，不要将物料蒸干。在减压操作时，不能使用不耐外压的玻璃仪器（例如平底烧瓶和锥形烧瓶等）。③氢气、乙炔等气体与空气混合达到一定比例时，会生成爆炸性混合物，遇明火即会爆炸。因此，使用上述物质时必须严禁明火。对于放热量很大的合成反应，要小心地慢慢滴加物料，并注意冷却，同时要防止因滴液漏斗的活塞漏液而造的事故。</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（3）中毒事故的预防与处理</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实验中的许多试剂都是有毒的。有毒物质往往通过呼吸吸入、皮肤渗入、误食等方式导致中毒。处理具有刺激性、恶臭和有毒的化学药品时，必须在通风橱中进行。通风橱开启后， 不要把头伸入橱内，并保持实验室通风良好。实验中应避免手直接接触化学药品，尤其严禁手直接接触剧毒品。沾在皮肤上的有机物应当立即用大量清水和肥皂洗去，切莫用有机溶剂洗，否则只会增加化学药品渗入皮肤的速度。溅落在桌面或地面的有机物应及时除去。如不慎损坏水银温度计，撒落在地上的水银应尽量收集起来，并用硫磺粉盖在撒落的地方。实验中所用剧毒物质由各课题组技术负责人负责保管、适量发给使用人员并要回收剩余。实验装有毒物质的器皿要贴标签注明，用后及时清洗，经常使用有毒物质实验的操作台及水槽要注明，实验后的有毒残渣必须按照实验室规定进行处理，不准乱丢。中毒事故应急处理措施：①固体或液体毒物中毒：有毒物质尚在嘴里的立即吐掉，用大量水漱口。误食碱者，先饮大量水再喝些牛奶。误食酸者，先喝水，再服 Mg(OH)</w:t>
            </w:r>
            <w:r>
              <w:rPr>
                <w:rFonts w:hint="default" w:ascii="Times New Roman" w:hAnsi="Times New Roman" w:eastAsia="宋体" w:cs="Times New Roman"/>
                <w:sz w:val="24"/>
                <w:szCs w:val="24"/>
                <w:vertAlign w:val="subscript"/>
                <w:lang w:eastAsia="zh-CN"/>
              </w:rPr>
              <w:t>2</w:t>
            </w:r>
            <w:r>
              <w:rPr>
                <w:rFonts w:hint="default" w:ascii="Times New Roman" w:hAnsi="Times New Roman" w:eastAsia="宋体" w:cs="Times New Roman"/>
                <w:sz w:val="24"/>
                <w:szCs w:val="24"/>
                <w:lang w:eastAsia="zh-CN"/>
              </w:rPr>
              <w:t>乳剂，最后饮些牛奶。不要用催吐药，也不要服用碳酸盐或碳酸氢盐。重金属盐中毒者，喝一杯含有几克MgSO</w:t>
            </w:r>
            <w:r>
              <w:rPr>
                <w:rFonts w:hint="default" w:ascii="Times New Roman" w:hAnsi="Times New Roman" w:eastAsia="宋体" w:cs="Times New Roman"/>
                <w:sz w:val="24"/>
                <w:szCs w:val="24"/>
                <w:vertAlign w:val="subscript"/>
                <w:lang w:eastAsia="zh-CN"/>
              </w:rPr>
              <w:t>4</w:t>
            </w:r>
            <w:r>
              <w:rPr>
                <w:rFonts w:hint="default" w:ascii="Times New Roman" w:hAnsi="Times New Roman" w:eastAsia="宋体" w:cs="Times New Roman"/>
                <w:sz w:val="24"/>
                <w:szCs w:val="24"/>
                <w:lang w:eastAsia="zh-CN"/>
              </w:rPr>
              <w:t>的水溶液，立即就医。不要服催吐药，以免引起危险或使病情复杂化。砷和汞化物中毒者，必须紧急就医。②吸入气体或蒸气中毒者：立即转移至室外，解开衣领和钮扣，呼吸新鲜空气。对休克者应施以人工呼吸，但不要用口对口法。立即送医院急救。</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（4）实验室其他事故的急救</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①玻璃割伤：一般轻伤应及时挤出污血，并用消过毒的镊子取出玻璃碎片，用蒸馏水洗净伤口，涂上碘酒，再用创可贴或绷带包扎；大伤口应立即用绷带扎紧伤口上部，使伤口停止流血，急送医院就诊。②烫伤：被火焰、蒸气、红热的玻璃、铁器等烫伤时，应立即将伤口处用大量水冲洗或浸泡，从而迅速降温避免温度烧伤。若起水泡则不宜挑破，应用纱布包扎后送医院治疗。对轻微烫伤，可在伤处涂些鱼肝油或烫伤油膏或万花油后包扎。若皮肤起泡（二级灼伤），不要弄破水泡，防止感染；若伤处皮肤呈棕色或黑色（三级灼伤），应用干燥而无菌的消毒纱布轻轻包扎好，急送医院治疗。 ③被酸、碱灼伤：（a）皮肤被酸灼伤要立即用大量流动清水冲洗（皮肤被浓硫酸沾污时切忌先用水冲洗，以免硫酸水合时强烈放热而加重伤势，应先用干抹布吸去浓硫酸，然后再用清水冲洗），彻底冲洗后可用 2～5% 的碳酸氢钠溶液或肥皂水进行中和，最后用水冲洗，涂上药品凡士林。（b）碱液灼伤要立即用大量流动清水冲洗，再用 2%醋酸洗或 3%硼酸溶液进一步冲洗，最后用水冲洗，再涂上药品凡士林。受上述灼伤后，若创面起水泡，均不宜把水泡挑破。重伤者经初步处理后，急送医务室。</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（5）火灾等事故下废水收集设施及处理方案</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一旦发生火灾事故，本公司相关职能部门对所发生的事故迅速作出反应，及时处理事故， 果断决策，专人负责消防器材的配给和现场扑救，并保证通讯系统畅通， 明确相关责任人负责对外联络消防部门和救护站等；采用沙袋封堵车间出入口构筑临时围堰，暂存事故消防废水，待事故排除后将废水妥善处理。</w:t>
            </w:r>
          </w:p>
          <w:p>
            <w:pPr>
              <w:pStyle w:val="4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6.7环境应急预案</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环发[2015]4号《企业事业单位突发环境事件应急预案备案管理办法》（试行）要求，本项目应编制应急预案，建设单位制定的环境应急预案应当在建设项目投入生产或者使用前，按照本办法第十五条的要求，向建设项目所在地受理部门备案。</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本项目应在应急预案中明确以下几个方面：</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人员紧急疏散、撤离方案，依据对可能发生事故的分析结果，确定事故现场人员撤离的方式和方法、非事故现场人员紧急疏散的方式和方法、抢救人员在撤离前、撤离后的报告以及周边区域的单位和社区人员疏散的方式和方法；</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检测、抢险、救援及控制措施。明确以下几个方面：①检测方式、方法，检测人员防护、监护措施；②抢险、救援方式、方法及人员防护、监护措施；③现场实时监测及异常情况下抢险人员的撤离条件和方法；④应急救援队伍的调度；⑤控制事故扩大的措施；⑥ 事故可能扩大后的应急措施；</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（3）危险区的隔离方案。明确以下内容：危险区的设定；事故现场隔离区的划定方法；事故现场隔离方法；事故现场周边区域的道路隔离及交通疏导方法；</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（4）现场保护与现场洗消方案，明确事故现场的保护措施和事故现场洗消工作的负责人和专业队伍；</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应急救援保障，包括以下内容：确定应急队伍，包括抢修、现场救护、医疗、治安、消防、交通管理、通讯、供应、运输、后勤等人员；消防设施配置图、工艺流程图、现场平面布置图和周边地区图、气象资料、危险化学品安全技术说明书、互救信息等存放地点、保管人；应急通讯系统；应急电源、照明，应急救援设备、物资、药品等，危险化学品运输车辆的安全，消防设备、器材及人员防护设备。外部救援单位互助的方式；请求政府协调应急救援力量；应急救援信息咨询；</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（6）预案分级响应条件和事故应急救援终止程序，确定事故应急救援工作结束，通知本单位相关部门、周边社区及人员事故危险已解除；</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（7）制定详细可行的应急培训计划和演练计划。</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同时，应急预案在编制过程中应注意与地方政府应急预案的对接与联动，并保证在事故状态下环境监测计划的实施。</w:t>
            </w:r>
          </w:p>
          <w:p>
            <w:pPr>
              <w:pStyle w:val="4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6.8分析结论</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综上所述，本项目设计的危险物质存储量小于临界量，环境风险潜势为I级，风险评价等级为简单分析，存在泄漏、火灾爆炸事故类型，本工程从管理、员工培训等方面积极采取防范措施，确保工程运行的安全性；同时在严格执行国家相关法律、法规和规范，按相关操作规章操作的前提下，可以将事故风险降至最低。通过采用相应的控制措施后，本项目环境风险可控。</w:t>
            </w:r>
          </w:p>
          <w:p>
            <w:pPr>
              <w:pStyle w:val="4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根据分析内容，本项目环境风险简单分析内容表见下表。</w:t>
            </w:r>
          </w:p>
          <w:p>
            <w:pPr>
              <w:tabs>
                <w:tab w:val="left" w:pos="3999"/>
              </w:tabs>
              <w:spacing w:before="99" w:after="23"/>
              <w:jc w:val="center"/>
              <w:rPr>
                <w:rFonts w:hint="default" w:ascii="Times New Roman" w:hAnsi="Times New Roman" w:eastAsia="宋体" w:cs="Times New Roman"/>
                <w:b/>
                <w:sz w:val="21"/>
              </w:rPr>
            </w:pPr>
            <w:r>
              <w:rPr>
                <w:rFonts w:hint="default" w:ascii="Times New Roman" w:hAnsi="Times New Roman" w:eastAsia="宋体" w:cs="Times New Roman"/>
                <w:b/>
                <w:sz w:val="21"/>
              </w:rPr>
              <w:t>表</w:t>
            </w:r>
            <w:r>
              <w:rPr>
                <w:rFonts w:hint="default" w:ascii="Times New Roman" w:hAnsi="Times New Roman" w:eastAsia="宋体" w:cs="Times New Roman"/>
                <w:b/>
                <w:spacing w:val="-52"/>
                <w:sz w:val="21"/>
                <w:lang w:eastAsia="zh-CN"/>
              </w:rPr>
              <w:t>4-</w:t>
            </w:r>
            <w:r>
              <w:rPr>
                <w:rFonts w:hint="default" w:ascii="Times New Roman" w:hAnsi="Times New Roman" w:eastAsia="宋体" w:cs="Times New Roman"/>
                <w:b/>
                <w:sz w:val="21"/>
                <w:lang w:eastAsia="zh-CN"/>
              </w:rPr>
              <w:t xml:space="preserve">15      </w:t>
            </w:r>
            <w:r>
              <w:rPr>
                <w:rFonts w:hint="default" w:ascii="Times New Roman" w:hAnsi="Times New Roman" w:eastAsia="宋体" w:cs="Times New Roman"/>
                <w:b/>
                <w:sz w:val="21"/>
              </w:rPr>
              <w:t>建设项目环境风险简单分析内容表</w:t>
            </w:r>
          </w:p>
          <w:tbl>
            <w:tblPr>
              <w:tblStyle w:val="27"/>
              <w:tblW w:w="840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1109"/>
              <w:gridCol w:w="1772"/>
              <w:gridCol w:w="1122"/>
              <w:gridCol w:w="1299"/>
              <w:gridCol w:w="11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建设项目名称</w:t>
                  </w:r>
                </w:p>
              </w:tc>
              <w:tc>
                <w:tcPr>
                  <w:tcW w:w="3842" w:type="pct"/>
                  <w:gridSpan w:val="5"/>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庆阳市宁县生态环境监测站建设项目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建设地点</w:t>
                  </w:r>
                </w:p>
              </w:tc>
              <w:tc>
                <w:tcPr>
                  <w:tcW w:w="66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甘肃</w:t>
                  </w:r>
                  <w:r>
                    <w:rPr>
                      <w:rFonts w:hint="default" w:ascii="Times New Roman" w:hAnsi="Times New Roman" w:eastAsia="宋体" w:cs="Times New Roman"/>
                      <w:sz w:val="21"/>
                      <w:szCs w:val="21"/>
                    </w:rPr>
                    <w:t>）省</w:t>
                  </w:r>
                </w:p>
              </w:tc>
              <w:tc>
                <w:tcPr>
                  <w:tcW w:w="1055"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庆阳</w:t>
                  </w:r>
                  <w:r>
                    <w:rPr>
                      <w:rFonts w:hint="default" w:ascii="Times New Roman" w:hAnsi="Times New Roman" w:eastAsia="宋体" w:cs="Times New Roman"/>
                      <w:sz w:val="21"/>
                      <w:szCs w:val="21"/>
                    </w:rPr>
                    <w:t>）市</w:t>
                  </w:r>
                </w:p>
              </w:tc>
              <w:tc>
                <w:tcPr>
                  <w:tcW w:w="66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）区</w:t>
                  </w:r>
                </w:p>
              </w:tc>
              <w:tc>
                <w:tcPr>
                  <w:tcW w:w="773"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宁</w:t>
                  </w:r>
                  <w:r>
                    <w:rPr>
                      <w:rFonts w:hint="default" w:ascii="Times New Roman" w:hAnsi="Times New Roman" w:eastAsia="宋体" w:cs="Times New Roman"/>
                      <w:sz w:val="21"/>
                      <w:szCs w:val="21"/>
                    </w:rPr>
                    <w:t>）县</w:t>
                  </w:r>
                </w:p>
              </w:tc>
              <w:tc>
                <w:tcPr>
                  <w:tcW w:w="685"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）园区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地理坐标</w:t>
                  </w:r>
                </w:p>
              </w:tc>
              <w:tc>
                <w:tcPr>
                  <w:tcW w:w="660"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经度</w:t>
                  </w:r>
                </w:p>
              </w:tc>
              <w:tc>
                <w:tcPr>
                  <w:tcW w:w="1055"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107°01′32.008″</w:t>
                  </w:r>
                </w:p>
              </w:tc>
              <w:tc>
                <w:tcPr>
                  <w:tcW w:w="66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纬度</w:t>
                  </w:r>
                </w:p>
              </w:tc>
              <w:tc>
                <w:tcPr>
                  <w:tcW w:w="1458" w:type="pct"/>
                  <w:gridSpan w:val="2"/>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35°18′19.313″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主要危险物质及分布</w:t>
                  </w:r>
                </w:p>
              </w:tc>
              <w:tc>
                <w:tcPr>
                  <w:tcW w:w="3842" w:type="pct"/>
                  <w:gridSpan w:val="5"/>
                  <w:tcBorders>
                    <w:tl2br w:val="nil"/>
                    <w:tr2bl w:val="nil"/>
                  </w:tcBorders>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主要危险物质：甲醇、正己烷、丙酮、环己烷、硫酸、硝酸、盐酸、氨水、乙酸、磷酸、三氯甲烷、四氯化碳。</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分布：试剂间、危险废物暂存间。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环境影响途径及危害后果（大气、地表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水、地下水等）</w:t>
                  </w:r>
                </w:p>
              </w:tc>
              <w:tc>
                <w:tcPr>
                  <w:tcW w:w="3842" w:type="pct"/>
                  <w:gridSpan w:val="5"/>
                  <w:tcBorders>
                    <w:tl2br w:val="nil"/>
                    <w:tr2bl w:val="nil"/>
                  </w:tcBorders>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影响途径：泄露后挥发进入大气环境或者火灾爆炸事故时伴生烟雾进入大气环境，此生的消防废水进入水环境等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危害后果：造成环境空气、地表水等污染。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115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风险防范措施要求</w:t>
                  </w:r>
                </w:p>
              </w:tc>
              <w:tc>
                <w:tcPr>
                  <w:tcW w:w="3842" w:type="pct"/>
                  <w:gridSpan w:val="5"/>
                  <w:tcBorders>
                    <w:tl2br w:val="nil"/>
                    <w:tr2bl w:val="nil"/>
                  </w:tcBorders>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加强危险化学品贮存、使用过程中的管理、严格管理废水废液去向、</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制定严格的实验室安全作业规程、地面硬化防腐防渗、配备消防器材、  做好应急预案编制并备案等。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41" w:hRule="atLeast"/>
                <w:jc w:val="center"/>
              </w:trPr>
              <w:tc>
                <w:tcPr>
                  <w:tcW w:w="5000" w:type="pct"/>
                  <w:gridSpan w:val="6"/>
                  <w:tcBorders>
                    <w:tl2br w:val="nil"/>
                    <w:tr2bl w:val="nil"/>
                  </w:tcBorders>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填表说明（列出项目相关信息及评价说明）：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建设内容为实验室检测项目，本项目涉及的危险物质主要为丙酮、甲醇、硫酸、盐酸实验室废液等，经计算Q值＜1，该项目环境风险潜势为I。根据分析，本项目可能影响环境的途径为操作或管理不当造成的泄露及由此引起的易燃化学品接触火源引发的火灾、爆炸、废气净化设施故障废气事故排放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工程拟从管理、员工培训等方面积极采取防范措施，确保工程运行的安全性；同时在严格执行国家相关法律、法规和规范，按相关操作规章操作的前提下，可以将事故风险降至最低。通过采用相应的控制措施后，本项目环境风险可控。</w:t>
                  </w:r>
                </w:p>
              </w:tc>
            </w:tr>
          </w:tbl>
          <w:p>
            <w:pPr>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7、环保投资</w:t>
            </w:r>
          </w:p>
          <w:p>
            <w:pPr>
              <w:spacing w:line="360" w:lineRule="auto"/>
              <w:ind w:firstLine="480" w:firstLineChars="200"/>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szCs w:val="24"/>
                <w:lang w:eastAsia="zh-CN"/>
              </w:rPr>
              <w:t>本项目总投资</w:t>
            </w:r>
            <w:r>
              <w:rPr>
                <w:rFonts w:hint="default" w:ascii="Times New Roman" w:hAnsi="Times New Roman" w:eastAsia="宋体" w:cs="Times New Roman"/>
                <w:color w:val="FF0000"/>
                <w:sz w:val="24"/>
                <w:szCs w:val="24"/>
                <w:lang w:val="en-US" w:eastAsia="zh-CN"/>
              </w:rPr>
              <w:t>942.41</w:t>
            </w:r>
            <w:r>
              <w:rPr>
                <w:rFonts w:hint="default" w:ascii="Times New Roman" w:hAnsi="Times New Roman" w:eastAsia="宋体" w:cs="Times New Roman"/>
                <w:color w:val="FF0000"/>
                <w:sz w:val="24"/>
                <w:szCs w:val="24"/>
                <w:lang w:eastAsia="zh-CN"/>
              </w:rPr>
              <w:t>万元，环保投资费用为</w:t>
            </w:r>
            <w:r>
              <w:rPr>
                <w:rFonts w:hint="default" w:ascii="Times New Roman" w:hAnsi="Times New Roman" w:eastAsia="宋体" w:cs="Times New Roman"/>
                <w:color w:val="FF0000"/>
                <w:sz w:val="24"/>
                <w:szCs w:val="24"/>
                <w:lang w:val="en-US" w:eastAsia="zh-CN"/>
              </w:rPr>
              <w:t>75</w:t>
            </w:r>
            <w:r>
              <w:rPr>
                <w:rFonts w:hint="default" w:ascii="Times New Roman" w:hAnsi="Times New Roman" w:eastAsia="宋体" w:cs="Times New Roman"/>
                <w:color w:val="FF0000"/>
                <w:sz w:val="24"/>
                <w:szCs w:val="24"/>
                <w:lang w:eastAsia="zh-CN"/>
              </w:rPr>
              <w:t xml:space="preserve">.0万元，占项目总投资的 </w:t>
            </w:r>
            <w:r>
              <w:rPr>
                <w:rFonts w:hint="default" w:ascii="Times New Roman" w:hAnsi="Times New Roman" w:eastAsia="宋体" w:cs="Times New Roman"/>
                <w:color w:val="FF0000"/>
                <w:sz w:val="24"/>
                <w:szCs w:val="24"/>
                <w:lang w:val="en-US" w:eastAsia="zh-CN"/>
              </w:rPr>
              <w:t>7.96</w:t>
            </w:r>
            <w:r>
              <w:rPr>
                <w:rFonts w:hint="default" w:ascii="Times New Roman" w:hAnsi="Times New Roman" w:eastAsia="宋体" w:cs="Times New Roman"/>
                <w:color w:val="FF0000"/>
                <w:sz w:val="24"/>
                <w:szCs w:val="24"/>
                <w:lang w:eastAsia="zh-CN"/>
              </w:rPr>
              <w:t>%。本项目运营期主要环保投资情况见表4-14。</w:t>
            </w:r>
          </w:p>
          <w:p>
            <w:pPr>
              <w:tabs>
                <w:tab w:val="center" w:pos="778"/>
                <w:tab w:val="center" w:pos="4362"/>
              </w:tabs>
              <w:jc w:val="center"/>
              <w:rPr>
                <w:rFonts w:hint="default" w:ascii="Times New Roman" w:hAnsi="Times New Roman" w:eastAsia="宋体" w:cs="Times New Roman"/>
                <w:b/>
                <w:bCs/>
                <w:color w:val="FF0000"/>
                <w:sz w:val="21"/>
                <w:szCs w:val="21"/>
                <w:lang w:eastAsia="zh-CN"/>
              </w:rPr>
            </w:pPr>
            <w:r>
              <w:rPr>
                <w:rFonts w:hint="default" w:ascii="Times New Roman" w:hAnsi="Times New Roman" w:eastAsia="宋体" w:cs="Times New Roman"/>
                <w:b/>
                <w:bCs/>
                <w:color w:val="FF0000"/>
                <w:sz w:val="21"/>
                <w:szCs w:val="21"/>
                <w:lang w:eastAsia="zh-CN"/>
              </w:rPr>
              <w:tab/>
            </w:r>
            <w:r>
              <w:rPr>
                <w:rFonts w:hint="default" w:ascii="Times New Roman" w:hAnsi="Times New Roman" w:eastAsia="宋体" w:cs="Times New Roman"/>
                <w:b/>
                <w:bCs/>
                <w:color w:val="FF0000"/>
                <w:sz w:val="21"/>
                <w:szCs w:val="21"/>
                <w:lang w:eastAsia="zh-CN"/>
              </w:rPr>
              <w:t>表 4-14    本项目环保投资一览表</w:t>
            </w:r>
          </w:p>
          <w:tbl>
            <w:tblPr>
              <w:tblStyle w:val="27"/>
              <w:tblW w:w="857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8"/>
              <w:gridCol w:w="731"/>
              <w:gridCol w:w="1798"/>
              <w:gridCol w:w="4206"/>
              <w:gridCol w:w="9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78"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工期</w:t>
                  </w:r>
                </w:p>
              </w:tc>
              <w:tc>
                <w:tcPr>
                  <w:tcW w:w="2529" w:type="dxa"/>
                  <w:gridSpan w:val="2"/>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环保项目</w:t>
                  </w:r>
                </w:p>
              </w:tc>
              <w:tc>
                <w:tcPr>
                  <w:tcW w:w="420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具体工程内容</w:t>
                  </w:r>
                </w:p>
              </w:tc>
              <w:tc>
                <w:tcPr>
                  <w:tcW w:w="96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投资额(万元)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78"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施工期</w:t>
                  </w:r>
                </w:p>
              </w:tc>
              <w:tc>
                <w:tcPr>
                  <w:tcW w:w="2529" w:type="dxa"/>
                  <w:gridSpan w:val="2"/>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环境保护措施</w:t>
                  </w:r>
                </w:p>
              </w:tc>
              <w:tc>
                <w:tcPr>
                  <w:tcW w:w="420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扬尘、噪声等防治</w:t>
                  </w:r>
                </w:p>
              </w:tc>
              <w:tc>
                <w:tcPr>
                  <w:tcW w:w="96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2</w:t>
                  </w:r>
                  <w:r>
                    <w:rPr>
                      <w:rFonts w:hint="default" w:ascii="Times New Roman" w:hAnsi="Times New Roman" w:eastAsia="宋体" w:cs="Times New Roman"/>
                      <w:color w:val="FF0000"/>
                      <w:sz w:val="21"/>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878" w:type="dxa"/>
                  <w:vMerge w:val="restart"/>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运营期</w:t>
                  </w:r>
                </w:p>
              </w:tc>
              <w:tc>
                <w:tcPr>
                  <w:tcW w:w="731"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噪声</w:t>
                  </w:r>
                </w:p>
              </w:tc>
              <w:tc>
                <w:tcPr>
                  <w:tcW w:w="1798"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设备噪声</w:t>
                  </w:r>
                </w:p>
              </w:tc>
              <w:tc>
                <w:tcPr>
                  <w:tcW w:w="420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设备隔声减振</w:t>
                  </w:r>
                </w:p>
              </w:tc>
              <w:tc>
                <w:tcPr>
                  <w:tcW w:w="96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restart"/>
                  <w:tcBorders>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固废</w:t>
                  </w:r>
                </w:p>
              </w:tc>
              <w:tc>
                <w:tcPr>
                  <w:tcW w:w="1798"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一般固废</w:t>
                  </w:r>
                </w:p>
              </w:tc>
              <w:tc>
                <w:tcPr>
                  <w:tcW w:w="4206"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固废</w:t>
                  </w:r>
                  <w:r>
                    <w:rPr>
                      <w:rFonts w:hint="default" w:ascii="Times New Roman" w:hAnsi="Times New Roman" w:eastAsia="宋体" w:cs="Times New Roman"/>
                      <w:color w:val="FF0000"/>
                      <w:sz w:val="21"/>
                      <w:szCs w:val="21"/>
                    </w:rPr>
                    <w:t>收集、定期处理、垃圾桶</w:t>
                  </w:r>
                </w:p>
              </w:tc>
              <w:tc>
                <w:tcPr>
                  <w:tcW w:w="965"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2</w:t>
                  </w:r>
                  <w:r>
                    <w:rPr>
                      <w:rFonts w:hint="default" w:ascii="Times New Roman" w:hAnsi="Times New Roman" w:eastAsia="宋体" w:cs="Times New Roman"/>
                      <w:color w:val="FF0000"/>
                      <w:sz w:val="21"/>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continue"/>
                  <w:tcBorders>
                    <w:tl2br w:val="nil"/>
                    <w:tr2bl w:val="nil"/>
                  </w:tcBorders>
                  <w:vAlign w:val="center"/>
                </w:tcPr>
                <w:p>
                  <w:pPr>
                    <w:jc w:val="center"/>
                    <w:rPr>
                      <w:rFonts w:hint="default" w:ascii="Times New Roman" w:hAnsi="Times New Roman" w:eastAsia="宋体" w:cs="Times New Roman"/>
                      <w:color w:val="FF0000"/>
                      <w:sz w:val="21"/>
                      <w:szCs w:val="21"/>
                      <w:lang w:eastAsia="zh-CN"/>
                    </w:rPr>
                  </w:pPr>
                </w:p>
              </w:tc>
              <w:tc>
                <w:tcPr>
                  <w:tcW w:w="1798"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危废</w:t>
                  </w:r>
                </w:p>
              </w:tc>
              <w:tc>
                <w:tcPr>
                  <w:tcW w:w="4206"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rPr>
                    <w:t>危险废物暂存间</w:t>
                  </w:r>
                  <w:r>
                    <w:rPr>
                      <w:rFonts w:hint="default" w:ascii="Times New Roman" w:hAnsi="Times New Roman" w:eastAsia="宋体" w:cs="Times New Roman"/>
                      <w:color w:val="FF0000"/>
                      <w:sz w:val="21"/>
                      <w:szCs w:val="21"/>
                      <w:lang w:eastAsia="zh-CN"/>
                    </w:rPr>
                    <w:t>（15m</w:t>
                  </w:r>
                  <w:r>
                    <w:rPr>
                      <w:rFonts w:hint="default" w:ascii="Times New Roman" w:hAnsi="Times New Roman" w:eastAsia="宋体" w:cs="Times New Roman"/>
                      <w:color w:val="FF0000"/>
                      <w:sz w:val="21"/>
                      <w:szCs w:val="21"/>
                      <w:vertAlign w:val="superscript"/>
                      <w:lang w:eastAsia="zh-CN"/>
                    </w:rPr>
                    <w:t>2</w:t>
                  </w:r>
                  <w:r>
                    <w:rPr>
                      <w:rFonts w:hint="default" w:ascii="Times New Roman" w:hAnsi="Times New Roman" w:eastAsia="宋体" w:cs="Times New Roman"/>
                      <w:color w:val="FF0000"/>
                      <w:sz w:val="21"/>
                      <w:szCs w:val="21"/>
                      <w:lang w:eastAsia="zh-CN"/>
                    </w:rPr>
                    <w:t>）</w:t>
                  </w:r>
                </w:p>
              </w:tc>
              <w:tc>
                <w:tcPr>
                  <w:tcW w:w="965"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restart"/>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废水</w:t>
                  </w:r>
                </w:p>
              </w:tc>
              <w:tc>
                <w:tcPr>
                  <w:tcW w:w="1798"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实验废水</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lang w:val="en-US" w:eastAsia="zh-CN"/>
                    </w:rPr>
                    <w:t>纯水制备废水、地面清洁废水、</w:t>
                  </w:r>
                  <w:r>
                    <w:rPr>
                      <w:rFonts w:hint="default" w:ascii="Times New Roman" w:hAnsi="Times New Roman" w:eastAsia="宋体" w:cs="Times New Roman"/>
                      <w:color w:val="FF0000"/>
                      <w:sz w:val="21"/>
                      <w:szCs w:val="21"/>
                      <w:lang w:eastAsia="zh-CN"/>
                    </w:rPr>
                    <w:t>生活污水</w:t>
                  </w:r>
                </w:p>
              </w:tc>
              <w:tc>
                <w:tcPr>
                  <w:tcW w:w="4206"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实验废水经实验废水处理设备处理后然后通过市政污水管网，最终进入宁县城镇生活污水处理厂处置</w:t>
                  </w:r>
                </w:p>
                <w:p>
                  <w:pPr>
                    <w:jc w:val="center"/>
                    <w:rPr>
                      <w:rFonts w:hint="default" w:ascii="Times New Roman" w:hAnsi="Times New Roman" w:cs="Times New Roman"/>
                      <w:color w:val="FF0000"/>
                    </w:rPr>
                  </w:pPr>
                  <w:r>
                    <w:rPr>
                      <w:rFonts w:hint="default" w:ascii="Times New Roman" w:hAnsi="Times New Roman" w:eastAsia="宋体" w:cs="Times New Roman"/>
                      <w:color w:val="FF0000"/>
                      <w:sz w:val="21"/>
                      <w:szCs w:val="21"/>
                      <w:lang w:val="en-US" w:eastAsia="zh-CN"/>
                    </w:rPr>
                    <w:t>清洁废水、</w:t>
                  </w:r>
                  <w:r>
                    <w:rPr>
                      <w:rFonts w:hint="default" w:ascii="Times New Roman" w:hAnsi="Times New Roman" w:eastAsia="宋体" w:cs="Times New Roman"/>
                      <w:color w:val="FF0000"/>
                      <w:sz w:val="21"/>
                      <w:szCs w:val="21"/>
                      <w:lang w:eastAsia="zh-CN"/>
                    </w:rPr>
                    <w:t>生活污水</w:t>
                  </w:r>
                  <w:r>
                    <w:rPr>
                      <w:rFonts w:hint="default" w:ascii="Times New Roman" w:hAnsi="Times New Roman" w:eastAsia="宋体" w:cs="Times New Roman"/>
                      <w:color w:val="FF0000"/>
                      <w:sz w:val="21"/>
                      <w:szCs w:val="21"/>
                      <w:lang w:val="en-US" w:eastAsia="zh-CN"/>
                    </w:rPr>
                    <w:t>进入化粪池处理，然后通过市政污水管网，最终进入宁县城镇生活污水处理厂处置</w:t>
                  </w:r>
                </w:p>
              </w:tc>
              <w:tc>
                <w:tcPr>
                  <w:tcW w:w="965" w:type="dxa"/>
                  <w:tcBorders>
                    <w:bottom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25.</w:t>
                  </w:r>
                  <w:r>
                    <w:rPr>
                      <w:rFonts w:hint="default" w:ascii="Times New Roman" w:hAnsi="Times New Roman" w:eastAsia="宋体" w:cs="Times New Roman"/>
                      <w:color w:val="FF0000"/>
                      <w:sz w:val="21"/>
                      <w:szCs w:val="21"/>
                      <w:lang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1798"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实验室特殊废水</w:t>
                  </w:r>
                </w:p>
              </w:tc>
              <w:tc>
                <w:tcPr>
                  <w:tcW w:w="4206"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pacing w:val="8"/>
                      <w:sz w:val="20"/>
                      <w:szCs w:val="20"/>
                    </w:rPr>
                    <w:t>酸碱中和</w:t>
                  </w:r>
                  <w:r>
                    <w:rPr>
                      <w:rFonts w:hint="default" w:ascii="Times New Roman" w:hAnsi="Times New Roman" w:eastAsia="宋体" w:cs="Times New Roman"/>
                      <w:color w:val="FF0000"/>
                      <w:spacing w:val="7"/>
                      <w:sz w:val="20"/>
                      <w:szCs w:val="20"/>
                    </w:rPr>
                    <w:t>桶</w:t>
                  </w:r>
                </w:p>
              </w:tc>
              <w:tc>
                <w:tcPr>
                  <w:tcW w:w="965" w:type="dxa"/>
                  <w:tcBorders>
                    <w:top w:val="single" w:color="000000" w:sz="6"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restart"/>
                  <w:tcBorders>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废气</w:t>
                  </w:r>
                </w:p>
              </w:tc>
              <w:tc>
                <w:tcPr>
                  <w:tcW w:w="1798" w:type="dxa"/>
                  <w:tcBorders>
                    <w:bottom w:val="single" w:color="auto" w:sz="4"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有机废气</w:t>
                  </w:r>
                </w:p>
              </w:tc>
              <w:tc>
                <w:tcPr>
                  <w:tcW w:w="4206" w:type="dxa"/>
                  <w:tcBorders>
                    <w:bottom w:val="single" w:color="auto" w:sz="4" w:space="0"/>
                    <w:tl2br w:val="nil"/>
                    <w:tr2bl w:val="nil"/>
                  </w:tcBorders>
                  <w:vAlign w:val="center"/>
                </w:tcPr>
                <w:p>
                  <w:pPr>
                    <w:jc w:val="center"/>
                    <w:rPr>
                      <w:rFonts w:hint="default" w:ascii="Times New Roman" w:hAnsi="Times New Roman" w:eastAsia="宋体" w:cs="Times New Roman"/>
                      <w:bCs/>
                      <w:color w:val="FF0000"/>
                      <w:sz w:val="21"/>
                      <w:szCs w:val="21"/>
                    </w:rPr>
                  </w:pPr>
                  <w:r>
                    <w:rPr>
                      <w:rFonts w:hint="default" w:ascii="Times New Roman" w:hAnsi="Times New Roman" w:eastAsia="仿宋" w:cs="Times New Roman"/>
                      <w:color w:val="FF0000"/>
                      <w:kern w:val="2"/>
                      <w:sz w:val="21"/>
                      <w:szCs w:val="21"/>
                      <w:lang w:val="en-US" w:eastAsia="zh-CN" w:bidi="ar-SA"/>
                    </w:rPr>
                    <w:t>设置1套通风橱，收集的废气经活性炭吸附装置处理后，经高于楼顶的3m排气筒排放（15m）</w:t>
                  </w:r>
                </w:p>
              </w:tc>
              <w:tc>
                <w:tcPr>
                  <w:tcW w:w="965" w:type="dxa"/>
                  <w:vMerge w:val="restart"/>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35</w:t>
                  </w:r>
                  <w:r>
                    <w:rPr>
                      <w:rFonts w:hint="default" w:ascii="Times New Roman" w:hAnsi="Times New Roman" w:eastAsia="宋体" w:cs="Times New Roman"/>
                      <w:color w:val="FF0000"/>
                      <w:sz w:val="21"/>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731" w:type="dxa"/>
                  <w:vMerge w:val="continue"/>
                  <w:tcBorders>
                    <w:tl2br w:val="nil"/>
                    <w:tr2bl w:val="nil"/>
                  </w:tcBorders>
                  <w:vAlign w:val="center"/>
                </w:tcPr>
                <w:p>
                  <w:pPr>
                    <w:jc w:val="center"/>
                    <w:rPr>
                      <w:rFonts w:hint="default" w:ascii="Times New Roman" w:hAnsi="Times New Roman" w:eastAsia="宋体" w:cs="Times New Roman"/>
                      <w:color w:val="FF0000"/>
                      <w:sz w:val="21"/>
                      <w:szCs w:val="21"/>
                      <w:lang w:eastAsia="zh-CN"/>
                    </w:rPr>
                  </w:pPr>
                </w:p>
              </w:tc>
              <w:tc>
                <w:tcPr>
                  <w:tcW w:w="1798" w:type="dxa"/>
                  <w:tcBorders>
                    <w:top w:val="single" w:color="auto" w:sz="4" w:space="0"/>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无机废气</w:t>
                  </w:r>
                </w:p>
              </w:tc>
              <w:tc>
                <w:tcPr>
                  <w:tcW w:w="4206" w:type="dxa"/>
                  <w:tcBorders>
                    <w:top w:val="single" w:color="auto" w:sz="4" w:space="0"/>
                    <w:tl2br w:val="nil"/>
                    <w:tr2bl w:val="nil"/>
                  </w:tcBorders>
                  <w:vAlign w:val="center"/>
                </w:tcPr>
                <w:p>
                  <w:pPr>
                    <w:jc w:val="center"/>
                    <w:rPr>
                      <w:rFonts w:hint="default" w:ascii="Times New Roman" w:hAnsi="Times New Roman" w:eastAsia="宋体" w:cs="Times New Roman"/>
                      <w:bCs/>
                      <w:color w:val="FF0000"/>
                      <w:sz w:val="21"/>
                      <w:szCs w:val="21"/>
                    </w:rPr>
                  </w:pPr>
                  <w:r>
                    <w:rPr>
                      <w:rFonts w:hint="default" w:ascii="Times New Roman" w:hAnsi="Times New Roman" w:eastAsia="仿宋" w:cs="Times New Roman"/>
                      <w:color w:val="FF0000"/>
                      <w:kern w:val="2"/>
                      <w:sz w:val="21"/>
                      <w:szCs w:val="21"/>
                      <w:lang w:val="en-US" w:eastAsia="zh-CN" w:bidi="ar-SA"/>
                    </w:rPr>
                    <w:t>设置1套通风橱，收集的废气经废气处理设施处理后，经高于楼顶的3m排气筒排放（15m）</w:t>
                  </w:r>
                </w:p>
              </w:tc>
              <w:tc>
                <w:tcPr>
                  <w:tcW w:w="965"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78" w:type="dxa"/>
                  <w:vMerge w:val="continue"/>
                  <w:tcBorders>
                    <w:tl2br w:val="nil"/>
                    <w:tr2bl w:val="nil"/>
                  </w:tcBorders>
                  <w:vAlign w:val="center"/>
                </w:tcPr>
                <w:p>
                  <w:pPr>
                    <w:jc w:val="center"/>
                    <w:rPr>
                      <w:rFonts w:hint="default" w:ascii="Times New Roman" w:hAnsi="Times New Roman" w:eastAsia="宋体" w:cs="Times New Roman"/>
                      <w:color w:val="FF0000"/>
                      <w:sz w:val="21"/>
                      <w:szCs w:val="21"/>
                    </w:rPr>
                  </w:pPr>
                </w:p>
              </w:tc>
              <w:tc>
                <w:tcPr>
                  <w:tcW w:w="2529" w:type="dxa"/>
                  <w:gridSpan w:val="2"/>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风险防范措施</w:t>
                  </w:r>
                </w:p>
              </w:tc>
              <w:tc>
                <w:tcPr>
                  <w:tcW w:w="420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灭火器、防渗等措施</w:t>
                  </w:r>
                </w:p>
              </w:tc>
              <w:tc>
                <w:tcPr>
                  <w:tcW w:w="965" w:type="dxa"/>
                  <w:tcBorders>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3407" w:type="dxa"/>
                  <w:gridSpan w:val="3"/>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合计</w:t>
                  </w:r>
                </w:p>
              </w:tc>
              <w:tc>
                <w:tcPr>
                  <w:tcW w:w="420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965" w:type="dxa"/>
                  <w:tcBorders>
                    <w:tl2br w:val="nil"/>
                    <w:tr2bl w:val="nil"/>
                  </w:tcBorders>
                  <w:vAlign w:val="center"/>
                </w:tcPr>
                <w:p>
                  <w:pPr>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75</w:t>
                  </w:r>
                  <w:r>
                    <w:rPr>
                      <w:rFonts w:hint="default" w:ascii="Times New Roman" w:hAnsi="Times New Roman" w:eastAsia="宋体" w:cs="Times New Roman"/>
                      <w:color w:val="FF0000"/>
                      <w:sz w:val="21"/>
                      <w:szCs w:val="21"/>
                      <w:lang w:eastAsia="zh-CN"/>
                    </w:rPr>
                    <w:t>.0</w:t>
                  </w:r>
                </w:p>
              </w:tc>
            </w:tr>
          </w:tbl>
          <w:p>
            <w:pPr>
              <w:pStyle w:val="14"/>
              <w:ind w:left="0" w:leftChars="0"/>
              <w:rPr>
                <w:rFonts w:hint="default" w:ascii="Times New Roman" w:hAnsi="Times New Roman" w:eastAsia="宋体" w:cs="Times New Roman"/>
                <w:bCs/>
                <w:spacing w:val="-10"/>
                <w:sz w:val="24"/>
                <w:szCs w:val="24"/>
                <w:lang w:eastAsia="zh-CN"/>
              </w:rPr>
            </w:pPr>
          </w:p>
        </w:tc>
      </w:tr>
    </w:tbl>
    <w:p>
      <w:pPr>
        <w:pStyle w:val="37"/>
        <w:jc w:val="center"/>
        <w:outlineLvl w:val="0"/>
        <w:rPr>
          <w:rFonts w:hint="default" w:ascii="Times New Roman" w:hAnsi="Times New Roman" w:eastAsia="宋体" w:cs="Times New Roman"/>
          <w:b/>
          <w:lang w:eastAsia="zh-CN"/>
        </w:rPr>
      </w:pPr>
      <w:bookmarkStart w:id="11" w:name="_Toc26773"/>
      <w:r>
        <w:rPr>
          <w:rFonts w:hint="default" w:ascii="Times New Roman" w:hAnsi="Times New Roman" w:eastAsia="宋体" w:cs="Times New Roman"/>
          <w:b/>
          <w:lang w:eastAsia="zh-CN"/>
        </w:rPr>
        <w:t>五、环境保护措施监督检查清单</w:t>
      </w:r>
      <w:bookmarkEnd w:id="11"/>
    </w:p>
    <w:p>
      <w:pPr>
        <w:tabs>
          <w:tab w:val="left" w:pos="238"/>
        </w:tabs>
        <w:rPr>
          <w:rFonts w:hint="default" w:ascii="Times New Roman" w:hAnsi="Times New Roman" w:eastAsia="宋体" w:cs="Times New Roman"/>
          <w:sz w:val="21"/>
          <w:szCs w:val="21"/>
          <w:lang w:eastAsia="zh-CN"/>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91"/>
        <w:gridCol w:w="1728"/>
        <w:gridCol w:w="1959"/>
        <w:gridCol w:w="2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tcBorders>
              <w:tl2br w:val="single" w:color="auto" w:sz="4" w:space="0"/>
            </w:tcBorders>
          </w:tcPr>
          <w:p>
            <w:pPr>
              <w:adjustRightInd w:val="0"/>
              <w:snapToGrid w:val="0"/>
              <w:ind w:firstLine="600" w:firstLineChars="250"/>
              <w:rPr>
                <w:rFonts w:hint="default" w:ascii="Times New Roman" w:hAnsi="Times New Roman" w:eastAsia="宋体" w:cs="Times New Roman"/>
                <w:sz w:val="24"/>
              </w:rPr>
            </w:pPr>
            <w:r>
              <w:rPr>
                <w:rFonts w:hint="default" w:ascii="Times New Roman" w:hAnsi="Times New Roman" w:eastAsia="宋体" w:cs="Times New Roman"/>
                <w:sz w:val="24"/>
              </w:rPr>
              <w:t>内容</w:t>
            </w:r>
          </w:p>
          <w:p>
            <w:pPr>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要素</w:t>
            </w:r>
          </w:p>
        </w:tc>
        <w:tc>
          <w:tcPr>
            <w:tcW w:w="1591" w:type="dxa"/>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排放口(编号、名称)/污染源</w:t>
            </w:r>
          </w:p>
        </w:tc>
        <w:tc>
          <w:tcPr>
            <w:tcW w:w="1728"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污染物项目</w:t>
            </w:r>
          </w:p>
        </w:tc>
        <w:tc>
          <w:tcPr>
            <w:tcW w:w="1959"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环境保护措施</w:t>
            </w:r>
          </w:p>
        </w:tc>
        <w:tc>
          <w:tcPr>
            <w:tcW w:w="2368"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restart"/>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大气环境</w:t>
            </w:r>
          </w:p>
        </w:tc>
        <w:tc>
          <w:tcPr>
            <w:tcW w:w="1591" w:type="dxa"/>
            <w:vAlign w:val="center"/>
          </w:tcPr>
          <w:p>
            <w:pPr>
              <w:adjustRightInd w:val="0"/>
              <w:snapToGrid w:val="0"/>
              <w:jc w:val="center"/>
              <w:rPr>
                <w:rFonts w:hint="default" w:ascii="Times New Roman" w:hAnsi="Times New Roman" w:eastAsia="宋体" w:cs="Times New Roman"/>
                <w:color w:val="FF0000"/>
                <w:sz w:val="24"/>
                <w:lang w:val="en-US"/>
              </w:rPr>
            </w:pPr>
            <w:r>
              <w:rPr>
                <w:rFonts w:hint="default" w:ascii="Times New Roman" w:hAnsi="Times New Roman" w:eastAsia="宋体" w:cs="Times New Roman"/>
                <w:color w:val="FF0000"/>
                <w:sz w:val="24"/>
                <w:lang w:val="en-US" w:eastAsia="zh-CN"/>
              </w:rPr>
              <w:t>有机废气排气筒</w:t>
            </w:r>
          </w:p>
        </w:tc>
        <w:tc>
          <w:tcPr>
            <w:tcW w:w="1728" w:type="dxa"/>
            <w:vAlign w:val="center"/>
          </w:tcPr>
          <w:p>
            <w:pPr>
              <w:adjustRightInd w:val="0"/>
              <w:snapToGrid w:val="0"/>
              <w:jc w:val="center"/>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szCs w:val="24"/>
                <w:lang w:val="en-US" w:eastAsia="zh-CN"/>
              </w:rPr>
              <w:t>非甲烷总烃</w:t>
            </w:r>
          </w:p>
        </w:tc>
        <w:tc>
          <w:tcPr>
            <w:tcW w:w="1959" w:type="dxa"/>
            <w:vAlign w:val="center"/>
          </w:tcPr>
          <w:p>
            <w:pPr>
              <w:adjustRightInd w:val="0"/>
              <w:snapToGrid w:val="0"/>
              <w:ind w:left="-26" w:right="36"/>
              <w:jc w:val="both"/>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color w:val="FF0000"/>
                <w:sz w:val="24"/>
              </w:rPr>
              <w:t>有机废气由万向吸收罩收集后通过1套二级活性炭吸附装置处理后通过高出楼顶3m的排气筒排放</w:t>
            </w:r>
          </w:p>
        </w:tc>
        <w:tc>
          <w:tcPr>
            <w:tcW w:w="2368"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《大气污染物综合排放标准》（GB16297-1996）有组织排放标准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continue"/>
            <w:vAlign w:val="center"/>
          </w:tcPr>
          <w:p>
            <w:pPr>
              <w:adjustRightInd w:val="0"/>
              <w:snapToGrid w:val="0"/>
              <w:jc w:val="center"/>
              <w:rPr>
                <w:rFonts w:hint="default" w:ascii="Times New Roman" w:hAnsi="Times New Roman" w:eastAsia="宋体" w:cs="Times New Roman"/>
                <w:sz w:val="24"/>
              </w:rPr>
            </w:pPr>
          </w:p>
        </w:tc>
        <w:tc>
          <w:tcPr>
            <w:tcW w:w="1591" w:type="dxa"/>
            <w:vAlign w:val="center"/>
          </w:tcPr>
          <w:p>
            <w:pPr>
              <w:adjustRightInd w:val="0"/>
              <w:snapToGrid w:val="0"/>
              <w:jc w:val="center"/>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无机废气排气筒</w:t>
            </w:r>
          </w:p>
        </w:tc>
        <w:tc>
          <w:tcPr>
            <w:tcW w:w="1728" w:type="dxa"/>
            <w:vAlign w:val="center"/>
          </w:tcPr>
          <w:p>
            <w:pPr>
              <w:adjustRightInd w:val="0"/>
              <w:snapToGrid w:val="0"/>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氯化氢、硫酸雾、氮氧化物、氟化氢、非甲烷总烃、氯化氢、硫酸雾、氮氧化物、氟化氢</w:t>
            </w:r>
          </w:p>
        </w:tc>
        <w:tc>
          <w:tcPr>
            <w:tcW w:w="1959" w:type="dxa"/>
            <w:vAlign w:val="center"/>
          </w:tcPr>
          <w:p>
            <w:pPr>
              <w:adjustRightInd w:val="0"/>
              <w:snapToGrid w:val="0"/>
              <w:ind w:left="-26" w:right="36"/>
              <w:jc w:val="both"/>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无机废气（主要为酸性气体）由万向吸收罩收集后通过1套SDG干法废气处理装置处理后通过高出楼顶3m高的排气筒排放</w:t>
            </w:r>
          </w:p>
        </w:tc>
        <w:tc>
          <w:tcPr>
            <w:tcW w:w="2368"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《大气污染物综合排放标准》（GB16297-1996）有组织排放标准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continue"/>
            <w:vAlign w:val="center"/>
          </w:tcPr>
          <w:p>
            <w:pPr>
              <w:adjustRightInd w:val="0"/>
              <w:snapToGrid w:val="0"/>
              <w:jc w:val="center"/>
              <w:rPr>
                <w:rFonts w:hint="default" w:ascii="Times New Roman" w:hAnsi="Times New Roman" w:eastAsia="宋体" w:cs="Times New Roman"/>
                <w:sz w:val="24"/>
                <w:lang w:eastAsia="zh-CN"/>
              </w:rPr>
            </w:pPr>
          </w:p>
        </w:tc>
        <w:tc>
          <w:tcPr>
            <w:tcW w:w="1591" w:type="dxa"/>
            <w:vAlign w:val="center"/>
          </w:tcPr>
          <w:p>
            <w:pPr>
              <w:adjustRightInd w:val="0"/>
              <w:snapToGrid w:val="0"/>
              <w:jc w:val="center"/>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eastAsia="zh-CN"/>
              </w:rPr>
              <w:t>厂界</w:t>
            </w:r>
          </w:p>
        </w:tc>
        <w:tc>
          <w:tcPr>
            <w:tcW w:w="1728"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val="en-US" w:eastAsia="zh-CN"/>
              </w:rPr>
              <w:t>非甲烷总烃、氯化氢、硫酸雾、氮氧化物、氟化氢、非甲烷总烃、氯化氢、硫酸雾、氮氧化物、氟化氢</w:t>
            </w:r>
          </w:p>
        </w:tc>
        <w:tc>
          <w:tcPr>
            <w:tcW w:w="1959" w:type="dxa"/>
            <w:vAlign w:val="center"/>
          </w:tcPr>
          <w:p>
            <w:pPr>
              <w:adjustRightInd w:val="0"/>
              <w:snapToGrid w:val="0"/>
              <w:ind w:left="-26" w:right="36"/>
              <w:jc w:val="center"/>
              <w:rPr>
                <w:rFonts w:hint="default" w:ascii="Times New Roman" w:hAnsi="Times New Roman" w:eastAsia="宋体" w:cs="Times New Roman"/>
                <w:bCs/>
                <w:color w:val="FF0000"/>
                <w:sz w:val="24"/>
                <w:szCs w:val="24"/>
                <w:lang w:eastAsia="zh-CN"/>
              </w:rPr>
            </w:pPr>
            <w:r>
              <w:rPr>
                <w:rFonts w:hint="default" w:ascii="Times New Roman" w:hAnsi="Times New Roman" w:eastAsia="宋体" w:cs="Times New Roman"/>
                <w:color w:val="FF0000"/>
                <w:sz w:val="24"/>
                <w:szCs w:val="24"/>
                <w:lang w:eastAsia="zh-CN"/>
              </w:rPr>
              <w:t>加强通风</w:t>
            </w:r>
          </w:p>
        </w:tc>
        <w:tc>
          <w:tcPr>
            <w:tcW w:w="2368"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满足《大气污染物综合排放标准》（GB16297-1996）中二级标准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restart"/>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地表水环境</w:t>
            </w:r>
          </w:p>
        </w:tc>
        <w:tc>
          <w:tcPr>
            <w:tcW w:w="1591"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实验废水（包括润洗废水、三次、四次清洗废水）、保 洁废水、纯水制备剩余浓水</w:t>
            </w:r>
          </w:p>
        </w:tc>
        <w:tc>
          <w:tcPr>
            <w:tcW w:w="1728" w:type="dxa"/>
            <w:vAlign w:val="center"/>
          </w:tcPr>
          <w:p>
            <w:pPr>
              <w:adjustRightInd w:val="0"/>
              <w:snapToGrid w:val="0"/>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全盐量</w:t>
            </w:r>
          </w:p>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val="en-US" w:eastAsia="zh-CN"/>
              </w:rPr>
              <w:t>pH、COD、BOD</w:t>
            </w:r>
            <w:r>
              <w:rPr>
                <w:rFonts w:hint="default" w:ascii="Times New Roman" w:hAnsi="Times New Roman" w:eastAsia="宋体" w:cs="Times New Roman"/>
                <w:color w:val="FF0000"/>
                <w:sz w:val="24"/>
                <w:szCs w:val="24"/>
                <w:vertAlign w:val="subscript"/>
                <w:lang w:val="en-US" w:eastAsia="zh-CN"/>
              </w:rPr>
              <w:t>5</w:t>
            </w:r>
            <w:r>
              <w:rPr>
                <w:rFonts w:hint="default" w:ascii="Times New Roman" w:hAnsi="Times New Roman" w:eastAsia="宋体" w:cs="Times New Roman"/>
                <w:color w:val="FF0000"/>
                <w:sz w:val="24"/>
                <w:szCs w:val="24"/>
                <w:lang w:val="en-US" w:eastAsia="zh-CN"/>
              </w:rPr>
              <w:t>、SS、氨氮、氟化物</w:t>
            </w:r>
          </w:p>
        </w:tc>
        <w:tc>
          <w:tcPr>
            <w:tcW w:w="1959"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cs="Times New Roman"/>
                <w:color w:val="FF0000"/>
                <w:sz w:val="24"/>
                <w:szCs w:val="24"/>
                <w:lang w:val="en-US" w:eastAsia="zh-CN"/>
              </w:rPr>
              <w:t>实验废水处理设备处理后排入市政污水管网</w:t>
            </w:r>
          </w:p>
        </w:tc>
        <w:tc>
          <w:tcPr>
            <w:tcW w:w="2368" w:type="dxa"/>
            <w:vMerge w:val="restart"/>
            <w:vAlign w:val="center"/>
          </w:tcPr>
          <w:p>
            <w:pPr>
              <w:adjustRightInd w:val="0"/>
              <w:snapToGrid w:val="0"/>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《污水排入城镇下水道水质标准》（GBT3.1962-2015）B级</w:t>
            </w:r>
          </w:p>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val="en-US" w:eastAsia="zh-CN"/>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692" w:type="dxa"/>
            <w:vMerge w:val="continue"/>
            <w:vAlign w:val="center"/>
          </w:tcPr>
          <w:p>
            <w:pPr>
              <w:adjustRightInd w:val="0"/>
              <w:snapToGrid w:val="0"/>
              <w:jc w:val="center"/>
              <w:rPr>
                <w:rFonts w:hint="default" w:ascii="Times New Roman" w:hAnsi="Times New Roman" w:eastAsia="宋体" w:cs="Times New Roman"/>
                <w:sz w:val="24"/>
                <w:lang w:eastAsia="zh-CN"/>
              </w:rPr>
            </w:pPr>
          </w:p>
        </w:tc>
        <w:tc>
          <w:tcPr>
            <w:tcW w:w="1591"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生活污水</w:t>
            </w:r>
          </w:p>
        </w:tc>
        <w:tc>
          <w:tcPr>
            <w:tcW w:w="1728" w:type="dxa"/>
            <w:vAlign w:val="center"/>
          </w:tcPr>
          <w:p>
            <w:pPr>
              <w:adjustRightInd w:val="0"/>
              <w:snapToGrid w:val="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szCs w:val="24"/>
                <w:lang w:val="en-US" w:eastAsia="zh-CN"/>
              </w:rPr>
              <w:t>COD、BOD</w:t>
            </w:r>
            <w:r>
              <w:rPr>
                <w:rFonts w:hint="default" w:ascii="Times New Roman" w:hAnsi="Times New Roman" w:eastAsia="宋体" w:cs="Times New Roman"/>
                <w:color w:val="FF0000"/>
                <w:sz w:val="24"/>
                <w:szCs w:val="24"/>
                <w:vertAlign w:val="subscript"/>
                <w:lang w:val="en-US" w:eastAsia="zh-CN"/>
              </w:rPr>
              <w:t>5</w:t>
            </w:r>
            <w:r>
              <w:rPr>
                <w:rFonts w:hint="default" w:ascii="Times New Roman" w:hAnsi="Times New Roman" w:eastAsia="宋体" w:cs="Times New Roman"/>
                <w:color w:val="FF0000"/>
                <w:sz w:val="24"/>
                <w:szCs w:val="24"/>
                <w:lang w:val="en-US" w:eastAsia="zh-CN"/>
              </w:rPr>
              <w:t>、SS、氨氮</w:t>
            </w:r>
          </w:p>
        </w:tc>
        <w:tc>
          <w:tcPr>
            <w:tcW w:w="1959" w:type="dxa"/>
            <w:vMerge w:val="restart"/>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color w:val="FF0000"/>
                <w:sz w:val="24"/>
                <w:szCs w:val="24"/>
                <w:lang w:val="en-US" w:eastAsia="zh-CN"/>
              </w:rPr>
              <w:t>经化粪池处理后通过市政管网进入宁县城区生活污水处理厂处理</w:t>
            </w:r>
          </w:p>
        </w:tc>
        <w:tc>
          <w:tcPr>
            <w:tcW w:w="2368" w:type="dxa"/>
            <w:vMerge w:val="continue"/>
            <w:vAlign w:val="center"/>
          </w:tcPr>
          <w:p>
            <w:pPr>
              <w:adjustRightInd w:val="0"/>
              <w:snapToGrid w:val="0"/>
              <w:jc w:val="center"/>
              <w:rPr>
                <w:rFonts w:hint="default" w:ascii="Times New Roman" w:hAnsi="Times New Roman" w:eastAsia="宋体" w:cs="Times New Roman"/>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92" w:type="dxa"/>
            <w:vMerge w:val="continue"/>
            <w:vAlign w:val="center"/>
          </w:tcPr>
          <w:p>
            <w:pPr>
              <w:adjustRightInd w:val="0"/>
              <w:snapToGrid w:val="0"/>
              <w:jc w:val="center"/>
              <w:rPr>
                <w:rFonts w:hint="default" w:ascii="Times New Roman" w:hAnsi="Times New Roman" w:eastAsia="宋体" w:cs="Times New Roman"/>
                <w:sz w:val="24"/>
                <w:lang w:eastAsia="zh-CN"/>
              </w:rPr>
            </w:pPr>
          </w:p>
        </w:tc>
        <w:tc>
          <w:tcPr>
            <w:tcW w:w="1591" w:type="dxa"/>
            <w:vAlign w:val="center"/>
          </w:tcPr>
          <w:p>
            <w:pPr>
              <w:adjustRightInd w:val="0"/>
              <w:snapToGrid w:val="0"/>
              <w:jc w:val="center"/>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val="en-US" w:eastAsia="zh-CN"/>
              </w:rPr>
              <w:t>地面清洁污水</w:t>
            </w:r>
          </w:p>
        </w:tc>
        <w:tc>
          <w:tcPr>
            <w:tcW w:w="1728" w:type="dxa"/>
            <w:vAlign w:val="center"/>
          </w:tcPr>
          <w:p>
            <w:pPr>
              <w:adjustRightInd w:val="0"/>
              <w:snapToGrid w:val="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szCs w:val="24"/>
                <w:lang w:val="en-US" w:eastAsia="zh-CN"/>
              </w:rPr>
              <w:t>COD、BOD</w:t>
            </w:r>
            <w:r>
              <w:rPr>
                <w:rFonts w:hint="default" w:ascii="Times New Roman" w:hAnsi="Times New Roman" w:eastAsia="宋体" w:cs="Times New Roman"/>
                <w:color w:val="FF0000"/>
                <w:sz w:val="24"/>
                <w:szCs w:val="24"/>
                <w:vertAlign w:val="subscript"/>
                <w:lang w:val="en-US" w:eastAsia="zh-CN"/>
              </w:rPr>
              <w:t>5</w:t>
            </w:r>
            <w:r>
              <w:rPr>
                <w:rFonts w:hint="default" w:ascii="Times New Roman" w:hAnsi="Times New Roman" w:eastAsia="宋体" w:cs="Times New Roman"/>
                <w:color w:val="FF0000"/>
                <w:sz w:val="24"/>
                <w:szCs w:val="24"/>
                <w:lang w:val="en-US" w:eastAsia="zh-CN"/>
              </w:rPr>
              <w:t>、SS、氨氮、阴离子表面活性剂</w:t>
            </w:r>
          </w:p>
        </w:tc>
        <w:tc>
          <w:tcPr>
            <w:tcW w:w="1959" w:type="dxa"/>
            <w:vMerge w:val="continue"/>
            <w:vAlign w:val="center"/>
          </w:tcPr>
          <w:p>
            <w:pPr>
              <w:adjustRightInd w:val="0"/>
              <w:snapToGrid w:val="0"/>
              <w:jc w:val="center"/>
              <w:rPr>
                <w:rFonts w:hint="default" w:ascii="Times New Roman" w:hAnsi="Times New Roman" w:eastAsia="宋体" w:cs="Times New Roman"/>
                <w:sz w:val="24"/>
                <w:lang w:eastAsia="zh-CN"/>
              </w:rPr>
            </w:pPr>
          </w:p>
        </w:tc>
        <w:tc>
          <w:tcPr>
            <w:tcW w:w="2368" w:type="dxa"/>
            <w:vMerge w:val="continue"/>
            <w:vAlign w:val="center"/>
          </w:tcPr>
          <w:p>
            <w:pPr>
              <w:adjustRightInd w:val="0"/>
              <w:snapToGrid w:val="0"/>
              <w:jc w:val="center"/>
              <w:rPr>
                <w:rFonts w:hint="default" w:ascii="Times New Roman" w:hAnsi="Times New Roman" w:eastAsia="宋体" w:cs="Times New Roman"/>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tcBorders>
              <w:bottom w:val="single" w:color="auto" w:sz="4" w:space="0"/>
            </w:tcBorders>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声环境</w:t>
            </w:r>
          </w:p>
        </w:tc>
        <w:tc>
          <w:tcPr>
            <w:tcW w:w="1591" w:type="dxa"/>
            <w:tcBorders>
              <w:bottom w:val="single" w:color="auto" w:sz="4" w:space="0"/>
            </w:tcBorders>
            <w:vAlign w:val="center"/>
          </w:tcPr>
          <w:p>
            <w:pPr>
              <w:autoSpaceDE w:val="0"/>
              <w:autoSpaceDN w:val="0"/>
              <w:adjustRightInd w:val="0"/>
              <w:jc w:val="center"/>
              <w:rPr>
                <w:rFonts w:hint="default" w:ascii="Times New Roman" w:hAnsi="Times New Roman" w:eastAsia="宋体" w:cs="Times New Roman"/>
                <w:sz w:val="24"/>
                <w:lang w:val="zh-CN"/>
              </w:rPr>
            </w:pPr>
            <w:r>
              <w:rPr>
                <w:rFonts w:hint="default" w:ascii="Times New Roman" w:hAnsi="Times New Roman" w:eastAsia="宋体" w:cs="Times New Roman"/>
                <w:sz w:val="24"/>
              </w:rPr>
              <w:t>设备噪声</w:t>
            </w:r>
          </w:p>
        </w:tc>
        <w:tc>
          <w:tcPr>
            <w:tcW w:w="1728" w:type="dxa"/>
            <w:tcBorders>
              <w:bottom w:val="single" w:color="auto" w:sz="4" w:space="0"/>
            </w:tcBorders>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噪声</w:t>
            </w:r>
          </w:p>
        </w:tc>
        <w:tc>
          <w:tcPr>
            <w:tcW w:w="1959" w:type="dxa"/>
            <w:vAlign w:val="center"/>
          </w:tcPr>
          <w:p>
            <w:pPr>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隔声门窗、选用低噪声设备、减震基座、挠性连接等</w:t>
            </w:r>
          </w:p>
        </w:tc>
        <w:tc>
          <w:tcPr>
            <w:tcW w:w="2368" w:type="dxa"/>
            <w:tcBorders>
              <w:bottom w:val="single" w:color="auto" w:sz="4" w:space="0"/>
            </w:tcBorders>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满足</w:t>
            </w:r>
            <w:r>
              <w:rPr>
                <w:rFonts w:hint="default" w:ascii="Times New Roman" w:hAnsi="Times New Roman" w:eastAsia="宋体" w:cs="Times New Roman"/>
                <w:bCs/>
                <w:kern w:val="44"/>
                <w:sz w:val="24"/>
                <w:szCs w:val="24"/>
                <w:lang w:eastAsia="zh-CN"/>
              </w:rPr>
              <w:t>《社会生活环境噪声排放标准》（GB22337-2008）</w:t>
            </w:r>
            <w:r>
              <w:rPr>
                <w:rFonts w:hint="default" w:ascii="Times New Roman" w:hAnsi="Times New Roman" w:eastAsia="宋体" w:cs="Times New Roman"/>
                <w:sz w:val="24"/>
                <w:lang w:eastAsia="zh-CN"/>
              </w:rPr>
              <w:t>1类声环境功能区标准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restart"/>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固体废物</w:t>
            </w:r>
          </w:p>
        </w:tc>
        <w:tc>
          <w:tcPr>
            <w:tcW w:w="1591" w:type="dxa"/>
            <w:tcBorders>
              <w:bottom w:val="single" w:color="auto" w:sz="4" w:space="0"/>
            </w:tcBorders>
            <w:vAlign w:val="center"/>
          </w:tcPr>
          <w:p>
            <w:pPr>
              <w:autoSpaceDE w:val="0"/>
              <w:autoSpaceDN w:val="0"/>
              <w:adjustRightIn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一般固废</w:t>
            </w:r>
          </w:p>
        </w:tc>
        <w:tc>
          <w:tcPr>
            <w:tcW w:w="1728" w:type="dxa"/>
            <w:tcBorders>
              <w:bottom w:val="single" w:color="auto" w:sz="4" w:space="0"/>
            </w:tcBorders>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lang w:eastAsia="zh-CN"/>
              </w:rPr>
              <w:t>废纸箱、废塑料、废纸</w:t>
            </w:r>
          </w:p>
        </w:tc>
        <w:tc>
          <w:tcPr>
            <w:tcW w:w="1959" w:type="dxa"/>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集中收集后外售</w:t>
            </w:r>
          </w:p>
        </w:tc>
        <w:tc>
          <w:tcPr>
            <w:tcW w:w="2368" w:type="dxa"/>
            <w:tcBorders>
              <w:bottom w:val="single" w:color="000000" w:sz="6" w:space="0"/>
            </w:tcBorders>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执行《一般工业固体废物贮存和填埋污染控制标准》（GB18599-2020）要求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Merge w:val="continue"/>
            <w:vAlign w:val="center"/>
          </w:tcPr>
          <w:p>
            <w:pPr>
              <w:adjustRightInd w:val="0"/>
              <w:snapToGrid w:val="0"/>
              <w:jc w:val="center"/>
              <w:rPr>
                <w:rFonts w:hint="default" w:ascii="Times New Roman" w:hAnsi="Times New Roman" w:eastAsia="宋体" w:cs="Times New Roman"/>
                <w:sz w:val="24"/>
                <w:lang w:eastAsia="zh-CN"/>
              </w:rPr>
            </w:pPr>
          </w:p>
        </w:tc>
        <w:tc>
          <w:tcPr>
            <w:tcW w:w="1591" w:type="dxa"/>
            <w:vAlign w:val="center"/>
          </w:tcPr>
          <w:p>
            <w:pPr>
              <w:autoSpaceDE w:val="0"/>
              <w:autoSpaceDN w:val="0"/>
              <w:adjustRightInd w:val="0"/>
              <w:jc w:val="center"/>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危废</w:t>
            </w:r>
          </w:p>
        </w:tc>
        <w:tc>
          <w:tcPr>
            <w:tcW w:w="1728" w:type="dxa"/>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废试剂及包装、检测废液、前两次清洗器皿废液</w:t>
            </w:r>
          </w:p>
        </w:tc>
        <w:tc>
          <w:tcPr>
            <w:tcW w:w="1959" w:type="dxa"/>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危废间暂存，</w:t>
            </w:r>
            <w:r>
              <w:rPr>
                <w:rFonts w:hint="default" w:ascii="Times New Roman" w:hAnsi="Times New Roman" w:eastAsia="宋体" w:cs="Times New Roman"/>
                <w:color w:val="auto"/>
                <w:sz w:val="24"/>
              </w:rPr>
              <w:t>委托有资质的单 位合理处置</w:t>
            </w:r>
          </w:p>
        </w:tc>
        <w:tc>
          <w:tcPr>
            <w:tcW w:w="2368" w:type="dxa"/>
            <w:tcBorders>
              <w:top w:val="single" w:color="000000" w:sz="6" w:space="0"/>
            </w:tcBorders>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《危险废物贮存污染控制标准》（GB18597-20</w:t>
            </w:r>
            <w:r>
              <w:rPr>
                <w:rFonts w:hint="default" w:ascii="Times New Roman" w:hAnsi="Times New Roman" w:eastAsia="宋体" w:cs="Times New Roman"/>
                <w:color w:val="auto"/>
                <w:sz w:val="24"/>
                <w:lang w:val="en-US" w:eastAsia="zh-CN"/>
              </w:rPr>
              <w:t>23</w:t>
            </w:r>
            <w:r>
              <w:rPr>
                <w:rFonts w:hint="default"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92"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电磁辐射</w:t>
            </w:r>
          </w:p>
        </w:tc>
        <w:tc>
          <w:tcPr>
            <w:tcW w:w="7646" w:type="dxa"/>
            <w:gridSpan w:val="4"/>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92" w:type="dxa"/>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土壤及地下水污染防治措施</w:t>
            </w:r>
          </w:p>
        </w:tc>
        <w:tc>
          <w:tcPr>
            <w:tcW w:w="7646" w:type="dxa"/>
            <w:gridSpan w:val="4"/>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对药剂室、污水管道、危废间采取相应措施，防止跑、冒、滴、漏，将污染物泄漏的环境风险事故降到最低程度，做到污染物“早发现、早处理”，减少由于埋地管道泄漏而造成的地下水污染。</w:t>
            </w:r>
          </w:p>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采取分区防渗措施，药剂室、危废间装置重点防渗；化粪池、一般固废区、实验室一般防渗；厂区路面、办公室简单防渗。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2"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生态保护措施</w:t>
            </w:r>
          </w:p>
        </w:tc>
        <w:tc>
          <w:tcPr>
            <w:tcW w:w="7646" w:type="dxa"/>
            <w:gridSpan w:val="4"/>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环境风险防范措施</w:t>
            </w:r>
          </w:p>
        </w:tc>
        <w:tc>
          <w:tcPr>
            <w:tcW w:w="7646" w:type="dxa"/>
            <w:gridSpan w:val="4"/>
            <w:vAlign w:val="center"/>
          </w:tcPr>
          <w:p>
            <w:pPr>
              <w:numPr>
                <w:ilvl w:val="0"/>
                <w:numId w:val="6"/>
              </w:num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火灾事故风险防范措施①原材料及成品区严禁吸烟，消除和控制明火源；②尽量减少原料存储量；③配备必要的火灾应急救援器材、设备，对消防设施定期检查，保证消防措施的有效性，并定期组织演练；④原料及产品有序存放，保持道路畅通，保证火灾发生时能有足够空间作为消防 通道。</w:t>
            </w:r>
          </w:p>
          <w:p>
            <w:pPr>
              <w:numPr>
                <w:ilvl w:val="0"/>
                <w:numId w:val="6"/>
              </w:numPr>
              <w:adjustRightInd w:val="0"/>
              <w:snapToGrid w:val="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泄漏事故风险防范措施①制定检测废液、清洗废液收集管理制度，杜绝收集过程中“跑、冒、滴、漏”等现象发生，杜绝偷排；②定期对液体原料、产品、检测设备、废料暂存等区域进行检查维护，减少泄漏 事故发生。</w:t>
            </w:r>
          </w:p>
          <w:p>
            <w:pPr>
              <w:adjustRightInd w:val="0"/>
              <w:snapToGrid w:val="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（3）物料存储 储存于阴凉、干燥、通风处。远离火种、热源。搬运时要轻装轻卸，防止包装及 容器损坏，储存温度不宜超过30℃。防止阳光直射，保持容器密封。配备相应 品种和数量的消防器材。</w:t>
            </w:r>
          </w:p>
          <w:p>
            <w:pPr>
              <w:adjustRightInd w:val="0"/>
              <w:snapToGrid w:val="0"/>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（4）其它风险防范措施危废暂存间指定具体联络人，并记录联络人的电话，当发生比较大的事故时，组 织人员迅速撤离现场。撤离过程中要请求环保、消防等部门协助，撤离后要对影响区进行联系监测。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Pr>
          <w:p>
            <w:pPr>
              <w:adjustRightInd w:val="0"/>
              <w:snapToGrid w:val="0"/>
              <w:jc w:val="center"/>
              <w:rPr>
                <w:rFonts w:hint="default" w:ascii="Times New Roman" w:hAnsi="Times New Roman" w:eastAsia="宋体" w:cs="Times New Roman"/>
                <w:spacing w:val="-8"/>
                <w:sz w:val="24"/>
              </w:rPr>
            </w:pPr>
            <w:r>
              <w:rPr>
                <w:rFonts w:hint="default" w:ascii="Times New Roman" w:hAnsi="Times New Roman" w:eastAsia="宋体" w:cs="Times New Roman"/>
                <w:spacing w:val="-8"/>
                <w:sz w:val="24"/>
              </w:rPr>
              <w:t>其他环境管理要求</w:t>
            </w:r>
          </w:p>
        </w:tc>
        <w:tc>
          <w:tcPr>
            <w:tcW w:w="7646" w:type="dxa"/>
            <w:gridSpan w:val="4"/>
            <w:vAlign w:val="center"/>
          </w:tcPr>
          <w:p>
            <w:pPr>
              <w:jc w:val="center"/>
              <w:rPr>
                <w:rFonts w:hint="default" w:ascii="Times New Roman" w:hAnsi="Times New Roman" w:cs="Times New Roman"/>
                <w:lang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单位要有相应领导负责安全环保工作，对员工加强安全环保教育，进行安全环保生产培训，编制应急预案，落实责任人和应急设备，并要进行演练，每半年一次</w:t>
            </w:r>
          </w:p>
          <w:p>
            <w:pPr>
              <w:jc w:val="center"/>
              <w:rPr>
                <w:rFonts w:hint="default" w:ascii="Times New Roman" w:hAnsi="Times New Roman" w:cs="Times New Roman"/>
                <w:lang w:eastAsia="zh-CN"/>
              </w:rPr>
            </w:pPr>
          </w:p>
          <w:p>
            <w:pPr>
              <w:jc w:val="center"/>
              <w:rPr>
                <w:rFonts w:hint="default" w:ascii="Times New Roman" w:hAnsi="Times New Roman" w:cs="Times New Roman"/>
                <w:lang w:eastAsia="zh-CN"/>
              </w:rPr>
            </w:pPr>
          </w:p>
          <w:p>
            <w:pPr>
              <w:jc w:val="center"/>
              <w:rPr>
                <w:rFonts w:hint="default" w:ascii="Times New Roman" w:hAnsi="Times New Roman" w:cs="Times New Roman"/>
                <w:lang w:eastAsia="zh-CN"/>
              </w:rPr>
            </w:pPr>
          </w:p>
          <w:p>
            <w:pPr>
              <w:jc w:val="center"/>
              <w:rPr>
                <w:rFonts w:hint="default" w:ascii="Times New Roman" w:hAnsi="Times New Roman" w:cs="Times New Roman"/>
                <w:lang w:eastAsia="zh-CN"/>
              </w:rPr>
            </w:pPr>
          </w:p>
          <w:p>
            <w:pPr>
              <w:jc w:val="center"/>
              <w:rPr>
                <w:rFonts w:hint="default" w:ascii="Times New Roman" w:hAnsi="Times New Roman" w:cs="Times New Roman"/>
                <w:lang w:eastAsia="zh-CN"/>
              </w:rPr>
            </w:pPr>
          </w:p>
          <w:p>
            <w:pPr>
              <w:pStyle w:val="2"/>
              <w:ind w:left="0" w:leftChars="0" w:firstLine="0" w:firstLineChars="0"/>
              <w:rPr>
                <w:rFonts w:hint="default" w:ascii="Times New Roman" w:hAnsi="Times New Roman" w:cs="Times New Roman"/>
                <w:lang w:eastAsia="zh-CN"/>
              </w:rPr>
            </w:pPr>
          </w:p>
        </w:tc>
      </w:tr>
    </w:tbl>
    <w:p>
      <w:pPr>
        <w:spacing w:line="360" w:lineRule="auto"/>
        <w:jc w:val="center"/>
        <w:outlineLvl w:val="0"/>
        <w:rPr>
          <w:rFonts w:hint="default" w:ascii="Times New Roman" w:hAnsi="Times New Roman" w:eastAsia="宋体" w:cs="Times New Roman"/>
          <w:b/>
          <w:sz w:val="30"/>
          <w:szCs w:val="30"/>
          <w:lang w:eastAsia="zh-CN"/>
        </w:rPr>
      </w:pPr>
      <w:bookmarkStart w:id="12" w:name="_Toc27663"/>
      <w:r>
        <w:rPr>
          <w:rFonts w:hint="default" w:ascii="Times New Roman" w:hAnsi="Times New Roman" w:eastAsia="宋体" w:cs="Times New Roman"/>
          <w:b/>
          <w:sz w:val="30"/>
          <w:szCs w:val="30"/>
        </w:rPr>
        <w:t>六、结论</w:t>
      </w:r>
      <w:bookmarkEnd w:id="12"/>
    </w:p>
    <w:tbl>
      <w:tblPr>
        <w:tblStyle w:val="28"/>
        <w:tblW w:w="0" w:type="auto"/>
        <w:tblInd w:w="1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6" w:type="dxa"/>
          </w:tcPr>
          <w:p>
            <w:pPr>
              <w:pStyle w:val="13"/>
              <w:spacing w:line="360" w:lineRule="auto"/>
              <w:ind w:firstLine="480" w:firstLineChars="200"/>
              <w:rPr>
                <w:rFonts w:hint="default" w:ascii="Times New Roman" w:hAnsi="Times New Roman" w:cs="Times New Roman"/>
                <w:bCs/>
                <w:sz w:val="24"/>
              </w:rPr>
            </w:pPr>
          </w:p>
          <w:p>
            <w:pPr>
              <w:pStyle w:val="13"/>
              <w:spacing w:line="360" w:lineRule="auto"/>
              <w:ind w:firstLine="480" w:firstLineChars="200"/>
              <w:rPr>
                <w:rFonts w:hint="default" w:ascii="Times New Roman" w:hAnsi="Times New Roman" w:cs="Times New Roman"/>
                <w:bCs/>
                <w:sz w:val="24"/>
              </w:rPr>
            </w:pPr>
          </w:p>
          <w:p>
            <w:pPr>
              <w:pStyle w:val="13"/>
              <w:spacing w:line="360" w:lineRule="auto"/>
              <w:ind w:firstLine="480" w:firstLineChars="200"/>
              <w:rPr>
                <w:rFonts w:hint="default" w:ascii="Times New Roman" w:hAnsi="Times New Roman" w:cs="Times New Roman"/>
                <w:bCs/>
                <w:sz w:val="24"/>
              </w:rPr>
            </w:pPr>
          </w:p>
          <w:p>
            <w:pPr>
              <w:pStyle w:val="13"/>
              <w:spacing w:line="360" w:lineRule="auto"/>
              <w:ind w:firstLine="480" w:firstLineChars="200"/>
              <w:rPr>
                <w:rFonts w:hint="default" w:ascii="Times New Roman" w:hAnsi="Times New Roman" w:cs="Times New Roman"/>
                <w:bCs/>
                <w:sz w:val="24"/>
              </w:rPr>
            </w:pPr>
          </w:p>
          <w:p>
            <w:pPr>
              <w:pStyle w:val="13"/>
              <w:spacing w:line="360" w:lineRule="auto"/>
              <w:ind w:firstLine="480" w:firstLineChars="200"/>
              <w:rPr>
                <w:rFonts w:hint="default" w:ascii="Times New Roman" w:hAnsi="Times New Roman" w:cs="Times New Roman"/>
                <w:bCs/>
                <w:sz w:val="24"/>
              </w:rPr>
            </w:pPr>
          </w:p>
          <w:p>
            <w:pPr>
              <w:pStyle w:val="13"/>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本项目建设符合国家及地方的产业政策，选址基本合理。采取的“三废”及噪声治理措施经济技术可行，措施有效，工程实施后满足当地环保质量要求。评价认为，在确保项目执行环境保护“三同时”制度和外排污染物达标的前提下，从环境保护角度而言本项目的建设是可行的。</w:t>
            </w:r>
          </w:p>
          <w:p>
            <w:pPr>
              <w:pStyle w:val="13"/>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因此，本环评认为从环保角度出发，项目的建设是可行的。</w:t>
            </w:r>
          </w:p>
          <w:p>
            <w:pPr>
              <w:pStyle w:val="48"/>
              <w:framePr w:hSpace="0" w:wrap="auto" w:vAnchor="margin" w:hAnchor="text" w:xAlign="left" w:yAlign="inline"/>
              <w:spacing w:line="360" w:lineRule="auto"/>
              <w:ind w:firstLine="480"/>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pPr>
          </w:p>
          <w:p>
            <w:pPr>
              <w:spacing w:line="360" w:lineRule="auto"/>
              <w:jc w:val="both"/>
              <w:rPr>
                <w:rFonts w:hint="default" w:ascii="Times New Roman" w:hAnsi="Times New Roman" w:eastAsia="宋体" w:cs="Times New Roman"/>
                <w:b/>
                <w:sz w:val="30"/>
                <w:szCs w:val="30"/>
                <w:lang w:eastAsia="zh-CN"/>
              </w:rPr>
            </w:pPr>
          </w:p>
        </w:tc>
      </w:tr>
    </w:tbl>
    <w:p>
      <w:pPr>
        <w:spacing w:line="360" w:lineRule="auto"/>
        <w:jc w:val="center"/>
        <w:rPr>
          <w:rFonts w:hint="default" w:ascii="Times New Roman" w:hAnsi="Times New Roman" w:eastAsia="宋体" w:cs="Times New Roman"/>
          <w:b/>
          <w:sz w:val="30"/>
          <w:szCs w:val="30"/>
          <w:lang w:eastAsia="zh-CN"/>
        </w:rPr>
      </w:pPr>
    </w:p>
    <w:p>
      <w:pPr>
        <w:spacing w:line="360" w:lineRule="auto"/>
        <w:jc w:val="center"/>
        <w:rPr>
          <w:rFonts w:hint="default" w:ascii="Times New Roman" w:hAnsi="Times New Roman" w:eastAsia="宋体" w:cs="Times New Roman"/>
          <w:b/>
          <w:sz w:val="30"/>
          <w:szCs w:val="30"/>
          <w:lang w:eastAsia="zh-CN"/>
        </w:rPr>
        <w:sectPr>
          <w:footerReference r:id="rId4" w:type="default"/>
          <w:pgSz w:w="11910" w:h="16840"/>
          <w:pgMar w:top="1134" w:right="1247" w:bottom="1134" w:left="1247" w:header="0" w:footer="567" w:gutter="0"/>
          <w:pgNumType w:fmt="decimal" w:start="1"/>
          <w:cols w:space="720" w:num="1"/>
          <w:docGrid w:linePitch="299" w:charSpace="0"/>
        </w:sectPr>
      </w:pPr>
    </w:p>
    <w:p>
      <w:pPr>
        <w:spacing w:line="360" w:lineRule="auto"/>
        <w:jc w:val="both"/>
        <w:outlineLvl w:val="0"/>
        <w:rPr>
          <w:rFonts w:hint="default" w:ascii="Times New Roman" w:hAnsi="Times New Roman" w:eastAsia="宋体" w:cs="Times New Roman"/>
          <w:b/>
          <w:sz w:val="32"/>
          <w:szCs w:val="32"/>
          <w:lang w:eastAsia="zh-CN"/>
        </w:rPr>
      </w:pPr>
      <w:bookmarkStart w:id="13" w:name="_Toc20470"/>
      <w:r>
        <w:rPr>
          <w:rFonts w:hint="default" w:ascii="Times New Roman" w:hAnsi="Times New Roman" w:eastAsia="宋体" w:cs="Times New Roman"/>
          <w:b/>
          <w:sz w:val="32"/>
          <w:szCs w:val="32"/>
          <w:lang w:eastAsia="zh-CN"/>
        </w:rPr>
        <w:t>附表</w:t>
      </w:r>
      <w:bookmarkEnd w:id="13"/>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snapToGrid w:val="0"/>
          <w:color w:val="000000" w:themeColor="text1"/>
          <w:sz w:val="24"/>
          <w:szCs w:val="24"/>
          <w14:textFill>
            <w14:solidFill>
              <w14:schemeClr w14:val="tx1"/>
            </w14:solidFill>
          </w14:textFill>
        </w:rPr>
      </w:pPr>
      <w:bookmarkStart w:id="14" w:name="_GoBack"/>
      <w:bookmarkEnd w:id="14"/>
      <w:r>
        <w:rPr>
          <w:rFonts w:hint="default" w:ascii="Times New Roman" w:hAnsi="Times New Roman" w:eastAsia="宋体" w:cs="Times New Roman"/>
          <w:snapToGrid w:val="0"/>
          <w:color w:val="000000" w:themeColor="text1"/>
          <w:sz w:val="24"/>
          <w:szCs w:val="24"/>
          <w14:textFill>
            <w14:solidFill>
              <w14:schemeClr w14:val="tx1"/>
            </w14:solidFill>
          </w14:textFill>
        </w:rPr>
        <w:t>建设项目污染物排放量汇总表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759"/>
        <w:gridCol w:w="1546"/>
        <w:gridCol w:w="1276"/>
        <w:gridCol w:w="1701"/>
        <w:gridCol w:w="1431"/>
        <w:gridCol w:w="1530"/>
        <w:gridCol w:w="1665"/>
        <w:gridCol w:w="1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1" w:type="dxa"/>
            <w:tcBorders>
              <w:tl2br w:val="single" w:color="auto" w:sz="4" w:space="0"/>
            </w:tcBorders>
            <w:noWrap w:val="0"/>
            <w:tcMar>
              <w:left w:w="28" w:type="dxa"/>
              <w:right w:w="28" w:type="dxa"/>
            </w:tcMar>
            <w:vAlign w:val="center"/>
          </w:tcPr>
          <w:p>
            <w:pPr>
              <w:pStyle w:val="83"/>
              <w:spacing w:beforeLines="0" w:afterLines="0" w:line="240" w:lineRule="auto"/>
              <w:jc w:val="right"/>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项目</w:t>
            </w:r>
          </w:p>
          <w:p>
            <w:pPr>
              <w:pStyle w:val="83"/>
              <w:spacing w:beforeLines="0" w:afterLines="0" w:line="240" w:lineRule="auto"/>
              <w:jc w:val="left"/>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分类</w:t>
            </w:r>
          </w:p>
        </w:tc>
        <w:tc>
          <w:tcPr>
            <w:tcW w:w="1759"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污染物名称</w:t>
            </w:r>
          </w:p>
        </w:tc>
        <w:tc>
          <w:tcPr>
            <w:tcW w:w="1546"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现有工程</w:t>
            </w:r>
          </w:p>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tc>
        <w:tc>
          <w:tcPr>
            <w:tcW w:w="1276"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现有工程</w:t>
            </w:r>
          </w:p>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许可排放量</w:t>
            </w:r>
          </w:p>
          <w:p>
            <w:pPr>
              <w:pStyle w:val="83"/>
              <w:spacing w:beforeLines="0" w:afterLines="0"/>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②</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tc>
        <w:tc>
          <w:tcPr>
            <w:tcW w:w="1701"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在建工程</w:t>
            </w:r>
          </w:p>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tc>
        <w:tc>
          <w:tcPr>
            <w:tcW w:w="1431"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本项目</w:t>
            </w:r>
          </w:p>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tc>
        <w:tc>
          <w:tcPr>
            <w:tcW w:w="1530"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以新带老削减量</w:t>
            </w:r>
          </w:p>
          <w:p>
            <w:pPr>
              <w:pStyle w:val="83"/>
              <w:spacing w:beforeLines="0" w:afterLines="0" w:line="240" w:lineRule="auto"/>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（新建项目不填）</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end"/>
            </w:r>
          </w:p>
        </w:tc>
        <w:tc>
          <w:tcPr>
            <w:tcW w:w="1665"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本项目建成后</w:t>
            </w:r>
          </w:p>
          <w:p>
            <w:pPr>
              <w:pStyle w:val="83"/>
              <w:spacing w:beforeLines="0" w:afterLines="0" w:line="240" w:lineRule="auto"/>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全厂排放量（固体废物产生量）</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end"/>
            </w:r>
          </w:p>
        </w:tc>
        <w:tc>
          <w:tcPr>
            <w:tcW w:w="1479" w:type="dxa"/>
            <w:noWrap w:val="0"/>
            <w:tcMar>
              <w:left w:w="28" w:type="dxa"/>
              <w:right w:w="28" w:type="dxa"/>
            </w:tcMar>
            <w:vAlign w:val="center"/>
          </w:tcPr>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变化量</w:t>
            </w:r>
          </w:p>
          <w:p>
            <w:pPr>
              <w:pStyle w:val="83"/>
              <w:spacing w:beforeLines="0" w:afterLines="0" w:line="240" w:lineRule="auto"/>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restart"/>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废气</w:t>
            </w: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挥发性有机物（无组织）</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0.072kg/a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挥发性有机物（有组织）</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0.1152kg/a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氯化氢</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0.75kg/a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硫酸雾</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1.5kg/a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氮氧化物</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0.705kg/a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氢氟酸</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0.06kg/a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restart"/>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废水</w:t>
            </w: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纯水制备废水</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4.5t/a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实验废液</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14.4t/a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生活污水</w:t>
            </w:r>
          </w:p>
        </w:tc>
        <w:tc>
          <w:tcPr>
            <w:tcW w:w="154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264t/a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地面清洁废水</w:t>
            </w:r>
          </w:p>
        </w:tc>
        <w:tc>
          <w:tcPr>
            <w:tcW w:w="154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12.8t/a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restart"/>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一般工业</w:t>
            </w:r>
          </w:p>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固体废物</w:t>
            </w: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生活垃圾</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3.125t/a</w:t>
            </w:r>
          </w:p>
        </w:tc>
        <w:tc>
          <w:tcPr>
            <w:tcW w:w="147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废反渗透膜</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0.04t/a</w:t>
            </w:r>
          </w:p>
        </w:tc>
        <w:tc>
          <w:tcPr>
            <w:tcW w:w="147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废包装</w:t>
            </w:r>
          </w:p>
        </w:tc>
        <w:tc>
          <w:tcPr>
            <w:tcW w:w="154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0.02t/a</w:t>
            </w:r>
          </w:p>
        </w:tc>
        <w:tc>
          <w:tcPr>
            <w:tcW w:w="147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restart"/>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危险废物</w:t>
            </w: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废活性炭</w:t>
            </w:r>
          </w:p>
        </w:tc>
        <w:tc>
          <w:tcPr>
            <w:tcW w:w="154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w:t>
            </w:r>
          </w:p>
        </w:tc>
        <w:tc>
          <w:tcPr>
            <w:tcW w:w="1276"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701"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43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w:t>
            </w:r>
          </w:p>
        </w:tc>
        <w:tc>
          <w:tcPr>
            <w:tcW w:w="1530"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c>
          <w:tcPr>
            <w:tcW w:w="1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1.5kg/a</w:t>
            </w:r>
          </w:p>
        </w:tc>
        <w:tc>
          <w:tcPr>
            <w:tcW w:w="1479" w:type="dxa"/>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lang w:val="en-US" w:eastAsia="zh-CN"/>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废渣、废试剂、废样品及失效药品</w:t>
            </w:r>
          </w:p>
        </w:tc>
        <w:tc>
          <w:tcPr>
            <w:tcW w:w="154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0.5t/a</w:t>
            </w:r>
          </w:p>
        </w:tc>
        <w:tc>
          <w:tcPr>
            <w:tcW w:w="1479"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废试剂瓶、废实验器皿、废手套</w:t>
            </w:r>
          </w:p>
        </w:tc>
        <w:tc>
          <w:tcPr>
            <w:tcW w:w="154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0.3t/a</w:t>
            </w:r>
          </w:p>
        </w:tc>
        <w:tc>
          <w:tcPr>
            <w:tcW w:w="1479"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废酸碱液</w:t>
            </w:r>
          </w:p>
        </w:tc>
        <w:tc>
          <w:tcPr>
            <w:tcW w:w="154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0.25t/a</w:t>
            </w:r>
          </w:p>
        </w:tc>
        <w:tc>
          <w:tcPr>
            <w:tcW w:w="1479"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1" w:type="dxa"/>
            <w:vMerge w:val="continue"/>
            <w:noWrap w:val="0"/>
            <w:vAlign w:val="center"/>
          </w:tcPr>
          <w:p>
            <w:pPr>
              <w:pStyle w:val="83"/>
              <w:spacing w:beforeLines="0" w:afterLines="0" w:line="240" w:lineRule="auto"/>
              <w:rPr>
                <w:rFonts w:hint="default" w:ascii="Times New Roman" w:hAnsi="Times New Roman" w:eastAsia="宋体" w:cs="Times New Roman"/>
                <w:snapToGrid w:val="0"/>
                <w:color w:val="000000" w:themeColor="text1"/>
                <w:kern w:val="21"/>
                <w:sz w:val="24"/>
                <w:szCs w:val="24"/>
                <w14:textFill>
                  <w14:solidFill>
                    <w14:schemeClr w14:val="tx1"/>
                  </w14:solidFill>
                </w14:textFill>
              </w:rPr>
            </w:pPr>
          </w:p>
        </w:tc>
        <w:tc>
          <w:tcPr>
            <w:tcW w:w="175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含金属废液</w:t>
            </w:r>
          </w:p>
        </w:tc>
        <w:tc>
          <w:tcPr>
            <w:tcW w:w="154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pPr>
          </w:p>
        </w:tc>
        <w:tc>
          <w:tcPr>
            <w:tcW w:w="1276"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701"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43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p>
        </w:tc>
        <w:tc>
          <w:tcPr>
            <w:tcW w:w="1530"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c>
          <w:tcPr>
            <w:tcW w:w="166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 w:val="24"/>
                <w:szCs w:val="24"/>
                <w:lang w:val="en-US" w:eastAsia="zh-CN" w:bidi="ar-SA"/>
                <w14:textFill>
                  <w14:solidFill>
                    <w14:schemeClr w14:val="tx1"/>
                  </w14:solidFill>
                </w14:textFill>
              </w:rPr>
              <w:t>0.15t/a</w:t>
            </w:r>
          </w:p>
        </w:tc>
        <w:tc>
          <w:tcPr>
            <w:tcW w:w="1479" w:type="dxa"/>
            <w:noWrap w:val="0"/>
            <w:vAlign w:val="center"/>
          </w:tcPr>
          <w:p>
            <w:pPr>
              <w:pStyle w:val="83"/>
              <w:spacing w:beforeLines="0" w:afterLines="0" w:line="240" w:lineRule="auto"/>
              <w:rPr>
                <w:rFonts w:hint="default" w:ascii="Times New Roman" w:hAnsi="Times New Roman" w:cs="Times New Roman"/>
                <w:snapToGrid w:val="0"/>
                <w:color w:val="000000" w:themeColor="text1"/>
                <w:kern w:val="21"/>
                <w:sz w:val="24"/>
                <w:szCs w:val="24"/>
                <w:lang w:val="en-US" w:eastAsia="zh-CN"/>
                <w14:textFill>
                  <w14:solidFill>
                    <w14:schemeClr w14:val="tx1"/>
                  </w14:solidFill>
                </w14:textFill>
              </w:rPr>
            </w:pPr>
          </w:p>
        </w:tc>
      </w:tr>
    </w:tbl>
    <w:p>
      <w:pPr>
        <w:pStyle w:val="83"/>
        <w:spacing w:before="192" w:beforeLines="80" w:after="24"/>
        <w:jc w:val="left"/>
        <w:rPr>
          <w:rFonts w:hint="default" w:ascii="Times New Roman" w:hAnsi="Times New Roman" w:eastAsia="宋体" w:cs="Times New Roman"/>
          <w:color w:val="000000" w:themeColor="text1"/>
          <w:sz w:val="24"/>
          <w:szCs w:val="24"/>
          <w14:textFill>
            <w14:solidFill>
              <w14:schemeClr w14:val="tx1"/>
            </w14:solidFill>
          </w14:textFill>
        </w:rPr>
        <w:sectPr>
          <w:footerReference r:id="rId5"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r>
        <w:rPr>
          <w:rFonts w:hint="default" w:ascii="Times New Roman" w:hAnsi="Times New Roman" w:eastAsia="宋体" w:cs="Times New Roman"/>
          <w:snapToGrid w:val="0"/>
          <w:color w:val="000000" w:themeColor="text1"/>
          <w:kern w:val="21"/>
          <w:sz w:val="24"/>
          <w:szCs w:val="24"/>
          <w14:textFill>
            <w14:solidFill>
              <w14:schemeClr w14:val="tx1"/>
            </w14:solidFill>
          </w14:textFill>
        </w:rPr>
        <w:t>注：</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 w:val="24"/>
          <w:szCs w:val="24"/>
          <w14:textFill>
            <w14:solidFill>
              <w14:schemeClr w14:val="tx1"/>
            </w14:solidFill>
          </w14:textFill>
        </w:rPr>
        <w:t>-</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 w:val="24"/>
          <w:szCs w:val="24"/>
          <w14:textFill>
            <w14:solidFill>
              <w14:schemeClr w14:val="tx1"/>
            </w14:solidFill>
          </w14:textFill>
        </w:rPr>
        <w:fldChar w:fldCharType="end"/>
      </w:r>
    </w:p>
    <w:p>
      <w:pPr>
        <w:adjustRightInd w:val="0"/>
        <w:spacing w:line="360" w:lineRule="auto"/>
        <w:ind w:firstLine="480" w:firstLineChars="200"/>
        <w:rPr>
          <w:rFonts w:hint="default" w:ascii="Times New Roman" w:hAnsi="Times New Roman" w:cs="Times New Roman"/>
          <w:sz w:val="24"/>
        </w:rPr>
      </w:pPr>
    </w:p>
    <w:p>
      <w:pPr>
        <w:adjustRightInd w:val="0"/>
        <w:spacing w:line="360" w:lineRule="auto"/>
        <w:ind w:firstLine="480" w:firstLineChars="200"/>
        <w:rPr>
          <w:rFonts w:hint="default" w:ascii="Times New Roman" w:hAnsi="Times New Roman" w:cs="Times New Roman"/>
          <w:sz w:val="24"/>
        </w:rPr>
      </w:pPr>
    </w:p>
    <w:p>
      <w:pPr>
        <w:adjustRightInd w:val="0"/>
        <w:spacing w:line="360" w:lineRule="auto"/>
        <w:ind w:firstLine="480" w:firstLineChars="200"/>
        <w:rPr>
          <w:rFonts w:hint="default" w:ascii="Times New Roman" w:hAnsi="Times New Roman" w:cs="Times New Roman"/>
          <w:sz w:val="24"/>
        </w:rPr>
      </w:pPr>
    </w:p>
    <w:p>
      <w:pPr>
        <w:pStyle w:val="2"/>
        <w:rPr>
          <w:rFonts w:hint="default" w:ascii="Times New Roman" w:hAnsi="Times New Roman" w:cs="Times New Roman"/>
          <w:color w:val="FF0000"/>
        </w:rPr>
      </w:pPr>
    </w:p>
    <w:p>
      <w:pPr>
        <w:adjustRightInd w:val="0"/>
        <w:spacing w:line="360" w:lineRule="auto"/>
        <w:ind w:firstLine="480" w:firstLineChars="200"/>
        <w:rPr>
          <w:rFonts w:hint="default" w:ascii="Times New Roman" w:hAnsi="Times New Roman" w:cs="Times New Roman"/>
          <w:color w:val="FF0000"/>
          <w:sz w:val="24"/>
        </w:rPr>
      </w:pPr>
    </w:p>
    <w:p>
      <w:pPr>
        <w:tabs>
          <w:tab w:val="left" w:pos="2850"/>
        </w:tabs>
        <w:adjustRightInd w:val="0"/>
        <w:spacing w:after="312" w:afterLines="100" w:line="360" w:lineRule="auto"/>
        <w:jc w:val="center"/>
        <w:rPr>
          <w:rFonts w:hint="default" w:ascii="Times New Roman" w:hAnsi="Times New Roman" w:cs="Times New Roman"/>
          <w:b/>
          <w:color w:val="FF0000"/>
          <w:sz w:val="44"/>
          <w:szCs w:val="44"/>
        </w:rPr>
      </w:pPr>
      <w:r>
        <w:rPr>
          <w:rFonts w:hint="default" w:ascii="Times New Roman" w:hAnsi="Times New Roman" w:cs="Times New Roman"/>
          <w:b/>
          <w:color w:val="FF0000"/>
          <w:sz w:val="44"/>
          <w:szCs w:val="44"/>
          <w:lang w:eastAsia="zh-CN"/>
        </w:rPr>
        <w:t>庆阳市宁县生态环境监测站建设项目</w:t>
      </w:r>
    </w:p>
    <w:p>
      <w:pPr>
        <w:pStyle w:val="2"/>
        <w:spacing w:after="624" w:afterLines="200" w:line="360" w:lineRule="auto"/>
        <w:ind w:left="0" w:leftChars="0" w:firstLine="0" w:firstLineChars="0"/>
        <w:jc w:val="center"/>
        <w:rPr>
          <w:rFonts w:hint="default" w:ascii="Times New Roman" w:hAnsi="Times New Roman" w:cs="Times New Roman"/>
          <w:b/>
          <w:color w:val="FF0000"/>
          <w:sz w:val="72"/>
          <w:szCs w:val="72"/>
        </w:rPr>
      </w:pPr>
      <w:r>
        <w:rPr>
          <w:rFonts w:hint="default" w:ascii="Times New Roman" w:hAnsi="Times New Roman" w:cs="Times New Roman"/>
          <w:b/>
          <w:color w:val="FF0000"/>
          <w:sz w:val="72"/>
          <w:szCs w:val="72"/>
        </w:rPr>
        <w:t>大气环境影响评价专章</w:t>
      </w: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pStyle w:val="2"/>
        <w:rPr>
          <w:rFonts w:hint="default" w:ascii="Times New Roman" w:hAnsi="Times New Roman" w:cs="Times New Roman"/>
          <w:color w:val="FF0000"/>
          <w:sz w:val="24"/>
        </w:rPr>
      </w:pPr>
    </w:p>
    <w:p>
      <w:pPr>
        <w:pStyle w:val="2"/>
        <w:ind w:left="0" w:leftChars="0" w:firstLine="0" w:firstLineChars="0"/>
        <w:rPr>
          <w:rFonts w:hint="default" w:ascii="Times New Roman" w:hAnsi="Times New Roman" w:cs="Times New Roman"/>
          <w:color w:val="FF0000"/>
          <w:sz w:val="24"/>
        </w:rPr>
      </w:pPr>
    </w:p>
    <w:p>
      <w:pPr>
        <w:rPr>
          <w:rFonts w:hint="default" w:ascii="Times New Roman" w:hAnsi="Times New Roman" w:cs="Times New Roman"/>
          <w:color w:val="FF0000"/>
        </w:rPr>
      </w:pPr>
    </w:p>
    <w:p>
      <w:pPr>
        <w:tabs>
          <w:tab w:val="left" w:pos="2850"/>
        </w:tabs>
        <w:adjustRightInd w:val="0"/>
        <w:spacing w:after="312" w:afterLines="100" w:line="360" w:lineRule="auto"/>
        <w:jc w:val="center"/>
        <w:rPr>
          <w:rFonts w:hint="default" w:ascii="Times New Roman" w:hAnsi="Times New Roman" w:cs="Times New Roman"/>
          <w:b/>
          <w:color w:val="FF0000"/>
          <w:sz w:val="32"/>
          <w:szCs w:val="32"/>
        </w:rPr>
      </w:pPr>
      <w:r>
        <w:rPr>
          <w:rFonts w:hint="default" w:ascii="Times New Roman" w:hAnsi="Times New Roman" w:cs="Times New Roman"/>
          <w:b/>
          <w:color w:val="FF0000"/>
          <w:sz w:val="32"/>
          <w:szCs w:val="32"/>
        </w:rPr>
        <w:t>建设单位（盖章）：</w:t>
      </w:r>
      <w:r>
        <w:rPr>
          <w:rFonts w:hint="default" w:ascii="Times New Roman" w:hAnsi="Times New Roman" w:cs="Times New Roman"/>
          <w:b/>
          <w:color w:val="FF0000"/>
          <w:sz w:val="32"/>
          <w:szCs w:val="32"/>
          <w:lang w:val="en-US" w:eastAsia="zh-CN"/>
        </w:rPr>
        <w:t>宁县生态环境监测站</w:t>
      </w:r>
      <w:r>
        <w:rPr>
          <w:rFonts w:hint="default" w:ascii="Times New Roman" w:hAnsi="Times New Roman" w:cs="Times New Roman"/>
          <w:b/>
          <w:color w:val="FF0000"/>
          <w:sz w:val="32"/>
          <w:szCs w:val="32"/>
        </w:rPr>
        <w:t xml:space="preserve">     </w:t>
      </w:r>
    </w:p>
    <w:p>
      <w:pPr>
        <w:tabs>
          <w:tab w:val="left" w:pos="2850"/>
        </w:tabs>
        <w:adjustRightInd w:val="0"/>
        <w:spacing w:after="312" w:afterLines="100" w:line="360" w:lineRule="auto"/>
        <w:jc w:val="center"/>
        <w:rPr>
          <w:rFonts w:hint="default" w:ascii="Times New Roman" w:hAnsi="Times New Roman" w:cs="Times New Roman"/>
          <w:color w:val="FF0000"/>
          <w:sz w:val="24"/>
        </w:rPr>
      </w:pPr>
      <w:r>
        <w:rPr>
          <w:rFonts w:hint="default" w:ascii="Times New Roman" w:hAnsi="Times New Roman" w:cs="Times New Roman"/>
          <w:b/>
          <w:color w:val="FF0000"/>
          <w:sz w:val="32"/>
          <w:szCs w:val="32"/>
        </w:rPr>
        <w:t>编制日期： 二〇二</w:t>
      </w:r>
      <w:r>
        <w:rPr>
          <w:rFonts w:hint="default" w:ascii="Times New Roman" w:hAnsi="Times New Roman" w:cs="Times New Roman"/>
          <w:b/>
          <w:color w:val="FF0000"/>
          <w:sz w:val="32"/>
          <w:szCs w:val="32"/>
          <w:lang w:val="en-US" w:eastAsia="zh-CN"/>
        </w:rPr>
        <w:t>三</w:t>
      </w:r>
      <w:r>
        <w:rPr>
          <w:rFonts w:hint="default" w:ascii="Times New Roman" w:hAnsi="Times New Roman" w:cs="Times New Roman"/>
          <w:b/>
          <w:color w:val="FF0000"/>
          <w:sz w:val="32"/>
          <w:szCs w:val="32"/>
        </w:rPr>
        <w:t>年</w:t>
      </w:r>
      <w:r>
        <w:rPr>
          <w:rFonts w:hint="default" w:ascii="Times New Roman" w:hAnsi="Times New Roman" w:cs="Times New Roman"/>
          <w:b/>
          <w:color w:val="FF0000"/>
          <w:sz w:val="32"/>
          <w:szCs w:val="32"/>
          <w:lang w:val="en-US" w:eastAsia="zh-CN"/>
        </w:rPr>
        <w:t>八</w:t>
      </w:r>
      <w:r>
        <w:rPr>
          <w:rFonts w:hint="default" w:ascii="Times New Roman" w:hAnsi="Times New Roman" w:cs="Times New Roman"/>
          <w:b/>
          <w:color w:val="FF0000"/>
          <w:sz w:val="32"/>
          <w:szCs w:val="32"/>
        </w:rPr>
        <w:t xml:space="preserve">月 </w:t>
      </w:r>
      <w:r>
        <w:rPr>
          <w:rFonts w:hint="default" w:ascii="Times New Roman" w:hAnsi="Times New Roman" w:cs="Times New Roman"/>
          <w:color w:val="FF0000"/>
          <w:sz w:val="32"/>
          <w:szCs w:val="32"/>
        </w:rPr>
        <w:t xml:space="preserve">    </w:t>
      </w:r>
      <w:r>
        <w:rPr>
          <w:rFonts w:hint="default" w:ascii="Times New Roman" w:hAnsi="Times New Roman" w:cs="Times New Roman"/>
          <w:color w:val="FF0000"/>
          <w:sz w:val="24"/>
        </w:rPr>
        <w:t xml:space="preserve">        </w:t>
      </w:r>
    </w:p>
    <w:p>
      <w:pPr>
        <w:tabs>
          <w:tab w:val="left" w:pos="3705"/>
        </w:tabs>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rPr>
          <w:rFonts w:hint="default" w:ascii="Times New Roman" w:hAnsi="Times New Roman" w:cs="Times New Roman"/>
          <w:color w:val="FF0000"/>
          <w:sz w:val="24"/>
        </w:rPr>
      </w:pP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（1）工作等级确定</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根据《建设项目环境影响评价技术导则总纲》（HJ2.1-2016）、《环境影响评价技术导则-大气环境》（HJ2.2-2018）中有关环评工作等级划分规则，确定本项目评价等级。</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①确定依据</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项目排放的主要大气污染物为</w:t>
      </w:r>
      <w:r>
        <w:rPr>
          <w:rFonts w:hint="default" w:ascii="Times New Roman" w:hAnsi="Times New Roman" w:eastAsia="宋体" w:cs="Times New Roman"/>
          <w:color w:val="FF0000"/>
          <w:sz w:val="24"/>
          <w:szCs w:val="24"/>
          <w:lang w:val="en-US" w:eastAsia="zh-CN"/>
        </w:rPr>
        <w:t>非甲烷总烃、氯化氢、硫酸雾、氮氧化物</w:t>
      </w:r>
      <w:r>
        <w:rPr>
          <w:rFonts w:hint="default" w:ascii="Times New Roman" w:hAnsi="Times New Roman" w:cs="Times New Roman"/>
          <w:color w:val="FF0000"/>
          <w:sz w:val="24"/>
        </w:rPr>
        <w:t>，按《环境影响评价技术导则-大气环境》（HJ2.2-2018），根据项目污染源初步调查结果，分别计算项目排放主要污染物的最大地面空气质量浓度占标率Pi（第i个污染物，筒称“最大浓度占标率”），及第i个污染物的地面空气质量浓度达到标准值的10%时所对应的最远距离D10%。其中 Pi定义为：</w:t>
      </w:r>
    </w:p>
    <w:p>
      <w:pPr>
        <w:pStyle w:val="2"/>
        <w:ind w:firstLine="480"/>
        <w:jc w:val="both"/>
        <w:rPr>
          <w:rFonts w:hint="default" w:ascii="Times New Roman" w:hAnsi="Times New Roman" w:cs="Times New Roman"/>
          <w:color w:val="FF0000"/>
        </w:rPr>
      </w:pPr>
      <w:r>
        <w:rPr>
          <w:rFonts w:hint="default" w:ascii="Times New Roman" w:hAnsi="Times New Roman" w:cs="Times New Roman"/>
          <w:color w:val="FF0000"/>
        </w:rPr>
        <w:drawing>
          <wp:anchor distT="0" distB="0" distL="114300" distR="114300" simplePos="0" relativeHeight="251662336" behindDoc="0" locked="0" layoutInCell="1" allowOverlap="1">
            <wp:simplePos x="0" y="0"/>
            <wp:positionH relativeFrom="column">
              <wp:posOffset>1726565</wp:posOffset>
            </wp:positionH>
            <wp:positionV relativeFrom="paragraph">
              <wp:posOffset>66675</wp:posOffset>
            </wp:positionV>
            <wp:extent cx="1315085" cy="435610"/>
            <wp:effectExtent l="0" t="0" r="5715" b="8890"/>
            <wp:wrapNone/>
            <wp:docPr id="23" name="图片 1" descr="QQ浏览器截图201901261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QQ浏览器截图20190126140025"/>
                    <pic:cNvPicPr>
                      <a:picLocks noChangeAspect="1"/>
                    </pic:cNvPicPr>
                  </pic:nvPicPr>
                  <pic:blipFill>
                    <a:blip r:embed="rId14"/>
                    <a:stretch>
                      <a:fillRect/>
                    </a:stretch>
                  </pic:blipFill>
                  <pic:spPr>
                    <a:xfrm>
                      <a:off x="0" y="0"/>
                      <a:ext cx="1315085" cy="435610"/>
                    </a:xfrm>
                    <a:prstGeom prst="rect">
                      <a:avLst/>
                    </a:prstGeom>
                    <a:noFill/>
                    <a:ln>
                      <a:noFill/>
                    </a:ln>
                  </pic:spPr>
                </pic:pic>
              </a:graphicData>
            </a:graphic>
          </wp:anchor>
        </w:drawing>
      </w:r>
    </w:p>
    <w:p>
      <w:pPr>
        <w:adjustRightInd w:val="0"/>
        <w:spacing w:line="360" w:lineRule="auto"/>
        <w:ind w:firstLine="480" w:firstLineChars="200"/>
        <w:jc w:val="both"/>
        <w:rPr>
          <w:rFonts w:hint="default" w:ascii="Times New Roman" w:hAnsi="Times New Roman" w:cs="Times New Roman"/>
          <w:color w:val="FF0000"/>
          <w:sz w:val="24"/>
        </w:rPr>
      </w:pP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 xml:space="preserve"> 式中：Pi---第 i 个污染物的最大地面空气质量浓度占标率，%；</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C</w:t>
      </w:r>
      <w:r>
        <w:rPr>
          <w:rFonts w:hint="default" w:ascii="Times New Roman" w:hAnsi="Times New Roman" w:cs="Times New Roman"/>
          <w:color w:val="FF0000"/>
          <w:sz w:val="24"/>
          <w:vertAlign w:val="subscript"/>
        </w:rPr>
        <w:t>i</w:t>
      </w:r>
      <w:r>
        <w:rPr>
          <w:rFonts w:hint="default" w:ascii="Times New Roman" w:hAnsi="Times New Roman" w:cs="Times New Roman"/>
          <w:color w:val="FF0000"/>
          <w:sz w:val="24"/>
        </w:rPr>
        <w:t xml:space="preserve"> ---采用估算模型计算出的第i个污染物的最大1h地面空气质量浓度，μg/m</w:t>
      </w:r>
      <w:r>
        <w:rPr>
          <w:rFonts w:hint="default" w:ascii="Times New Roman" w:hAnsi="Times New Roman" w:cs="Times New Roman"/>
          <w:color w:val="FF0000"/>
          <w:sz w:val="24"/>
          <w:vertAlign w:val="superscript"/>
        </w:rPr>
        <w:t>3</w:t>
      </w:r>
      <w:r>
        <w:rPr>
          <w:rFonts w:hint="default" w:ascii="Times New Roman" w:hAnsi="Times New Roman" w:cs="Times New Roman"/>
          <w:color w:val="FF0000"/>
          <w:sz w:val="24"/>
        </w:rPr>
        <w:t>；</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C</w:t>
      </w:r>
      <w:r>
        <w:rPr>
          <w:rFonts w:hint="default" w:ascii="Times New Roman" w:hAnsi="Times New Roman" w:cs="Times New Roman"/>
          <w:color w:val="FF0000"/>
          <w:sz w:val="24"/>
          <w:vertAlign w:val="subscript"/>
        </w:rPr>
        <w:t>0i</w:t>
      </w:r>
      <w:r>
        <w:rPr>
          <w:rFonts w:hint="default" w:ascii="Times New Roman" w:hAnsi="Times New Roman" w:cs="Times New Roman"/>
          <w:color w:val="FF0000"/>
          <w:sz w:val="24"/>
        </w:rPr>
        <w:t xml:space="preserve"> --第i个污染物的环境空气质量标准，μg/m</w:t>
      </w:r>
      <w:r>
        <w:rPr>
          <w:rFonts w:hint="default" w:ascii="Times New Roman" w:hAnsi="Times New Roman" w:cs="Times New Roman"/>
          <w:color w:val="FF0000"/>
          <w:sz w:val="24"/>
          <w:vertAlign w:val="superscript"/>
        </w:rPr>
        <w:t>3</w:t>
      </w:r>
      <w:r>
        <w:rPr>
          <w:rFonts w:hint="default" w:ascii="Times New Roman" w:hAnsi="Times New Roman" w:cs="Times New Roman"/>
          <w:color w:val="FF0000"/>
          <w:sz w:val="24"/>
        </w:rPr>
        <w:t>。一般选用GB3095中1h平均质量浓度的二级浓度限值，如项目位于一类环境空气功能区，应选择相应的一级浓度限值；对该标准中未包含的污染物，使用《环境影响评价技术导则-大气环境》（HJ2.2-2018）中5.2确定的各评价因子1h平均质量浓度限值。对仅有8h平均质量浓度限值、日平均质量浓度限值或年平均质量浓度限值的，可分别按2倍、3倍、6倍折算为1h平均质量浓度限值。</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评价工作等级按表7-6的分级判据进行划分，如污染物i大于1，取P值中最大者Pmax 。</w:t>
      </w:r>
    </w:p>
    <w:p>
      <w:pPr>
        <w:adjustRightInd w:val="0"/>
        <w:spacing w:line="360" w:lineRule="auto"/>
        <w:ind w:firstLine="480" w:firstLineChars="200"/>
        <w:jc w:val="both"/>
        <w:rPr>
          <w:rFonts w:hint="default" w:ascii="Times New Roman" w:hAnsi="Times New Roman" w:cs="Times New Roman"/>
          <w:color w:val="FF0000"/>
          <w:sz w:val="24"/>
        </w:rPr>
      </w:pPr>
      <w:r>
        <w:rPr>
          <w:rFonts w:hint="default" w:ascii="Times New Roman" w:hAnsi="Times New Roman" w:cs="Times New Roman"/>
          <w:color w:val="FF0000"/>
          <w:sz w:val="24"/>
        </w:rPr>
        <w:t>同一项目有多个污染源(两个及以上)时，则按各污染源分别确定评价等级，并取评价等级最高者作为项目的评价等级。</w:t>
      </w:r>
    </w:p>
    <w:p>
      <w:pPr>
        <w:adjustRightInd w:val="0"/>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表1-1    大气评价工作等级划分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9"/>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9" w:type="dxa"/>
            <w:shd w:val="clear" w:color="auto" w:fill="auto"/>
            <w:noWrap w:val="0"/>
            <w:vAlign w:val="top"/>
          </w:tcPr>
          <w:p>
            <w:pPr>
              <w:adjustRightInd w:val="0"/>
              <w:ind w:firstLine="422" w:firstLineChars="192"/>
              <w:jc w:val="center"/>
              <w:rPr>
                <w:rFonts w:hint="default" w:ascii="Times New Roman" w:hAnsi="Times New Roman" w:cs="Times New Roman"/>
                <w:color w:val="FF0000"/>
                <w:szCs w:val="21"/>
              </w:rPr>
            </w:pPr>
            <w:r>
              <w:rPr>
                <w:rFonts w:hint="default" w:ascii="Times New Roman" w:hAnsi="Times New Roman" w:cs="Times New Roman"/>
                <w:color w:val="FF0000"/>
                <w:szCs w:val="21"/>
              </w:rPr>
              <w:t>评价工作等级</w:t>
            </w:r>
          </w:p>
        </w:tc>
        <w:tc>
          <w:tcPr>
            <w:tcW w:w="4341" w:type="dxa"/>
            <w:shd w:val="clear" w:color="auto" w:fill="auto"/>
            <w:noWrap w:val="0"/>
            <w:vAlign w:val="top"/>
          </w:tcPr>
          <w:p>
            <w:pPr>
              <w:adjustRightInd w:val="0"/>
              <w:ind w:firstLine="440" w:firstLineChars="200"/>
              <w:jc w:val="center"/>
              <w:rPr>
                <w:rFonts w:hint="default" w:ascii="Times New Roman" w:hAnsi="Times New Roman" w:cs="Times New Roman"/>
                <w:color w:val="FF0000"/>
                <w:szCs w:val="21"/>
              </w:rPr>
            </w:pPr>
            <w:r>
              <w:rPr>
                <w:rFonts w:hint="default" w:ascii="Times New Roman" w:hAnsi="Times New Roman" w:cs="Times New Roman"/>
                <w:color w:val="FF0000"/>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9" w:type="dxa"/>
            <w:shd w:val="clear" w:color="auto" w:fill="auto"/>
            <w:noWrap w:val="0"/>
            <w:vAlign w:val="top"/>
          </w:tcPr>
          <w:p>
            <w:pPr>
              <w:adjustRightInd w:val="0"/>
              <w:ind w:firstLine="422" w:firstLineChars="192"/>
              <w:jc w:val="center"/>
              <w:rPr>
                <w:rFonts w:hint="default" w:ascii="Times New Roman" w:hAnsi="Times New Roman" w:cs="Times New Roman"/>
                <w:color w:val="FF0000"/>
                <w:szCs w:val="21"/>
              </w:rPr>
            </w:pPr>
            <w:r>
              <w:rPr>
                <w:rFonts w:hint="default" w:ascii="Times New Roman" w:hAnsi="Times New Roman" w:cs="Times New Roman"/>
                <w:color w:val="FF0000"/>
                <w:szCs w:val="21"/>
              </w:rPr>
              <w:t>一级</w:t>
            </w:r>
          </w:p>
        </w:tc>
        <w:tc>
          <w:tcPr>
            <w:tcW w:w="4341" w:type="dxa"/>
            <w:shd w:val="clear" w:color="auto" w:fill="auto"/>
            <w:noWrap w:val="0"/>
            <w:vAlign w:val="top"/>
          </w:tcPr>
          <w:p>
            <w:pPr>
              <w:adjustRightIn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9" w:type="dxa"/>
            <w:shd w:val="clear" w:color="auto" w:fill="auto"/>
            <w:noWrap w:val="0"/>
            <w:vAlign w:val="top"/>
          </w:tcPr>
          <w:p>
            <w:pPr>
              <w:adjustRightInd w:val="0"/>
              <w:ind w:firstLine="422" w:firstLineChars="192"/>
              <w:jc w:val="center"/>
              <w:rPr>
                <w:rFonts w:hint="default" w:ascii="Times New Roman" w:hAnsi="Times New Roman" w:cs="Times New Roman"/>
                <w:color w:val="FF0000"/>
                <w:szCs w:val="21"/>
              </w:rPr>
            </w:pPr>
            <w:r>
              <w:rPr>
                <w:rFonts w:hint="default" w:ascii="Times New Roman" w:hAnsi="Times New Roman" w:cs="Times New Roman"/>
                <w:color w:val="FF0000"/>
                <w:szCs w:val="21"/>
              </w:rPr>
              <w:t>二级</w:t>
            </w:r>
          </w:p>
        </w:tc>
        <w:tc>
          <w:tcPr>
            <w:tcW w:w="4341" w:type="dxa"/>
            <w:shd w:val="clear" w:color="auto" w:fill="auto"/>
            <w:noWrap w:val="0"/>
            <w:vAlign w:val="top"/>
          </w:tcPr>
          <w:p>
            <w:pPr>
              <w:adjustRightIn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9" w:type="dxa"/>
            <w:shd w:val="clear" w:color="auto" w:fill="auto"/>
            <w:noWrap w:val="0"/>
            <w:vAlign w:val="top"/>
          </w:tcPr>
          <w:p>
            <w:pPr>
              <w:adjustRightInd w:val="0"/>
              <w:ind w:firstLine="422" w:firstLineChars="192"/>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c>
          <w:tcPr>
            <w:tcW w:w="4341" w:type="dxa"/>
            <w:shd w:val="clear" w:color="auto" w:fill="auto"/>
            <w:noWrap w:val="0"/>
            <w:vAlign w:val="top"/>
          </w:tcPr>
          <w:p>
            <w:pPr>
              <w:adjustRightIn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Pmax＜1%</w:t>
            </w:r>
          </w:p>
        </w:tc>
      </w:tr>
    </w:tbl>
    <w:p>
      <w:pPr>
        <w:adjustRightInd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 估算模型计算</w:t>
      </w:r>
    </w:p>
    <w:p>
      <w:pPr>
        <w:adjustRightInd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由工程分析可知</w:t>
      </w:r>
    </w:p>
    <w:p>
      <w:pPr>
        <w:adjustRightInd w:val="0"/>
        <w:jc w:val="center"/>
        <w:rPr>
          <w:rFonts w:hint="default" w:ascii="Times New Roman" w:hAnsi="Times New Roman" w:cs="Times New Roman"/>
          <w:b/>
          <w:bCs/>
          <w:color w:val="FF0000"/>
          <w:szCs w:val="21"/>
          <w:shd w:val="clear" w:color="auto" w:fill="FFFFFF"/>
        </w:rPr>
      </w:pPr>
      <w:r>
        <w:rPr>
          <w:rFonts w:hint="default" w:ascii="Times New Roman" w:hAnsi="Times New Roman" w:cs="Times New Roman"/>
          <w:b/>
          <w:bCs/>
          <w:color w:val="FF0000"/>
          <w:szCs w:val="21"/>
        </w:rPr>
        <w:t>表1-2  估算模型参数表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31" w:type="dxa"/>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参数</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城市/农村选项</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城市/农村</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人口数（城市选项时）</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31" w:type="dxa"/>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最高环境温度℃</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color w:val="FF0000"/>
                <w:spacing w:val="1"/>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31" w:type="dxa"/>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最低环境温度℃</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color w:val="FF0000"/>
                <w:spacing w:val="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31" w:type="dxa"/>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土地利用类型</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color w:val="FF0000"/>
                <w:spacing w:val="1"/>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31" w:type="dxa"/>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区域湿度条件</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干燥气候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6" w:type="dxa"/>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是否考虑地形</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考虑地形</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地形数据分辨率/m</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是否考虑岸线熏烟</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考虑岸线熏烟</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岸线距离/km</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6"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岸线方向/</w:t>
            </w:r>
          </w:p>
        </w:tc>
        <w:tc>
          <w:tcPr>
            <w:tcW w:w="2835" w:type="dxa"/>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w:t>
            </w:r>
          </w:p>
        </w:tc>
      </w:tr>
    </w:tbl>
    <w:p>
      <w:pPr>
        <w:adjustRightInd w:val="0"/>
        <w:snapToGrid w:val="0"/>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表1-3   有组织废气点源参数表</w:t>
      </w:r>
    </w:p>
    <w:tbl>
      <w:tblPr>
        <w:tblStyle w:val="27"/>
        <w:tblW w:w="4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619"/>
        <w:gridCol w:w="1448"/>
        <w:gridCol w:w="1329"/>
        <w:gridCol w:w="622"/>
        <w:gridCol w:w="538"/>
        <w:gridCol w:w="557"/>
        <w:gridCol w:w="748"/>
        <w:gridCol w:w="587"/>
        <w:gridCol w:w="49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9"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污染源</w:t>
            </w:r>
          </w:p>
        </w:tc>
        <w:tc>
          <w:tcPr>
            <w:tcW w:w="353"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名称</w:t>
            </w:r>
          </w:p>
        </w:tc>
        <w:tc>
          <w:tcPr>
            <w:tcW w:w="1584" w:type="pct"/>
            <w:gridSpan w:val="2"/>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排气筒底部中心坐标（m）</w:t>
            </w:r>
          </w:p>
        </w:tc>
        <w:tc>
          <w:tcPr>
            <w:tcW w:w="355"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排气筒底部海拔高度/m</w:t>
            </w:r>
          </w:p>
        </w:tc>
        <w:tc>
          <w:tcPr>
            <w:tcW w:w="307"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排气筒高度/m</w:t>
            </w:r>
          </w:p>
        </w:tc>
        <w:tc>
          <w:tcPr>
            <w:tcW w:w="318"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排气筒出口内径/m</w:t>
            </w:r>
          </w:p>
        </w:tc>
        <w:tc>
          <w:tcPr>
            <w:tcW w:w="427"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标况排气量m</w:t>
            </w:r>
            <w:r>
              <w:rPr>
                <w:rFonts w:hint="default" w:ascii="Times New Roman" w:hAnsi="Times New Roman" w:cs="Times New Roman"/>
                <w:bCs/>
                <w:color w:val="FF0000"/>
                <w:szCs w:val="21"/>
                <w:shd w:val="clear" w:color="auto" w:fill="FFFFFF"/>
                <w:vertAlign w:val="superscript"/>
              </w:rPr>
              <w:t>3</w:t>
            </w:r>
            <w:r>
              <w:rPr>
                <w:rFonts w:hint="default" w:ascii="Times New Roman" w:hAnsi="Times New Roman" w:cs="Times New Roman"/>
                <w:bCs/>
                <w:color w:val="FF0000"/>
                <w:szCs w:val="21"/>
                <w:shd w:val="clear" w:color="auto" w:fill="FFFFFF"/>
              </w:rPr>
              <w:t>/h</w:t>
            </w:r>
          </w:p>
        </w:tc>
        <w:tc>
          <w:tcPr>
            <w:tcW w:w="335"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烟气温度/℃</w:t>
            </w:r>
          </w:p>
        </w:tc>
        <w:tc>
          <w:tcPr>
            <w:tcW w:w="280"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排放</w:t>
            </w:r>
          </w:p>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工况</w:t>
            </w:r>
          </w:p>
        </w:tc>
        <w:tc>
          <w:tcPr>
            <w:tcW w:w="757"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79"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53"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826"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X</w:t>
            </w:r>
          </w:p>
        </w:tc>
        <w:tc>
          <w:tcPr>
            <w:tcW w:w="757"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Y</w:t>
            </w:r>
          </w:p>
        </w:tc>
        <w:tc>
          <w:tcPr>
            <w:tcW w:w="35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0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18"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2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3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0"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79" w:type="pc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有机废气排气筒</w:t>
            </w:r>
          </w:p>
        </w:tc>
        <w:tc>
          <w:tcPr>
            <w:tcW w:w="353" w:type="pc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非甲烷总烃</w:t>
            </w:r>
          </w:p>
        </w:tc>
        <w:tc>
          <w:tcPr>
            <w:tcW w:w="826"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107.925235</w:t>
            </w:r>
          </w:p>
        </w:tc>
        <w:tc>
          <w:tcPr>
            <w:tcW w:w="757"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35.505116</w:t>
            </w:r>
          </w:p>
        </w:tc>
        <w:tc>
          <w:tcPr>
            <w:tcW w:w="355" w:type="pct"/>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983</w:t>
            </w:r>
          </w:p>
        </w:tc>
        <w:tc>
          <w:tcPr>
            <w:tcW w:w="307"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15</w:t>
            </w:r>
          </w:p>
        </w:tc>
        <w:tc>
          <w:tcPr>
            <w:tcW w:w="318" w:type="pc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eastAsia="zh-CN"/>
              </w:rPr>
            </w:pPr>
            <w:r>
              <w:rPr>
                <w:rFonts w:hint="default" w:ascii="Times New Roman" w:hAnsi="Times New Roman" w:cs="Times New Roman"/>
                <w:bCs/>
                <w:color w:val="FF0000"/>
                <w:szCs w:val="21"/>
                <w:shd w:val="clear" w:color="auto" w:fill="FFFFFF"/>
              </w:rPr>
              <w:t>0.</w:t>
            </w:r>
            <w:r>
              <w:rPr>
                <w:rFonts w:hint="default" w:ascii="Times New Roman" w:hAnsi="Times New Roman" w:cs="Times New Roman"/>
                <w:bCs/>
                <w:color w:val="FF0000"/>
                <w:szCs w:val="21"/>
                <w:shd w:val="clear" w:color="auto" w:fill="FFFFFF"/>
                <w:lang w:val="en-US" w:eastAsia="zh-CN"/>
              </w:rPr>
              <w:t>3</w:t>
            </w:r>
          </w:p>
        </w:tc>
        <w:tc>
          <w:tcPr>
            <w:tcW w:w="427" w:type="pc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7000</w:t>
            </w:r>
          </w:p>
        </w:tc>
        <w:tc>
          <w:tcPr>
            <w:tcW w:w="335" w:type="pc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20</w:t>
            </w:r>
          </w:p>
        </w:tc>
        <w:tc>
          <w:tcPr>
            <w:tcW w:w="280"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正常排放</w:t>
            </w:r>
          </w:p>
        </w:tc>
        <w:tc>
          <w:tcPr>
            <w:tcW w:w="757" w:type="pct"/>
            <w:noWrap w:val="0"/>
            <w:vAlign w:val="center"/>
          </w:tcPr>
          <w:p>
            <w:pPr>
              <w:jc w:val="center"/>
              <w:rPr>
                <w:rFonts w:hint="default" w:ascii="Times New Roman" w:hAnsi="Times New Roman" w:cs="Times New Roman" w:eastAsiaTheme="minorEastAsia"/>
                <w:color w:val="FF0000"/>
                <w:lang w:val="en-US" w:eastAsia="zh-CN"/>
              </w:rPr>
            </w:pPr>
            <w:r>
              <w:rPr>
                <w:rFonts w:hint="default" w:ascii="Times New Roman" w:hAnsi="Times New Roman" w:cs="Times New Roman"/>
                <w:color w:val="FF0000"/>
                <w:lang w:val="en-US" w:eastAsia="zh-CN"/>
              </w:rPr>
              <w:t>0.0004608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79" w:type="pct"/>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无机废气排气筒</w:t>
            </w:r>
          </w:p>
        </w:tc>
        <w:tc>
          <w:tcPr>
            <w:tcW w:w="353"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氯化氢</w:t>
            </w:r>
          </w:p>
        </w:tc>
        <w:tc>
          <w:tcPr>
            <w:tcW w:w="826"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107.925186</w:t>
            </w:r>
          </w:p>
        </w:tc>
        <w:tc>
          <w:tcPr>
            <w:tcW w:w="757"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35.505072</w:t>
            </w:r>
          </w:p>
        </w:tc>
        <w:tc>
          <w:tcPr>
            <w:tcW w:w="35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07" w:type="pct"/>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15</w:t>
            </w:r>
          </w:p>
        </w:tc>
        <w:tc>
          <w:tcPr>
            <w:tcW w:w="318" w:type="pct"/>
            <w:vMerge w:val="restar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0.3</w:t>
            </w:r>
          </w:p>
        </w:tc>
        <w:tc>
          <w:tcPr>
            <w:tcW w:w="427" w:type="pct"/>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rPr>
              <w:t>700</w:t>
            </w:r>
            <w:r>
              <w:rPr>
                <w:rFonts w:hint="default" w:ascii="Times New Roman" w:hAnsi="Times New Roman" w:cs="Times New Roman"/>
                <w:bCs/>
                <w:color w:val="FF0000"/>
                <w:szCs w:val="21"/>
                <w:shd w:val="clear" w:color="auto" w:fill="FFFFFF"/>
                <w:lang w:val="en-US" w:eastAsia="zh-CN"/>
              </w:rPr>
              <w:t>0</w:t>
            </w:r>
          </w:p>
        </w:tc>
        <w:tc>
          <w:tcPr>
            <w:tcW w:w="335" w:type="pct"/>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20</w:t>
            </w:r>
          </w:p>
        </w:tc>
        <w:tc>
          <w:tcPr>
            <w:tcW w:w="280"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noWrap w:val="0"/>
            <w:vAlign w:val="center"/>
          </w:tcPr>
          <w:p>
            <w:pPr>
              <w:jc w:val="center"/>
              <w:rPr>
                <w:rFonts w:hint="default" w:ascii="Times New Roman" w:hAnsi="Times New Roman" w:cs="Times New Roman" w:eastAsiaTheme="minorEastAsia"/>
                <w:color w:val="FF0000"/>
                <w:lang w:val="en-US" w:eastAsia="zh-CN"/>
              </w:rPr>
            </w:pPr>
            <w:r>
              <w:rPr>
                <w:rFonts w:hint="default" w:ascii="Times New Roman" w:hAnsi="Times New Roman" w:cs="Times New Roman"/>
                <w:color w:val="FF0000"/>
                <w:lang w:val="en-US" w:eastAsia="zh-CN"/>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79"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53"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硫酸雾</w:t>
            </w:r>
          </w:p>
        </w:tc>
        <w:tc>
          <w:tcPr>
            <w:tcW w:w="826"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5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0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18"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2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3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0"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noWrap w:val="0"/>
            <w:vAlign w:val="center"/>
          </w:tcPr>
          <w:p>
            <w:pPr>
              <w:jc w:val="center"/>
              <w:rPr>
                <w:rFonts w:hint="default" w:ascii="Times New Roman" w:hAnsi="Times New Roman" w:cs="Times New Roman"/>
                <w:color w:val="FF0000"/>
              </w:rPr>
            </w:pPr>
            <w:r>
              <w:rPr>
                <w:rFonts w:hint="default" w:ascii="Times New Roman" w:hAnsi="Times New Roman" w:cs="Times New Roman"/>
                <w:color w:val="FF0000"/>
                <w:lang w:val="en-US" w:eastAsia="zh-CN"/>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79"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53" w:type="pct"/>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氮氧化物</w:t>
            </w:r>
          </w:p>
        </w:tc>
        <w:tc>
          <w:tcPr>
            <w:tcW w:w="826"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5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0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18"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27"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335"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280" w:type="pct"/>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757" w:type="pct"/>
            <w:noWrap w:val="0"/>
            <w:vAlign w:val="center"/>
          </w:tcPr>
          <w:p>
            <w:pPr>
              <w:jc w:val="center"/>
              <w:rPr>
                <w:rFonts w:hint="default" w:ascii="Times New Roman" w:hAnsi="Times New Roman" w:cs="Times New Roman" w:eastAsiaTheme="minorEastAsia"/>
                <w:color w:val="FF0000"/>
                <w:lang w:val="en-US" w:eastAsia="zh-CN"/>
              </w:rPr>
            </w:pPr>
            <w:r>
              <w:rPr>
                <w:rFonts w:hint="default" w:ascii="Times New Roman" w:hAnsi="Times New Roman" w:cs="Times New Roman"/>
                <w:color w:val="FF0000"/>
                <w:lang w:val="en-US" w:eastAsia="zh-CN"/>
              </w:rPr>
              <w:t>0.001128</w:t>
            </w:r>
          </w:p>
        </w:tc>
      </w:tr>
    </w:tbl>
    <w:p>
      <w:pPr>
        <w:adjustRightInd w:val="0"/>
        <w:snapToGrid w:val="0"/>
        <w:ind w:firstLine="442" w:firstLineChars="200"/>
        <w:jc w:val="center"/>
        <w:rPr>
          <w:rFonts w:hint="default" w:ascii="Times New Roman" w:hAnsi="Times New Roman" w:cs="Times New Roman"/>
          <w:b/>
          <w:bCs/>
          <w:color w:val="FF0000"/>
          <w:szCs w:val="21"/>
        </w:rPr>
      </w:pPr>
    </w:p>
    <w:p>
      <w:pPr>
        <w:adjustRightInd w:val="0"/>
        <w:snapToGrid w:val="0"/>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表1-4    无组织废气面源参数表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autofit"/>
        <w:tblCellMar>
          <w:top w:w="0" w:type="dxa"/>
          <w:left w:w="108" w:type="dxa"/>
          <w:bottom w:w="0" w:type="dxa"/>
          <w:right w:w="108" w:type="dxa"/>
        </w:tblCellMar>
      </w:tblPr>
      <w:tblGrid>
        <w:gridCol w:w="473"/>
        <w:gridCol w:w="1488"/>
        <w:gridCol w:w="1269"/>
        <w:gridCol w:w="692"/>
        <w:gridCol w:w="498"/>
        <w:gridCol w:w="498"/>
        <w:gridCol w:w="763"/>
        <w:gridCol w:w="498"/>
        <w:gridCol w:w="1465"/>
        <w:gridCol w:w="455"/>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919" w:hRule="atLeast"/>
          <w:jc w:val="center"/>
        </w:trPr>
        <w:tc>
          <w:tcPr>
            <w:tcW w:w="473"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名称</w:t>
            </w:r>
          </w:p>
        </w:tc>
        <w:tc>
          <w:tcPr>
            <w:tcW w:w="2757" w:type="dxa"/>
            <w:gridSpan w:val="2"/>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面源起点坐标/m</w:t>
            </w:r>
          </w:p>
        </w:tc>
        <w:tc>
          <w:tcPr>
            <w:tcW w:w="692"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面源海拔高度/m</w:t>
            </w:r>
          </w:p>
        </w:tc>
        <w:tc>
          <w:tcPr>
            <w:tcW w:w="498"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面源长度/m</w:t>
            </w:r>
          </w:p>
        </w:tc>
        <w:tc>
          <w:tcPr>
            <w:tcW w:w="498"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面源宽度/m</w:t>
            </w:r>
          </w:p>
        </w:tc>
        <w:tc>
          <w:tcPr>
            <w:tcW w:w="763"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与正北方向夹角/（°）</w:t>
            </w:r>
          </w:p>
        </w:tc>
        <w:tc>
          <w:tcPr>
            <w:tcW w:w="498"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面源有效高度高度/m</w:t>
            </w:r>
          </w:p>
        </w:tc>
        <w:tc>
          <w:tcPr>
            <w:tcW w:w="1465"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污染物排放</w:t>
            </w:r>
          </w:p>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速率（kg/h）</w:t>
            </w:r>
          </w:p>
        </w:tc>
        <w:tc>
          <w:tcPr>
            <w:tcW w:w="455"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排放</w:t>
            </w:r>
          </w:p>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工况</w:t>
            </w:r>
          </w:p>
        </w:tc>
        <w:tc>
          <w:tcPr>
            <w:tcW w:w="676"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年排放小时数/h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78" w:hRule="atLeast"/>
          <w:jc w:val="center"/>
        </w:trPr>
        <w:tc>
          <w:tcPr>
            <w:tcW w:w="473" w:type="dxa"/>
            <w:vMerge w:val="continue"/>
            <w:noWrap w:val="0"/>
            <w:vAlign w:val="center"/>
          </w:tcPr>
          <w:p>
            <w:pPr>
              <w:jc w:val="center"/>
              <w:rPr>
                <w:rFonts w:hint="default" w:ascii="Times New Roman" w:hAnsi="Times New Roman" w:cs="Times New Roman"/>
                <w:color w:val="FF0000"/>
                <w:szCs w:val="21"/>
              </w:rPr>
            </w:pPr>
          </w:p>
        </w:tc>
        <w:tc>
          <w:tcPr>
            <w:tcW w:w="1488"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X</w:t>
            </w:r>
          </w:p>
        </w:tc>
        <w:tc>
          <w:tcPr>
            <w:tcW w:w="1269"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Y</w:t>
            </w:r>
          </w:p>
        </w:tc>
        <w:tc>
          <w:tcPr>
            <w:tcW w:w="692"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763"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1465" w:type="dxa"/>
            <w:vMerge w:val="continue"/>
            <w:noWrap w:val="0"/>
            <w:vAlign w:val="center"/>
          </w:tcPr>
          <w:p>
            <w:pPr>
              <w:jc w:val="center"/>
              <w:rPr>
                <w:rFonts w:hint="default" w:ascii="Times New Roman" w:hAnsi="Times New Roman" w:cs="Times New Roman"/>
                <w:color w:val="FF0000"/>
                <w:szCs w:val="21"/>
              </w:rPr>
            </w:pPr>
          </w:p>
        </w:tc>
        <w:tc>
          <w:tcPr>
            <w:tcW w:w="455" w:type="dxa"/>
            <w:vMerge w:val="continue"/>
            <w:noWrap w:val="0"/>
            <w:vAlign w:val="center"/>
          </w:tcPr>
          <w:p>
            <w:pPr>
              <w:jc w:val="center"/>
              <w:rPr>
                <w:rFonts w:hint="default" w:ascii="Times New Roman" w:hAnsi="Times New Roman" w:cs="Times New Roman"/>
                <w:color w:val="FF0000"/>
                <w:szCs w:val="21"/>
              </w:rPr>
            </w:pPr>
          </w:p>
        </w:tc>
        <w:tc>
          <w:tcPr>
            <w:tcW w:w="676" w:type="dxa"/>
            <w:vMerge w:val="continue"/>
            <w:noWrap w:val="0"/>
            <w:vAlign w:val="center"/>
          </w:tcPr>
          <w:p>
            <w:pPr>
              <w:jc w:val="center"/>
              <w:rPr>
                <w:rFonts w:hint="default" w:ascii="Times New Roman" w:hAnsi="Times New Roman" w:cs="Times New Roman"/>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45" w:hRule="atLeast"/>
          <w:jc w:val="center"/>
        </w:trPr>
        <w:tc>
          <w:tcPr>
            <w:tcW w:w="473"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非甲烷总烃</w:t>
            </w:r>
          </w:p>
        </w:tc>
        <w:tc>
          <w:tcPr>
            <w:tcW w:w="1488" w:type="dxa"/>
            <w:vMerge w:val="restart"/>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rPr>
              <w:t>107.925235</w:t>
            </w:r>
          </w:p>
        </w:tc>
        <w:tc>
          <w:tcPr>
            <w:tcW w:w="1269" w:type="dxa"/>
            <w:vMerge w:val="restart"/>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rPr>
              <w:t>35.505116</w:t>
            </w:r>
          </w:p>
        </w:tc>
        <w:tc>
          <w:tcPr>
            <w:tcW w:w="692" w:type="dxa"/>
            <w:vMerge w:val="restart"/>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983</w:t>
            </w:r>
          </w:p>
        </w:tc>
        <w:tc>
          <w:tcPr>
            <w:tcW w:w="498" w:type="dxa"/>
            <w:vMerge w:val="restart"/>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30</w:t>
            </w:r>
          </w:p>
        </w:tc>
        <w:tc>
          <w:tcPr>
            <w:tcW w:w="498" w:type="dxa"/>
            <w:vMerge w:val="restart"/>
            <w:noWrap w:val="0"/>
            <w:vAlign w:val="center"/>
          </w:tcPr>
          <w:p>
            <w:pP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10</w:t>
            </w:r>
          </w:p>
        </w:tc>
        <w:tc>
          <w:tcPr>
            <w:tcW w:w="763" w:type="dxa"/>
            <w:vMerge w:val="restart"/>
            <w:noWrap w:val="0"/>
            <w:vAlign w:val="center"/>
          </w:tcPr>
          <w:p>
            <w:pPr>
              <w:jc w:val="center"/>
              <w:rPr>
                <w:rFonts w:hint="default" w:ascii="Times New Roman" w:hAnsi="Times New Roman" w:cs="Times New Roman" w:eastAsiaTheme="minorEastAsia"/>
                <w:color w:val="FF0000"/>
                <w:szCs w:val="21"/>
                <w:lang w:eastAsia="zh-CN"/>
              </w:rPr>
            </w:pPr>
            <w:r>
              <w:rPr>
                <w:rFonts w:hint="default" w:ascii="Times New Roman" w:hAnsi="Times New Roman" w:cs="Times New Roman"/>
                <w:color w:val="FF0000"/>
                <w:szCs w:val="21"/>
                <w:lang w:val="en-US" w:eastAsia="zh-CN"/>
              </w:rPr>
              <w:t>0</w:t>
            </w:r>
          </w:p>
        </w:tc>
        <w:tc>
          <w:tcPr>
            <w:tcW w:w="498" w:type="dxa"/>
            <w:vMerge w:val="restart"/>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12</w:t>
            </w:r>
          </w:p>
        </w:tc>
        <w:tc>
          <w:tcPr>
            <w:tcW w:w="1465"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0.000288</w:t>
            </w:r>
          </w:p>
        </w:tc>
        <w:tc>
          <w:tcPr>
            <w:tcW w:w="455"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正常排放</w:t>
            </w:r>
          </w:p>
        </w:tc>
        <w:tc>
          <w:tcPr>
            <w:tcW w:w="676" w:type="dxa"/>
            <w:vMerge w:val="restart"/>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45" w:hRule="atLeast"/>
          <w:jc w:val="center"/>
        </w:trPr>
        <w:tc>
          <w:tcPr>
            <w:tcW w:w="473"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氯化氢</w:t>
            </w:r>
          </w:p>
        </w:tc>
        <w:tc>
          <w:tcPr>
            <w:tcW w:w="1488" w:type="dxa"/>
            <w:vMerge w:val="continue"/>
            <w:noWrap w:val="0"/>
            <w:vAlign w:val="center"/>
          </w:tcPr>
          <w:p>
            <w:pPr>
              <w:adjustRightInd w:val="0"/>
              <w:snapToGrid w:val="0"/>
              <w:jc w:val="center"/>
              <w:rPr>
                <w:rFonts w:hint="default" w:ascii="Times New Roman" w:hAnsi="Times New Roman" w:cs="Times New Roman"/>
                <w:color w:val="FF0000"/>
                <w:szCs w:val="21"/>
              </w:rPr>
            </w:pPr>
          </w:p>
        </w:tc>
        <w:tc>
          <w:tcPr>
            <w:tcW w:w="1269" w:type="dxa"/>
            <w:vMerge w:val="continue"/>
            <w:noWrap w:val="0"/>
            <w:vAlign w:val="center"/>
          </w:tcPr>
          <w:p>
            <w:pPr>
              <w:adjustRightInd w:val="0"/>
              <w:snapToGrid w:val="0"/>
              <w:jc w:val="center"/>
              <w:rPr>
                <w:rFonts w:hint="default" w:ascii="Times New Roman" w:hAnsi="Times New Roman" w:cs="Times New Roman"/>
                <w:color w:val="FF0000"/>
                <w:szCs w:val="21"/>
              </w:rPr>
            </w:pPr>
          </w:p>
        </w:tc>
        <w:tc>
          <w:tcPr>
            <w:tcW w:w="692"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rPr>
                <w:rFonts w:hint="default" w:ascii="Times New Roman" w:hAnsi="Times New Roman" w:cs="Times New Roman"/>
                <w:color w:val="FF0000"/>
                <w:szCs w:val="21"/>
              </w:rPr>
            </w:pPr>
          </w:p>
        </w:tc>
        <w:tc>
          <w:tcPr>
            <w:tcW w:w="763"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1465"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0.0003</w:t>
            </w:r>
          </w:p>
        </w:tc>
        <w:tc>
          <w:tcPr>
            <w:tcW w:w="455" w:type="dxa"/>
            <w:vMerge w:val="continue"/>
            <w:noWrap w:val="0"/>
            <w:vAlign w:val="center"/>
          </w:tcPr>
          <w:p>
            <w:pPr>
              <w:jc w:val="center"/>
              <w:rPr>
                <w:rFonts w:hint="default" w:ascii="Times New Roman" w:hAnsi="Times New Roman" w:cs="Times New Roman"/>
                <w:color w:val="FF0000"/>
                <w:szCs w:val="21"/>
              </w:rPr>
            </w:pPr>
          </w:p>
        </w:tc>
        <w:tc>
          <w:tcPr>
            <w:tcW w:w="676" w:type="dxa"/>
            <w:vMerge w:val="continue"/>
            <w:noWrap w:val="0"/>
            <w:vAlign w:val="center"/>
          </w:tcPr>
          <w:p>
            <w:pPr>
              <w:jc w:val="center"/>
              <w:rPr>
                <w:rFonts w:hint="default" w:ascii="Times New Roman" w:hAnsi="Times New Roman" w:cs="Times New Roman"/>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45" w:hRule="atLeast"/>
          <w:jc w:val="center"/>
        </w:trPr>
        <w:tc>
          <w:tcPr>
            <w:tcW w:w="473"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硫酸雾</w:t>
            </w:r>
          </w:p>
        </w:tc>
        <w:tc>
          <w:tcPr>
            <w:tcW w:w="1488" w:type="dxa"/>
            <w:vMerge w:val="continue"/>
            <w:noWrap w:val="0"/>
            <w:vAlign w:val="center"/>
          </w:tcPr>
          <w:p>
            <w:pPr>
              <w:adjustRightInd w:val="0"/>
              <w:snapToGrid w:val="0"/>
              <w:jc w:val="center"/>
              <w:rPr>
                <w:rFonts w:hint="default" w:ascii="Times New Roman" w:hAnsi="Times New Roman" w:cs="Times New Roman"/>
                <w:color w:val="FF0000"/>
                <w:szCs w:val="21"/>
              </w:rPr>
            </w:pPr>
          </w:p>
        </w:tc>
        <w:tc>
          <w:tcPr>
            <w:tcW w:w="1269" w:type="dxa"/>
            <w:vMerge w:val="continue"/>
            <w:noWrap w:val="0"/>
            <w:vAlign w:val="center"/>
          </w:tcPr>
          <w:p>
            <w:pPr>
              <w:adjustRightInd w:val="0"/>
              <w:snapToGrid w:val="0"/>
              <w:jc w:val="center"/>
              <w:rPr>
                <w:rFonts w:hint="default" w:ascii="Times New Roman" w:hAnsi="Times New Roman" w:cs="Times New Roman"/>
                <w:color w:val="FF0000"/>
                <w:szCs w:val="21"/>
              </w:rPr>
            </w:pPr>
          </w:p>
        </w:tc>
        <w:tc>
          <w:tcPr>
            <w:tcW w:w="692"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rPr>
                <w:rFonts w:hint="default" w:ascii="Times New Roman" w:hAnsi="Times New Roman" w:cs="Times New Roman"/>
                <w:color w:val="FF0000"/>
                <w:szCs w:val="21"/>
              </w:rPr>
            </w:pPr>
          </w:p>
        </w:tc>
        <w:tc>
          <w:tcPr>
            <w:tcW w:w="763"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1465"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0.0006</w:t>
            </w:r>
          </w:p>
        </w:tc>
        <w:tc>
          <w:tcPr>
            <w:tcW w:w="455" w:type="dxa"/>
            <w:vMerge w:val="continue"/>
            <w:noWrap w:val="0"/>
            <w:vAlign w:val="center"/>
          </w:tcPr>
          <w:p>
            <w:pPr>
              <w:jc w:val="center"/>
              <w:rPr>
                <w:rFonts w:hint="default" w:ascii="Times New Roman" w:hAnsi="Times New Roman" w:cs="Times New Roman"/>
                <w:color w:val="FF0000"/>
                <w:szCs w:val="21"/>
              </w:rPr>
            </w:pPr>
          </w:p>
        </w:tc>
        <w:tc>
          <w:tcPr>
            <w:tcW w:w="676" w:type="dxa"/>
            <w:vMerge w:val="continue"/>
            <w:noWrap w:val="0"/>
            <w:vAlign w:val="center"/>
          </w:tcPr>
          <w:p>
            <w:pPr>
              <w:jc w:val="center"/>
              <w:rPr>
                <w:rFonts w:hint="default" w:ascii="Times New Roman" w:hAnsi="Times New Roman" w:cs="Times New Roman"/>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45" w:hRule="atLeast"/>
          <w:jc w:val="center"/>
        </w:trPr>
        <w:tc>
          <w:tcPr>
            <w:tcW w:w="473" w:type="dxa"/>
            <w:noWrap w:val="0"/>
            <w:vAlign w:val="center"/>
          </w:tcPr>
          <w:p>
            <w:pPr>
              <w:adjustRightInd w:val="0"/>
              <w:snapToGrid w:val="0"/>
              <w:jc w:val="center"/>
              <w:rPr>
                <w:rFonts w:hint="default" w:ascii="Times New Roman" w:hAnsi="Times New Roman" w:cs="Times New Roman"/>
                <w:color w:val="FF0000"/>
                <w:sz w:val="20"/>
                <w:szCs w:val="21"/>
              </w:rPr>
            </w:pPr>
            <w:r>
              <w:rPr>
                <w:rFonts w:hint="default" w:ascii="Times New Roman" w:hAnsi="Times New Roman" w:cs="Times New Roman"/>
                <w:bCs/>
                <w:color w:val="FF0000"/>
                <w:szCs w:val="21"/>
                <w:shd w:val="clear" w:color="auto" w:fill="FFFFFF"/>
                <w:lang w:val="en-US" w:eastAsia="zh-CN"/>
              </w:rPr>
              <w:t>氮氧化物</w:t>
            </w:r>
          </w:p>
        </w:tc>
        <w:tc>
          <w:tcPr>
            <w:tcW w:w="1488"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1269"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692" w:type="dxa"/>
            <w:vMerge w:val="continue"/>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rPr>
                <w:rFonts w:hint="default" w:ascii="Times New Roman" w:hAnsi="Times New Roman" w:cs="Times New Roman"/>
                <w:color w:val="FF0000"/>
                <w:szCs w:val="21"/>
              </w:rPr>
            </w:pPr>
          </w:p>
        </w:tc>
        <w:tc>
          <w:tcPr>
            <w:tcW w:w="763" w:type="dxa"/>
            <w:vMerge w:val="continue"/>
            <w:noWrap w:val="0"/>
            <w:vAlign w:val="center"/>
          </w:tcPr>
          <w:p>
            <w:pPr>
              <w:jc w:val="center"/>
              <w:rPr>
                <w:rFonts w:hint="default" w:ascii="Times New Roman" w:hAnsi="Times New Roman" w:cs="Times New Roman"/>
                <w:color w:val="FF0000"/>
                <w:szCs w:val="21"/>
              </w:rPr>
            </w:pPr>
          </w:p>
        </w:tc>
        <w:tc>
          <w:tcPr>
            <w:tcW w:w="498" w:type="dxa"/>
            <w:vMerge w:val="continue"/>
            <w:noWrap w:val="0"/>
            <w:vAlign w:val="center"/>
          </w:tcPr>
          <w:p>
            <w:pPr>
              <w:jc w:val="center"/>
              <w:rPr>
                <w:rFonts w:hint="default" w:ascii="Times New Roman" w:hAnsi="Times New Roman" w:cs="Times New Roman"/>
                <w:color w:val="FF0000"/>
                <w:szCs w:val="21"/>
              </w:rPr>
            </w:pPr>
          </w:p>
        </w:tc>
        <w:tc>
          <w:tcPr>
            <w:tcW w:w="1465"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0.000282</w:t>
            </w:r>
          </w:p>
        </w:tc>
        <w:tc>
          <w:tcPr>
            <w:tcW w:w="455" w:type="dxa"/>
            <w:vMerge w:val="continue"/>
            <w:noWrap w:val="0"/>
            <w:vAlign w:val="center"/>
          </w:tcPr>
          <w:p>
            <w:pPr>
              <w:jc w:val="center"/>
              <w:rPr>
                <w:rFonts w:hint="default" w:ascii="Times New Roman" w:hAnsi="Times New Roman" w:cs="Times New Roman"/>
                <w:color w:val="FF0000"/>
                <w:szCs w:val="21"/>
              </w:rPr>
            </w:pPr>
          </w:p>
        </w:tc>
        <w:tc>
          <w:tcPr>
            <w:tcW w:w="676" w:type="dxa"/>
            <w:vMerge w:val="continue"/>
            <w:noWrap w:val="0"/>
            <w:vAlign w:val="center"/>
          </w:tcPr>
          <w:p>
            <w:pPr>
              <w:jc w:val="center"/>
              <w:rPr>
                <w:rFonts w:hint="default" w:ascii="Times New Roman" w:hAnsi="Times New Roman" w:cs="Times New Roman"/>
                <w:color w:val="FF0000"/>
                <w:szCs w:val="21"/>
              </w:rPr>
            </w:pPr>
          </w:p>
        </w:tc>
      </w:tr>
    </w:tbl>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③估算模型计算结果</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项目估算模型计算结果见表1-5</w:t>
      </w:r>
    </w:p>
    <w:p>
      <w:pPr>
        <w:adjustRightInd w:val="0"/>
        <w:snapToGrid w:val="0"/>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表1-5    主要污染源估算模式计算结果</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749"/>
        <w:gridCol w:w="901"/>
        <w:gridCol w:w="1275"/>
        <w:gridCol w:w="1268"/>
        <w:gridCol w:w="1053"/>
        <w:gridCol w:w="1005"/>
        <w:gridCol w:w="151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38"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序号</w:t>
            </w:r>
          </w:p>
        </w:tc>
        <w:tc>
          <w:tcPr>
            <w:tcW w:w="749"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排放源</w:t>
            </w:r>
          </w:p>
        </w:tc>
        <w:tc>
          <w:tcPr>
            <w:tcW w:w="901"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污染物</w:t>
            </w:r>
          </w:p>
        </w:tc>
        <w:tc>
          <w:tcPr>
            <w:tcW w:w="1275"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环境空气质量标准（mg/m</w:t>
            </w:r>
            <w:r>
              <w:rPr>
                <w:rFonts w:hint="default" w:ascii="Times New Roman" w:hAnsi="Times New Roman" w:cs="Times New Roman"/>
                <w:color w:val="FF0000"/>
                <w:kern w:val="0"/>
                <w:szCs w:val="21"/>
                <w:vertAlign w:val="superscript"/>
              </w:rPr>
              <w:t>3</w:t>
            </w:r>
            <w:r>
              <w:rPr>
                <w:rFonts w:hint="default" w:ascii="Times New Roman" w:hAnsi="Times New Roman" w:cs="Times New Roman"/>
                <w:color w:val="FF0000"/>
                <w:kern w:val="0"/>
                <w:szCs w:val="21"/>
              </w:rPr>
              <w:t>)</w:t>
            </w:r>
          </w:p>
        </w:tc>
        <w:tc>
          <w:tcPr>
            <w:tcW w:w="3326" w:type="dxa"/>
            <w:gridSpan w:val="3"/>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最大地面质量浓度计算结果</w:t>
            </w:r>
          </w:p>
        </w:tc>
        <w:tc>
          <w:tcPr>
            <w:tcW w:w="1515"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对应的最远距离D10%（m）</w:t>
            </w:r>
          </w:p>
        </w:tc>
        <w:tc>
          <w:tcPr>
            <w:tcW w:w="676"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901"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1275"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浓度（mg/m</w:t>
            </w:r>
            <w:r>
              <w:rPr>
                <w:rFonts w:hint="default" w:ascii="Times New Roman" w:hAnsi="Times New Roman" w:cs="Times New Roman"/>
                <w:color w:val="FF0000"/>
                <w:szCs w:val="21"/>
                <w:vertAlign w:val="superscript"/>
              </w:rPr>
              <w:t>3</w:t>
            </w:r>
            <w:r>
              <w:rPr>
                <w:rFonts w:hint="default" w:ascii="Times New Roman" w:hAnsi="Times New Roman" w:cs="Times New Roman"/>
                <w:color w:val="FF0000"/>
                <w:szCs w:val="21"/>
              </w:rPr>
              <w:t>）</w:t>
            </w:r>
          </w:p>
        </w:tc>
        <w:tc>
          <w:tcPr>
            <w:tcW w:w="1053"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占标率Pi（%）</w:t>
            </w:r>
          </w:p>
        </w:tc>
        <w:tc>
          <w:tcPr>
            <w:tcW w:w="100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出现距</w:t>
            </w:r>
          </w:p>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离（m）</w:t>
            </w:r>
          </w:p>
        </w:tc>
        <w:tc>
          <w:tcPr>
            <w:tcW w:w="1515"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676" w:type="dxa"/>
            <w:vMerge w:val="continue"/>
            <w:shd w:val="clear" w:color="auto" w:fill="auto"/>
            <w:noWrap w:val="0"/>
            <w:vAlign w:val="center"/>
          </w:tcPr>
          <w:p>
            <w:pPr>
              <w:jc w:val="center"/>
              <w:rPr>
                <w:rFonts w:hint="default"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38"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有组织</w:t>
            </w:r>
          </w:p>
        </w:tc>
        <w:tc>
          <w:tcPr>
            <w:tcW w:w="749" w:type="dxa"/>
            <w:shd w:val="clear" w:color="auto" w:fill="auto"/>
            <w:noWrap w:val="0"/>
            <w:vAlign w:val="center"/>
          </w:tcPr>
          <w:p>
            <w:pPr>
              <w:adjustRightInd w:val="0"/>
              <w:snapToGrid w:val="0"/>
              <w:jc w:val="center"/>
              <w:rPr>
                <w:rFonts w:hint="default" w:ascii="Times New Roman" w:hAnsi="Times New Roman" w:cs="Times New Roman" w:eastAsiaTheme="minorEastAsia"/>
                <w:color w:val="FF0000"/>
                <w:szCs w:val="21"/>
                <w:lang w:eastAsia="zh-CN"/>
              </w:rPr>
            </w:pPr>
            <w:r>
              <w:rPr>
                <w:rFonts w:hint="default" w:ascii="Times New Roman" w:hAnsi="Times New Roman" w:cs="Times New Roman"/>
                <w:color w:val="FF0000"/>
                <w:szCs w:val="21"/>
                <w:lang w:val="en-US" w:eastAsia="zh-CN"/>
              </w:rPr>
              <w:t>有机废气</w:t>
            </w:r>
          </w:p>
        </w:tc>
        <w:tc>
          <w:tcPr>
            <w:tcW w:w="901" w:type="dxa"/>
            <w:shd w:val="clear" w:color="auto" w:fill="auto"/>
            <w:noWrap w:val="0"/>
            <w:vAlign w:val="center"/>
          </w:tcPr>
          <w:p>
            <w:pPr>
              <w:adjustRightInd w:val="0"/>
              <w:snapToGrid w:val="0"/>
              <w:jc w:val="center"/>
              <w:rPr>
                <w:rFonts w:hint="default" w:ascii="Times New Roman" w:hAnsi="Times New Roman" w:cs="Times New Roman" w:eastAsiaTheme="minorEastAsia"/>
                <w:bCs/>
                <w:color w:val="FF0000"/>
                <w:szCs w:val="21"/>
                <w:shd w:val="clear" w:color="auto" w:fill="FFFFFF"/>
                <w:lang w:val="en-US" w:eastAsia="zh-CN"/>
              </w:rPr>
            </w:pPr>
            <w:r>
              <w:rPr>
                <w:rFonts w:hint="default" w:ascii="Times New Roman" w:hAnsi="Times New Roman" w:cs="Times New Roman"/>
                <w:bCs/>
                <w:color w:val="FF0000"/>
                <w:szCs w:val="21"/>
                <w:shd w:val="clear" w:color="auto" w:fill="FFFFFF"/>
                <w:lang w:val="en-US" w:eastAsia="zh-CN"/>
              </w:rPr>
              <w:t>非甲烷总烃</w:t>
            </w:r>
          </w:p>
        </w:tc>
        <w:tc>
          <w:tcPr>
            <w:tcW w:w="1275" w:type="dxa"/>
            <w:shd w:val="clear" w:color="auto" w:fill="auto"/>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2.0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0.32</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7.669E-5</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0.01</w:t>
            </w:r>
          </w:p>
        </w:tc>
        <w:tc>
          <w:tcPr>
            <w:tcW w:w="151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1258</w:t>
            </w:r>
          </w:p>
        </w:tc>
        <w:tc>
          <w:tcPr>
            <w:tcW w:w="676"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restart"/>
            <w:shd w:val="clear" w:color="auto" w:fill="auto"/>
            <w:noWrap w:val="0"/>
            <w:vAlign w:val="center"/>
          </w:tcPr>
          <w:p>
            <w:pPr>
              <w:adjustRightInd w:val="0"/>
              <w:snapToGrid w:val="0"/>
              <w:jc w:val="center"/>
              <w:rPr>
                <w:rFonts w:hint="default" w:ascii="Times New Roman" w:hAnsi="Times New Roman" w:cs="Times New Roman" w:eastAsiaTheme="minorEastAsia"/>
                <w:color w:val="FF0000"/>
                <w:szCs w:val="21"/>
                <w:lang w:eastAsia="zh-CN"/>
              </w:rPr>
            </w:pPr>
            <w:r>
              <w:rPr>
                <w:rFonts w:hint="default" w:ascii="Times New Roman" w:hAnsi="Times New Roman" w:cs="Times New Roman"/>
                <w:bCs/>
                <w:color w:val="FF0000"/>
                <w:szCs w:val="21"/>
                <w:shd w:val="clear" w:color="auto" w:fill="FFFFFF"/>
                <w:lang w:val="en-US" w:eastAsia="zh-CN"/>
              </w:rPr>
              <w:t>无机废气</w:t>
            </w:r>
          </w:p>
        </w:tc>
        <w:tc>
          <w:tcPr>
            <w:tcW w:w="901" w:type="dxa"/>
            <w:shd w:val="clear" w:color="auto" w:fill="auto"/>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氯化氢</w:t>
            </w:r>
          </w:p>
        </w:tc>
        <w:tc>
          <w:tcPr>
            <w:tcW w:w="1275" w:type="dxa"/>
            <w:shd w:val="clear" w:color="auto" w:fill="auto"/>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50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1.125</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0.000117</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0.02</w:t>
            </w:r>
          </w:p>
        </w:tc>
        <w:tc>
          <w:tcPr>
            <w:tcW w:w="1515" w:type="dxa"/>
            <w:vMerge w:val="restart"/>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278</w:t>
            </w:r>
          </w:p>
        </w:tc>
        <w:tc>
          <w:tcPr>
            <w:tcW w:w="676"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adjustRightInd w:val="0"/>
              <w:snapToGrid w:val="0"/>
              <w:jc w:val="center"/>
              <w:rPr>
                <w:rFonts w:hint="default" w:ascii="Times New Roman" w:hAnsi="Times New Roman" w:cs="Times New Roman"/>
                <w:bCs/>
                <w:color w:val="FF0000"/>
                <w:szCs w:val="21"/>
                <w:shd w:val="clear" w:color="auto" w:fill="FFFFFF"/>
              </w:rPr>
            </w:pPr>
          </w:p>
        </w:tc>
        <w:tc>
          <w:tcPr>
            <w:tcW w:w="901" w:type="dxa"/>
            <w:shd w:val="clear" w:color="auto" w:fill="auto"/>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硫酸雾</w:t>
            </w:r>
          </w:p>
        </w:tc>
        <w:tc>
          <w:tcPr>
            <w:tcW w:w="1275" w:type="dxa"/>
            <w:shd w:val="clear" w:color="auto" w:fill="auto"/>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300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eastAsia="等线" w:cs="Times New Roman"/>
                <w:color w:val="FF0000"/>
                <w:szCs w:val="21"/>
              </w:rPr>
              <w:t>0.5492</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eastAsia="等线" w:cs="Times New Roman"/>
                <w:color w:val="FF0000"/>
                <w:szCs w:val="21"/>
              </w:rPr>
              <w:t>0.0012</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0.04</w:t>
            </w:r>
          </w:p>
        </w:tc>
        <w:tc>
          <w:tcPr>
            <w:tcW w:w="1515" w:type="dxa"/>
            <w:vMerge w:val="continue"/>
            <w:shd w:val="clear" w:color="auto" w:fill="auto"/>
            <w:noWrap w:val="0"/>
            <w:vAlign w:val="center"/>
          </w:tcPr>
          <w:p>
            <w:pPr>
              <w:jc w:val="center"/>
              <w:rPr>
                <w:rFonts w:hint="default" w:ascii="Times New Roman" w:hAnsi="Times New Roman" w:cs="Times New Roman"/>
                <w:color w:val="FF0000"/>
                <w:kern w:val="0"/>
                <w:szCs w:val="21"/>
              </w:rPr>
            </w:pPr>
          </w:p>
        </w:tc>
        <w:tc>
          <w:tcPr>
            <w:tcW w:w="676" w:type="dxa"/>
            <w:vMerge w:val="continue"/>
            <w:shd w:val="clear" w:color="auto" w:fill="auto"/>
            <w:noWrap w:val="0"/>
            <w:vAlign w:val="center"/>
          </w:tcPr>
          <w:p>
            <w:pPr>
              <w:jc w:val="center"/>
              <w:rPr>
                <w:rFonts w:hint="default"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901" w:type="dxa"/>
            <w:shd w:val="clear" w:color="auto" w:fill="auto"/>
            <w:noWrap w:val="0"/>
            <w:vAlign w:val="center"/>
          </w:tcPr>
          <w:p>
            <w:pPr>
              <w:adjustRightInd w:val="0"/>
              <w:snapToGrid w:val="0"/>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lang w:val="en-US" w:eastAsia="zh-CN"/>
              </w:rPr>
              <w:t>氮氧化物</w:t>
            </w:r>
          </w:p>
        </w:tc>
        <w:tc>
          <w:tcPr>
            <w:tcW w:w="127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250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30.369</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0.003171</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1.59</w:t>
            </w:r>
          </w:p>
        </w:tc>
        <w:tc>
          <w:tcPr>
            <w:tcW w:w="1515" w:type="dxa"/>
            <w:vMerge w:val="continue"/>
            <w:shd w:val="clear" w:color="auto" w:fill="auto"/>
            <w:noWrap w:val="0"/>
            <w:vAlign w:val="center"/>
          </w:tcPr>
          <w:p>
            <w:pPr>
              <w:jc w:val="center"/>
              <w:rPr>
                <w:rFonts w:hint="default" w:ascii="Times New Roman" w:hAnsi="Times New Roman" w:cs="Times New Roman"/>
                <w:color w:val="FF0000"/>
                <w:kern w:val="0"/>
                <w:szCs w:val="21"/>
              </w:rPr>
            </w:pPr>
          </w:p>
        </w:tc>
        <w:tc>
          <w:tcPr>
            <w:tcW w:w="676" w:type="dxa"/>
            <w:vMerge w:val="continue"/>
            <w:shd w:val="clear" w:color="auto" w:fill="auto"/>
            <w:noWrap w:val="0"/>
            <w:vAlign w:val="center"/>
          </w:tcPr>
          <w:p>
            <w:pPr>
              <w:jc w:val="center"/>
              <w:rPr>
                <w:rFonts w:hint="default"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restart"/>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无组织</w:t>
            </w:r>
          </w:p>
        </w:tc>
        <w:tc>
          <w:tcPr>
            <w:tcW w:w="749" w:type="dxa"/>
            <w:vMerge w:val="restart"/>
            <w:shd w:val="clear" w:color="auto" w:fill="auto"/>
            <w:noWrap w:val="0"/>
            <w:vAlign w:val="center"/>
          </w:tcPr>
          <w:p>
            <w:pPr>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堆场</w:t>
            </w:r>
          </w:p>
          <w:p>
            <w:pPr>
              <w:jc w:val="center"/>
              <w:rPr>
                <w:rFonts w:hint="default" w:ascii="Times New Roman" w:hAnsi="Times New Roman" w:cs="Times New Roman"/>
                <w:bCs/>
                <w:color w:val="FF0000"/>
                <w:szCs w:val="21"/>
                <w:shd w:val="clear" w:color="auto" w:fill="FFFFFF"/>
              </w:rPr>
            </w:pPr>
            <w:r>
              <w:rPr>
                <w:rFonts w:hint="default" w:ascii="Times New Roman" w:hAnsi="Times New Roman" w:cs="Times New Roman"/>
                <w:bCs/>
                <w:color w:val="FF0000"/>
                <w:szCs w:val="21"/>
                <w:shd w:val="clear" w:color="auto" w:fill="FFFFFF"/>
              </w:rPr>
              <w:t>沥青储罐等</w:t>
            </w:r>
          </w:p>
        </w:tc>
        <w:tc>
          <w:tcPr>
            <w:tcW w:w="901" w:type="dxa"/>
            <w:shd w:val="clear" w:color="auto" w:fill="auto"/>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非甲烷总烃</w:t>
            </w:r>
          </w:p>
        </w:tc>
        <w:tc>
          <w:tcPr>
            <w:tcW w:w="127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2.0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0.0003821</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0.001221</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0.14</w:t>
            </w:r>
          </w:p>
        </w:tc>
        <w:tc>
          <w:tcPr>
            <w:tcW w:w="151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256</w:t>
            </w:r>
          </w:p>
        </w:tc>
        <w:tc>
          <w:tcPr>
            <w:tcW w:w="676"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jc w:val="center"/>
              <w:rPr>
                <w:rFonts w:hint="default" w:ascii="Times New Roman" w:hAnsi="Times New Roman" w:cs="Times New Roman"/>
                <w:bCs/>
                <w:color w:val="FF0000"/>
                <w:szCs w:val="21"/>
                <w:shd w:val="clear" w:color="auto" w:fill="FFFFFF"/>
              </w:rPr>
            </w:pPr>
          </w:p>
        </w:tc>
        <w:tc>
          <w:tcPr>
            <w:tcW w:w="901" w:type="dxa"/>
            <w:shd w:val="clear" w:color="auto" w:fill="auto"/>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氯化氢</w:t>
            </w:r>
          </w:p>
        </w:tc>
        <w:tc>
          <w:tcPr>
            <w:tcW w:w="127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50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eastAsia="等线" w:cs="Times New Roman"/>
                <w:color w:val="FF0000"/>
                <w:szCs w:val="21"/>
              </w:rPr>
              <w:t>0.184</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eastAsia="等线" w:cs="Times New Roman"/>
                <w:color w:val="FF0000"/>
                <w:szCs w:val="21"/>
              </w:rPr>
              <w:t>0</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0.27</w:t>
            </w:r>
          </w:p>
        </w:tc>
        <w:tc>
          <w:tcPr>
            <w:tcW w:w="1515" w:type="dxa"/>
            <w:vMerge w:val="restart"/>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264</w:t>
            </w:r>
          </w:p>
        </w:tc>
        <w:tc>
          <w:tcPr>
            <w:tcW w:w="676"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jc w:val="center"/>
              <w:rPr>
                <w:rFonts w:hint="default" w:ascii="Times New Roman" w:hAnsi="Times New Roman" w:cs="Times New Roman"/>
                <w:bCs/>
                <w:color w:val="FF0000"/>
                <w:szCs w:val="21"/>
                <w:shd w:val="clear" w:color="auto" w:fill="FFFFFF"/>
              </w:rPr>
            </w:pPr>
          </w:p>
        </w:tc>
        <w:tc>
          <w:tcPr>
            <w:tcW w:w="901" w:type="dxa"/>
            <w:shd w:val="clear" w:color="auto" w:fill="auto"/>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硫酸雾</w:t>
            </w:r>
          </w:p>
        </w:tc>
        <w:tc>
          <w:tcPr>
            <w:tcW w:w="1275"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300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0.0023</w:t>
            </w:r>
          </w:p>
        </w:tc>
        <w:tc>
          <w:tcPr>
            <w:tcW w:w="1053"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szCs w:val="21"/>
              </w:rPr>
              <w:t>0.52</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0.38</w:t>
            </w:r>
          </w:p>
        </w:tc>
        <w:tc>
          <w:tcPr>
            <w:tcW w:w="1515" w:type="dxa"/>
            <w:vMerge w:val="continue"/>
            <w:shd w:val="clear" w:color="auto" w:fill="auto"/>
            <w:noWrap w:val="0"/>
            <w:vAlign w:val="center"/>
          </w:tcPr>
          <w:p>
            <w:pPr>
              <w:jc w:val="center"/>
              <w:rPr>
                <w:rFonts w:hint="default" w:ascii="Times New Roman" w:hAnsi="Times New Roman" w:cs="Times New Roman"/>
                <w:color w:val="FF0000"/>
                <w:kern w:val="0"/>
                <w:szCs w:val="21"/>
              </w:rPr>
            </w:pPr>
          </w:p>
        </w:tc>
        <w:tc>
          <w:tcPr>
            <w:tcW w:w="676"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 w:type="dxa"/>
            <w:vMerge w:val="continue"/>
            <w:shd w:val="clear" w:color="auto" w:fill="auto"/>
            <w:noWrap w:val="0"/>
            <w:vAlign w:val="center"/>
          </w:tcPr>
          <w:p>
            <w:pPr>
              <w:jc w:val="center"/>
              <w:rPr>
                <w:rFonts w:hint="default" w:ascii="Times New Roman" w:hAnsi="Times New Roman" w:cs="Times New Roman"/>
                <w:color w:val="FF0000"/>
                <w:szCs w:val="21"/>
              </w:rPr>
            </w:pPr>
          </w:p>
        </w:tc>
        <w:tc>
          <w:tcPr>
            <w:tcW w:w="749" w:type="dxa"/>
            <w:vMerge w:val="continue"/>
            <w:shd w:val="clear" w:color="auto" w:fill="auto"/>
            <w:noWrap w:val="0"/>
            <w:vAlign w:val="center"/>
          </w:tcPr>
          <w:p>
            <w:pPr>
              <w:jc w:val="center"/>
              <w:rPr>
                <w:rFonts w:hint="default" w:ascii="Times New Roman" w:hAnsi="Times New Roman" w:cs="Times New Roman"/>
                <w:bCs/>
                <w:color w:val="FF0000"/>
                <w:szCs w:val="21"/>
                <w:shd w:val="clear" w:color="auto" w:fill="FFFFFF"/>
              </w:rPr>
            </w:pPr>
          </w:p>
        </w:tc>
        <w:tc>
          <w:tcPr>
            <w:tcW w:w="901" w:type="dxa"/>
            <w:shd w:val="clear" w:color="auto" w:fill="auto"/>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氮氧化物</w:t>
            </w:r>
          </w:p>
        </w:tc>
        <w:tc>
          <w:tcPr>
            <w:tcW w:w="1275" w:type="dxa"/>
            <w:shd w:val="clear" w:color="auto" w:fill="auto"/>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color w:val="FF0000"/>
                <w:szCs w:val="21"/>
              </w:rPr>
              <w:t>250</w:t>
            </w:r>
          </w:p>
        </w:tc>
        <w:tc>
          <w:tcPr>
            <w:tcW w:w="1268"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30.369</w:t>
            </w:r>
          </w:p>
        </w:tc>
        <w:tc>
          <w:tcPr>
            <w:tcW w:w="1053" w:type="dxa"/>
            <w:shd w:val="clear" w:color="auto" w:fill="auto"/>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0.003171</w:t>
            </w:r>
          </w:p>
        </w:tc>
        <w:tc>
          <w:tcPr>
            <w:tcW w:w="1005" w:type="dxa"/>
            <w:shd w:val="clear" w:color="auto" w:fill="auto"/>
            <w:noWrap w:val="0"/>
            <w:vAlign w:val="center"/>
          </w:tcPr>
          <w:p>
            <w:pPr>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1.59</w:t>
            </w:r>
          </w:p>
        </w:tc>
        <w:tc>
          <w:tcPr>
            <w:tcW w:w="1515" w:type="dxa"/>
            <w:shd w:val="clear" w:color="auto" w:fill="auto"/>
            <w:noWrap w:val="0"/>
            <w:vAlign w:val="center"/>
          </w:tcPr>
          <w:p>
            <w:pPr>
              <w:jc w:val="center"/>
              <w:rPr>
                <w:rFonts w:hint="default" w:ascii="Times New Roman" w:hAnsi="Times New Roman" w:cs="Times New Roman" w:eastAsiaTheme="minorEastAsia"/>
                <w:color w:val="FF0000"/>
                <w:kern w:val="0"/>
                <w:szCs w:val="21"/>
                <w:lang w:val="en-US" w:eastAsia="zh-CN"/>
              </w:rPr>
            </w:pPr>
            <w:r>
              <w:rPr>
                <w:rFonts w:hint="default" w:ascii="Times New Roman" w:hAnsi="Times New Roman" w:cs="Times New Roman"/>
                <w:color w:val="FF0000"/>
                <w:kern w:val="0"/>
                <w:szCs w:val="21"/>
                <w:lang w:val="en-US" w:eastAsia="zh-CN"/>
              </w:rPr>
              <w:t>285</w:t>
            </w:r>
          </w:p>
        </w:tc>
        <w:tc>
          <w:tcPr>
            <w:tcW w:w="676" w:type="dxa"/>
            <w:shd w:val="clear" w:color="auto" w:fill="auto"/>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三级</w:t>
            </w:r>
          </w:p>
        </w:tc>
      </w:tr>
    </w:tbl>
    <w:p>
      <w:pPr>
        <w:widowControl/>
        <w:spacing w:line="360" w:lineRule="auto"/>
        <w:ind w:firstLine="480" w:firstLineChars="200"/>
        <w:jc w:val="left"/>
        <w:rPr>
          <w:rFonts w:hint="default" w:ascii="Times New Roman" w:hAnsi="Times New Roman" w:cs="Times New Roman"/>
          <w:color w:val="FF0000"/>
          <w:sz w:val="24"/>
        </w:rPr>
      </w:pPr>
      <w:r>
        <w:rPr>
          <w:rFonts w:hint="default" w:ascii="Times New Roman" w:hAnsi="Times New Roman" w:cs="Times New Roman"/>
          <w:color w:val="FF0000"/>
          <w:sz w:val="24"/>
        </w:rPr>
        <w:t>根据《环境影响评价技术导则-大气环境》（HJ2.2-2018），本项目的大气环境影响评价工作等级为三级。三级评价项目不进行进一步评价，只对污染物排放量进行核算。</w:t>
      </w:r>
    </w:p>
    <w:p>
      <w:pPr>
        <w:spacing w:after="120"/>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（2）污染物排放量核算</w:t>
      </w:r>
    </w:p>
    <w:p>
      <w:pPr>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A、有组织废气排放量核算</w:t>
      </w:r>
    </w:p>
    <w:p>
      <w:pPr>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表1-6    大气污染物有组织排放量核算表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83"/>
        <w:gridCol w:w="1306"/>
        <w:gridCol w:w="1720"/>
        <w:gridCol w:w="1737"/>
        <w:gridCol w:w="1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7"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序号</w:t>
            </w:r>
          </w:p>
        </w:tc>
        <w:tc>
          <w:tcPr>
            <w:tcW w:w="983"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排放口</w:t>
            </w:r>
          </w:p>
        </w:tc>
        <w:tc>
          <w:tcPr>
            <w:tcW w:w="1306"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污染物</w:t>
            </w:r>
          </w:p>
        </w:tc>
        <w:tc>
          <w:tcPr>
            <w:tcW w:w="1720"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排放浓度</w:t>
            </w:r>
          </w:p>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mg/m</w:t>
            </w:r>
            <w:r>
              <w:rPr>
                <w:rFonts w:hint="default" w:ascii="Times New Roman" w:hAnsi="Times New Roman" w:cs="Times New Roman"/>
                <w:bCs/>
                <w:color w:val="FF0000"/>
                <w:szCs w:val="21"/>
                <w:vertAlign w:val="superscript"/>
              </w:rPr>
              <w:t>3</w:t>
            </w:r>
          </w:p>
        </w:tc>
        <w:tc>
          <w:tcPr>
            <w:tcW w:w="1737"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排放速率</w:t>
            </w:r>
          </w:p>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kg/h</w:t>
            </w:r>
          </w:p>
        </w:tc>
        <w:tc>
          <w:tcPr>
            <w:tcW w:w="1737"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年排放量</w:t>
            </w:r>
          </w:p>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37"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w:t>
            </w:r>
          </w:p>
        </w:tc>
        <w:tc>
          <w:tcPr>
            <w:tcW w:w="983"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有机废气</w:t>
            </w:r>
            <w:r>
              <w:rPr>
                <w:rFonts w:hint="default" w:ascii="Times New Roman" w:hAnsi="Times New Roman" w:cs="Times New Roman"/>
                <w:color w:val="FF0000"/>
                <w:szCs w:val="21"/>
              </w:rPr>
              <w:t>排放口</w:t>
            </w:r>
          </w:p>
        </w:tc>
        <w:tc>
          <w:tcPr>
            <w:tcW w:w="1306"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非甲烷总烃</w:t>
            </w:r>
          </w:p>
        </w:tc>
        <w:tc>
          <w:tcPr>
            <w:tcW w:w="1720" w:type="dxa"/>
            <w:noWrap w:val="0"/>
            <w:vAlign w:val="center"/>
          </w:tcPr>
          <w:p>
            <w:pPr>
              <w:snapToGrid w:val="0"/>
              <w:contextualSpacing/>
              <w:jc w:val="center"/>
              <w:rPr>
                <w:rFonts w:hint="default" w:ascii="Times New Roman" w:hAnsi="Times New Roman" w:cs="Times New Roman"/>
                <w:color w:val="FF0000"/>
                <w:szCs w:val="21"/>
              </w:rPr>
            </w:pPr>
            <w:r>
              <w:rPr>
                <w:rFonts w:hint="default" w:ascii="Times New Roman" w:hAnsi="Times New Roman" w:eastAsia="仿宋" w:cs="Times New Roman"/>
                <w:color w:val="FF0000"/>
                <w:kern w:val="2"/>
                <w:sz w:val="21"/>
                <w:szCs w:val="21"/>
                <w:lang w:val="en-US" w:eastAsia="zh-CN" w:bidi="ar-SA"/>
              </w:rPr>
              <w:t>6.58×10</w:t>
            </w:r>
            <w:r>
              <w:rPr>
                <w:rFonts w:hint="default" w:ascii="Times New Roman" w:hAnsi="Times New Roman" w:eastAsia="仿宋" w:cs="Times New Roman"/>
                <w:color w:val="FF0000"/>
                <w:kern w:val="2"/>
                <w:sz w:val="21"/>
                <w:szCs w:val="21"/>
                <w:vertAlign w:val="superscript"/>
                <w:lang w:val="en-US" w:eastAsia="zh-CN" w:bidi="ar-SA"/>
              </w:rPr>
              <w:t>-8</w:t>
            </w:r>
          </w:p>
        </w:tc>
        <w:tc>
          <w:tcPr>
            <w:tcW w:w="1737" w:type="dxa"/>
            <w:noWrap w:val="0"/>
            <w:vAlign w:val="center"/>
          </w:tcPr>
          <w:p>
            <w:pPr>
              <w:jc w:val="center"/>
              <w:rPr>
                <w:rFonts w:hint="default" w:ascii="Times New Roman" w:hAnsi="Times New Roman" w:cs="Times New Roman"/>
                <w:color w:val="FF0000"/>
                <w:szCs w:val="21"/>
              </w:rPr>
            </w:pPr>
            <w:r>
              <w:rPr>
                <w:rFonts w:hint="default" w:ascii="Times New Roman" w:hAnsi="Times New Roman" w:eastAsia="仿宋" w:cs="Times New Roman"/>
                <w:color w:val="FF0000"/>
                <w:kern w:val="2"/>
                <w:sz w:val="21"/>
                <w:szCs w:val="21"/>
                <w:lang w:val="en-US" w:eastAsia="zh-CN" w:bidi="ar-SA"/>
              </w:rPr>
              <w:t>4.608×10</w:t>
            </w:r>
            <w:r>
              <w:rPr>
                <w:rFonts w:hint="default" w:ascii="Times New Roman" w:hAnsi="Times New Roman" w:eastAsia="仿宋" w:cs="Times New Roman"/>
                <w:color w:val="FF0000"/>
                <w:kern w:val="2"/>
                <w:sz w:val="21"/>
                <w:szCs w:val="21"/>
                <w:vertAlign w:val="superscript"/>
                <w:lang w:val="en-US" w:eastAsia="zh-CN" w:bidi="ar-SA"/>
              </w:rPr>
              <w:t>-4</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0.1152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2</w:t>
            </w:r>
          </w:p>
        </w:tc>
        <w:tc>
          <w:tcPr>
            <w:tcW w:w="983"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无机废气</w:t>
            </w:r>
            <w:r>
              <w:rPr>
                <w:rFonts w:hint="default" w:ascii="Times New Roman" w:hAnsi="Times New Roman" w:cs="Times New Roman"/>
                <w:color w:val="FF0000"/>
                <w:szCs w:val="21"/>
              </w:rPr>
              <w:t>排放口</w:t>
            </w:r>
          </w:p>
        </w:tc>
        <w:tc>
          <w:tcPr>
            <w:tcW w:w="1306"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氯化氢</w:t>
            </w:r>
          </w:p>
        </w:tc>
        <w:tc>
          <w:tcPr>
            <w:tcW w:w="1720" w:type="dxa"/>
            <w:noWrap w:val="0"/>
            <w:vAlign w:val="center"/>
          </w:tcPr>
          <w:p>
            <w:pPr>
              <w:snapToGrid w:val="0"/>
              <w:contextualSpacing/>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0.171</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lang w:val="en-US" w:eastAsia="zh-CN"/>
              </w:rPr>
              <w:t>0.0012</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pPr>
              <w:jc w:val="center"/>
              <w:rPr>
                <w:rFonts w:hint="default" w:ascii="Times New Roman" w:hAnsi="Times New Roman" w:cs="Times New Roman"/>
                <w:color w:val="FF0000"/>
                <w:szCs w:val="21"/>
              </w:rPr>
            </w:pPr>
          </w:p>
        </w:tc>
        <w:tc>
          <w:tcPr>
            <w:tcW w:w="983" w:type="dxa"/>
            <w:vMerge w:val="continue"/>
            <w:noWrap w:val="0"/>
            <w:vAlign w:val="center"/>
          </w:tcPr>
          <w:p>
            <w:pPr>
              <w:jc w:val="center"/>
              <w:rPr>
                <w:rFonts w:hint="default" w:ascii="Times New Roman" w:hAnsi="Times New Roman" w:cs="Times New Roman"/>
                <w:color w:val="FF0000"/>
                <w:szCs w:val="21"/>
              </w:rPr>
            </w:pPr>
          </w:p>
        </w:tc>
        <w:tc>
          <w:tcPr>
            <w:tcW w:w="1306"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硫酸雾</w:t>
            </w:r>
          </w:p>
        </w:tc>
        <w:tc>
          <w:tcPr>
            <w:tcW w:w="1720" w:type="dxa"/>
            <w:noWrap w:val="0"/>
            <w:vAlign w:val="center"/>
          </w:tcPr>
          <w:p>
            <w:pPr>
              <w:snapToGrid w:val="0"/>
              <w:contextualSpacing/>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0.342</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lang w:val="en-US" w:eastAsia="zh-CN"/>
              </w:rPr>
              <w:t>0.0024</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pPr>
              <w:jc w:val="center"/>
              <w:rPr>
                <w:rFonts w:hint="default" w:ascii="Times New Roman" w:hAnsi="Times New Roman" w:cs="Times New Roman"/>
                <w:color w:val="FF0000"/>
                <w:szCs w:val="21"/>
              </w:rPr>
            </w:pPr>
          </w:p>
        </w:tc>
        <w:tc>
          <w:tcPr>
            <w:tcW w:w="983" w:type="dxa"/>
            <w:vMerge w:val="continue"/>
            <w:noWrap w:val="0"/>
            <w:vAlign w:val="center"/>
          </w:tcPr>
          <w:p>
            <w:pPr>
              <w:jc w:val="center"/>
              <w:rPr>
                <w:rFonts w:hint="default" w:ascii="Times New Roman" w:hAnsi="Times New Roman" w:cs="Times New Roman"/>
                <w:color w:val="FF0000"/>
                <w:szCs w:val="21"/>
              </w:rPr>
            </w:pPr>
          </w:p>
        </w:tc>
        <w:tc>
          <w:tcPr>
            <w:tcW w:w="1306"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氮氧化物</w:t>
            </w:r>
          </w:p>
        </w:tc>
        <w:tc>
          <w:tcPr>
            <w:tcW w:w="1720" w:type="dxa"/>
            <w:noWrap w:val="0"/>
            <w:vAlign w:val="center"/>
          </w:tcPr>
          <w:p>
            <w:pPr>
              <w:snapToGrid w:val="0"/>
              <w:contextualSpacing/>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0.161</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lang w:val="en-US" w:eastAsia="zh-CN"/>
              </w:rPr>
              <w:t>0.001128</w:t>
            </w:r>
          </w:p>
        </w:tc>
        <w:tc>
          <w:tcPr>
            <w:tcW w:w="1737"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0.000564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gridSpan w:val="2"/>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一般</w:t>
            </w:r>
            <w:r>
              <w:rPr>
                <w:rFonts w:hint="default" w:ascii="Times New Roman" w:hAnsi="Times New Roman" w:cs="Times New Roman"/>
                <w:color w:val="FF0000"/>
                <w:szCs w:val="21"/>
              </w:rPr>
              <w:t>排放口合计</w:t>
            </w:r>
          </w:p>
        </w:tc>
        <w:tc>
          <w:tcPr>
            <w:tcW w:w="4763" w:type="dxa"/>
            <w:gridSpan w:val="3"/>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非甲烷总烃</w:t>
            </w:r>
          </w:p>
        </w:tc>
        <w:tc>
          <w:tcPr>
            <w:tcW w:w="1737"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0.1152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20" w:type="dxa"/>
            <w:gridSpan w:val="2"/>
            <w:vMerge w:val="continue"/>
            <w:noWrap w:val="0"/>
            <w:vAlign w:val="center"/>
          </w:tcPr>
          <w:p>
            <w:pPr>
              <w:jc w:val="center"/>
              <w:rPr>
                <w:rFonts w:hint="default" w:ascii="Times New Roman" w:hAnsi="Times New Roman" w:cs="Times New Roman"/>
                <w:color w:val="FF0000"/>
                <w:szCs w:val="21"/>
              </w:rPr>
            </w:pPr>
          </w:p>
        </w:tc>
        <w:tc>
          <w:tcPr>
            <w:tcW w:w="4763" w:type="dxa"/>
            <w:gridSpan w:val="3"/>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氯化氢</w:t>
            </w:r>
          </w:p>
        </w:tc>
        <w:tc>
          <w:tcPr>
            <w:tcW w:w="1737"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0.0006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gridSpan w:val="2"/>
            <w:vMerge w:val="continue"/>
            <w:noWrap w:val="0"/>
            <w:vAlign w:val="center"/>
          </w:tcPr>
          <w:p>
            <w:pPr>
              <w:jc w:val="center"/>
              <w:rPr>
                <w:rFonts w:hint="default" w:ascii="Times New Roman" w:hAnsi="Times New Roman" w:cs="Times New Roman"/>
                <w:color w:val="FF0000"/>
                <w:szCs w:val="21"/>
              </w:rPr>
            </w:pPr>
          </w:p>
        </w:tc>
        <w:tc>
          <w:tcPr>
            <w:tcW w:w="4763" w:type="dxa"/>
            <w:gridSpan w:val="3"/>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硫酸雾</w:t>
            </w:r>
          </w:p>
        </w:tc>
        <w:tc>
          <w:tcPr>
            <w:tcW w:w="1737"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0.0012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gridSpan w:val="2"/>
            <w:vMerge w:val="continue"/>
            <w:noWrap w:val="0"/>
            <w:vAlign w:val="center"/>
          </w:tcPr>
          <w:p>
            <w:pPr>
              <w:jc w:val="center"/>
              <w:rPr>
                <w:rFonts w:hint="default" w:ascii="Times New Roman" w:hAnsi="Times New Roman" w:cs="Times New Roman"/>
                <w:color w:val="FF0000"/>
                <w:szCs w:val="21"/>
              </w:rPr>
            </w:pPr>
          </w:p>
        </w:tc>
        <w:tc>
          <w:tcPr>
            <w:tcW w:w="4763" w:type="dxa"/>
            <w:gridSpan w:val="3"/>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氮氧化物</w:t>
            </w:r>
          </w:p>
        </w:tc>
        <w:tc>
          <w:tcPr>
            <w:tcW w:w="1737"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0.000564</w:t>
            </w:r>
          </w:p>
        </w:tc>
      </w:tr>
    </w:tbl>
    <w:p>
      <w:pPr>
        <w:widowControl/>
        <w:numPr>
          <w:ilvl w:val="0"/>
          <w:numId w:val="7"/>
        </w:numPr>
        <w:spacing w:line="360" w:lineRule="auto"/>
        <w:ind w:firstLine="480" w:firstLineChars="200"/>
        <w:jc w:val="left"/>
        <w:rPr>
          <w:rFonts w:hint="default" w:ascii="Times New Roman" w:hAnsi="Times New Roman" w:cs="Times New Roman"/>
          <w:color w:val="FF0000"/>
          <w:sz w:val="24"/>
        </w:rPr>
      </w:pPr>
      <w:r>
        <w:rPr>
          <w:rFonts w:hint="default" w:ascii="Times New Roman" w:hAnsi="Times New Roman" w:cs="Times New Roman"/>
          <w:color w:val="FF0000"/>
          <w:sz w:val="24"/>
        </w:rPr>
        <w:t>无组织废气排放量核算</w:t>
      </w:r>
    </w:p>
    <w:p>
      <w:pPr>
        <w:ind w:firstLine="442" w:firstLineChars="200"/>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表1-7    大气污染物无组织排放量核算表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80"/>
        <w:gridCol w:w="731"/>
        <w:gridCol w:w="2176"/>
        <w:gridCol w:w="1943"/>
        <w:gridCol w:w="912"/>
        <w:gridCol w:w="1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restart"/>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排放口</w:t>
            </w:r>
          </w:p>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编号</w:t>
            </w:r>
          </w:p>
        </w:tc>
        <w:tc>
          <w:tcPr>
            <w:tcW w:w="780" w:type="dxa"/>
            <w:vMerge w:val="restart"/>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产污环节</w:t>
            </w:r>
          </w:p>
        </w:tc>
        <w:tc>
          <w:tcPr>
            <w:tcW w:w="731" w:type="dxa"/>
            <w:vMerge w:val="restart"/>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污染物</w:t>
            </w:r>
          </w:p>
        </w:tc>
        <w:tc>
          <w:tcPr>
            <w:tcW w:w="2176" w:type="dxa"/>
            <w:vMerge w:val="restart"/>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主要污染防治措施</w:t>
            </w:r>
          </w:p>
        </w:tc>
        <w:tc>
          <w:tcPr>
            <w:tcW w:w="2855" w:type="dxa"/>
            <w:gridSpan w:val="2"/>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国家或地方污染物排放标准</w:t>
            </w:r>
          </w:p>
        </w:tc>
        <w:tc>
          <w:tcPr>
            <w:tcW w:w="998" w:type="dxa"/>
            <w:vMerge w:val="restart"/>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0" w:type="dxa"/>
            <w:vMerge w:val="continue"/>
            <w:noWrap w:val="0"/>
            <w:vAlign w:val="center"/>
          </w:tcPr>
          <w:p>
            <w:pPr>
              <w:jc w:val="center"/>
              <w:rPr>
                <w:rFonts w:hint="default" w:ascii="Times New Roman" w:hAnsi="Times New Roman" w:cs="Times New Roman"/>
                <w:bCs/>
                <w:color w:val="FF0000"/>
                <w:szCs w:val="21"/>
              </w:rPr>
            </w:pPr>
          </w:p>
        </w:tc>
        <w:tc>
          <w:tcPr>
            <w:tcW w:w="780" w:type="dxa"/>
            <w:vMerge w:val="continue"/>
            <w:noWrap w:val="0"/>
            <w:vAlign w:val="center"/>
          </w:tcPr>
          <w:p>
            <w:pPr>
              <w:jc w:val="center"/>
              <w:rPr>
                <w:rFonts w:hint="default" w:ascii="Times New Roman" w:hAnsi="Times New Roman" w:cs="Times New Roman"/>
                <w:bCs/>
                <w:color w:val="FF0000"/>
                <w:szCs w:val="21"/>
              </w:rPr>
            </w:pPr>
          </w:p>
        </w:tc>
        <w:tc>
          <w:tcPr>
            <w:tcW w:w="731" w:type="dxa"/>
            <w:vMerge w:val="continue"/>
            <w:noWrap w:val="0"/>
            <w:vAlign w:val="center"/>
          </w:tcPr>
          <w:p>
            <w:pPr>
              <w:jc w:val="center"/>
              <w:rPr>
                <w:rFonts w:hint="default" w:ascii="Times New Roman" w:hAnsi="Times New Roman" w:cs="Times New Roman"/>
                <w:bCs/>
                <w:color w:val="FF0000"/>
                <w:szCs w:val="21"/>
              </w:rPr>
            </w:pPr>
          </w:p>
        </w:tc>
        <w:tc>
          <w:tcPr>
            <w:tcW w:w="2176" w:type="dxa"/>
            <w:vMerge w:val="continue"/>
            <w:noWrap w:val="0"/>
            <w:vAlign w:val="center"/>
          </w:tcPr>
          <w:p>
            <w:pPr>
              <w:jc w:val="center"/>
              <w:rPr>
                <w:rFonts w:hint="default" w:ascii="Times New Roman" w:hAnsi="Times New Roman" w:cs="Times New Roman"/>
                <w:bCs/>
                <w:color w:val="FF0000"/>
                <w:szCs w:val="21"/>
              </w:rPr>
            </w:pPr>
          </w:p>
        </w:tc>
        <w:tc>
          <w:tcPr>
            <w:tcW w:w="1943"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标准名称</w:t>
            </w:r>
          </w:p>
        </w:tc>
        <w:tc>
          <w:tcPr>
            <w:tcW w:w="912" w:type="dxa"/>
            <w:noWrap w:val="0"/>
            <w:vAlign w:val="center"/>
          </w:tcPr>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浓度限值</w:t>
            </w:r>
          </w:p>
          <w:p>
            <w:pPr>
              <w:jc w:val="center"/>
              <w:rPr>
                <w:rFonts w:hint="default" w:ascii="Times New Roman" w:hAnsi="Times New Roman" w:cs="Times New Roman"/>
                <w:bCs/>
                <w:color w:val="FF0000"/>
                <w:szCs w:val="21"/>
              </w:rPr>
            </w:pPr>
            <w:r>
              <w:rPr>
                <w:rFonts w:hint="default" w:ascii="Times New Roman" w:hAnsi="Times New Roman" w:cs="Times New Roman"/>
                <w:bCs/>
                <w:color w:val="FF0000"/>
                <w:szCs w:val="21"/>
              </w:rPr>
              <w:t>μg/m</w:t>
            </w:r>
            <w:r>
              <w:rPr>
                <w:rFonts w:hint="default" w:ascii="Times New Roman" w:hAnsi="Times New Roman" w:cs="Times New Roman"/>
                <w:bCs/>
                <w:color w:val="FF0000"/>
                <w:szCs w:val="21"/>
                <w:vertAlign w:val="superscript"/>
              </w:rPr>
              <w:t>3</w:t>
            </w:r>
          </w:p>
        </w:tc>
        <w:tc>
          <w:tcPr>
            <w:tcW w:w="998" w:type="dxa"/>
            <w:vMerge w:val="continue"/>
            <w:noWrap w:val="0"/>
            <w:vAlign w:val="center"/>
          </w:tcPr>
          <w:p>
            <w:pPr>
              <w:jc w:val="center"/>
              <w:rPr>
                <w:rFonts w:hint="default" w:ascii="Times New Roman" w:hAnsi="Times New Roman" w:cs="Times New Roman"/>
                <w:b/>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w:t>
            </w:r>
          </w:p>
        </w:tc>
        <w:tc>
          <w:tcPr>
            <w:tcW w:w="780"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有机废气</w:t>
            </w:r>
          </w:p>
        </w:tc>
        <w:tc>
          <w:tcPr>
            <w:tcW w:w="731"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非甲烷总烃</w:t>
            </w:r>
          </w:p>
        </w:tc>
        <w:tc>
          <w:tcPr>
            <w:tcW w:w="2176" w:type="dxa"/>
            <w:noWrap w:val="0"/>
            <w:vAlign w:val="center"/>
          </w:tcPr>
          <w:p>
            <w:pPr>
              <w:snapToGrid w:val="0"/>
              <w:contextualSpacing/>
              <w:jc w:val="center"/>
              <w:rPr>
                <w:rFonts w:hint="default" w:ascii="Times New Roman" w:hAnsi="Times New Roman" w:cs="Times New Roman"/>
                <w:color w:val="FF0000"/>
                <w:szCs w:val="21"/>
              </w:rPr>
            </w:pPr>
          </w:p>
        </w:tc>
        <w:tc>
          <w:tcPr>
            <w:tcW w:w="1943" w:type="dxa"/>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《大气污染物综合排放标准》 （GB16297-1996）表 2 标准限值</w:t>
            </w:r>
          </w:p>
        </w:tc>
        <w:tc>
          <w:tcPr>
            <w:tcW w:w="912"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4000</w:t>
            </w:r>
          </w:p>
        </w:tc>
        <w:tc>
          <w:tcPr>
            <w:tcW w:w="998"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eastAsia="仿宋" w:cs="Times New Roman"/>
                <w:color w:val="FF0000"/>
                <w:kern w:val="2"/>
                <w:sz w:val="21"/>
                <w:szCs w:val="21"/>
                <w:lang w:val="en-US" w:eastAsia="zh-CN" w:bidi="ar-SA"/>
              </w:rPr>
              <w:t>0.000072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0" w:type="dxa"/>
            <w:vMerge w:val="restart"/>
            <w:noWrap w:val="0"/>
            <w:vAlign w:val="center"/>
          </w:tcPr>
          <w:p>
            <w:pPr>
              <w:jc w:val="center"/>
              <w:rPr>
                <w:rFonts w:hint="default" w:ascii="Times New Roman" w:hAnsi="Times New Roman" w:cs="Times New Roman" w:eastAsiaTheme="minorEastAsia"/>
                <w:color w:val="FF0000"/>
                <w:szCs w:val="21"/>
                <w:lang w:eastAsia="zh-CN"/>
              </w:rPr>
            </w:pPr>
            <w:r>
              <w:rPr>
                <w:rFonts w:hint="default" w:ascii="Times New Roman" w:hAnsi="Times New Roman" w:cs="Times New Roman"/>
                <w:color w:val="FF0000"/>
                <w:szCs w:val="21"/>
                <w:lang w:val="en-US" w:eastAsia="zh-CN"/>
              </w:rPr>
              <w:t>2</w:t>
            </w:r>
          </w:p>
        </w:tc>
        <w:tc>
          <w:tcPr>
            <w:tcW w:w="780" w:type="dxa"/>
            <w:vMerge w:val="restart"/>
            <w:noWrap w:val="0"/>
            <w:vAlign w:val="center"/>
          </w:tcPr>
          <w:p>
            <w:pPr>
              <w:jc w:val="center"/>
              <w:rPr>
                <w:rFonts w:hint="default" w:ascii="Times New Roman" w:hAnsi="Times New Roman" w:cs="Times New Roman" w:eastAsiaTheme="minorEastAsia"/>
                <w:color w:val="FF0000"/>
                <w:szCs w:val="21"/>
                <w:lang w:eastAsia="zh-CN"/>
              </w:rPr>
            </w:pPr>
            <w:r>
              <w:rPr>
                <w:rFonts w:hint="default" w:ascii="Times New Roman" w:hAnsi="Times New Roman" w:cs="Times New Roman"/>
                <w:color w:val="FF0000"/>
                <w:szCs w:val="21"/>
                <w:lang w:val="en-US" w:eastAsia="zh-CN"/>
              </w:rPr>
              <w:t>无机废气</w:t>
            </w:r>
          </w:p>
        </w:tc>
        <w:tc>
          <w:tcPr>
            <w:tcW w:w="731"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氯化氢</w:t>
            </w:r>
          </w:p>
        </w:tc>
        <w:tc>
          <w:tcPr>
            <w:tcW w:w="2176" w:type="dxa"/>
            <w:vMerge w:val="restart"/>
            <w:noWrap w:val="0"/>
            <w:vAlign w:val="center"/>
          </w:tcPr>
          <w:p>
            <w:pPr>
              <w:snapToGrid w:val="0"/>
              <w:contextualSpacing/>
              <w:jc w:val="center"/>
              <w:rPr>
                <w:rFonts w:hint="default" w:ascii="Times New Roman" w:hAnsi="Times New Roman" w:cs="Times New Roman"/>
                <w:color w:val="FF0000"/>
                <w:szCs w:val="21"/>
              </w:rPr>
            </w:pPr>
          </w:p>
        </w:tc>
        <w:tc>
          <w:tcPr>
            <w:tcW w:w="1943" w:type="dxa"/>
            <w:vMerge w:val="continue"/>
            <w:noWrap w:val="0"/>
            <w:vAlign w:val="center"/>
          </w:tcPr>
          <w:p>
            <w:pPr>
              <w:jc w:val="center"/>
              <w:rPr>
                <w:rFonts w:hint="default" w:ascii="Times New Roman" w:hAnsi="Times New Roman" w:cs="Times New Roman"/>
                <w:color w:val="FF0000"/>
                <w:szCs w:val="21"/>
              </w:rPr>
            </w:pPr>
          </w:p>
        </w:tc>
        <w:tc>
          <w:tcPr>
            <w:tcW w:w="912"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200</w:t>
            </w:r>
          </w:p>
        </w:tc>
        <w:tc>
          <w:tcPr>
            <w:tcW w:w="998"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0" w:type="dxa"/>
            <w:vMerge w:val="continue"/>
            <w:noWrap w:val="0"/>
            <w:vAlign w:val="center"/>
          </w:tcPr>
          <w:p>
            <w:pPr>
              <w:jc w:val="center"/>
              <w:rPr>
                <w:rFonts w:hint="default" w:ascii="Times New Roman" w:hAnsi="Times New Roman" w:cs="Times New Roman"/>
                <w:color w:val="FF0000"/>
                <w:szCs w:val="21"/>
              </w:rPr>
            </w:pPr>
          </w:p>
        </w:tc>
        <w:tc>
          <w:tcPr>
            <w:tcW w:w="780" w:type="dxa"/>
            <w:vMerge w:val="continue"/>
            <w:noWrap w:val="0"/>
            <w:vAlign w:val="center"/>
          </w:tcPr>
          <w:p>
            <w:pPr>
              <w:jc w:val="center"/>
              <w:rPr>
                <w:rFonts w:hint="default" w:ascii="Times New Roman" w:hAnsi="Times New Roman" w:cs="Times New Roman"/>
                <w:color w:val="FF0000"/>
                <w:szCs w:val="21"/>
              </w:rPr>
            </w:pPr>
          </w:p>
        </w:tc>
        <w:tc>
          <w:tcPr>
            <w:tcW w:w="731"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硫酸雾</w:t>
            </w:r>
          </w:p>
        </w:tc>
        <w:tc>
          <w:tcPr>
            <w:tcW w:w="2176" w:type="dxa"/>
            <w:vMerge w:val="continue"/>
            <w:noWrap w:val="0"/>
            <w:vAlign w:val="center"/>
          </w:tcPr>
          <w:p>
            <w:pPr>
              <w:snapToGrid w:val="0"/>
              <w:contextualSpacing/>
              <w:jc w:val="center"/>
              <w:rPr>
                <w:rFonts w:hint="default" w:ascii="Times New Roman" w:hAnsi="Times New Roman" w:cs="Times New Roman"/>
                <w:color w:val="FF0000"/>
                <w:szCs w:val="21"/>
              </w:rPr>
            </w:pPr>
          </w:p>
        </w:tc>
        <w:tc>
          <w:tcPr>
            <w:tcW w:w="1943" w:type="dxa"/>
            <w:vMerge w:val="continue"/>
            <w:noWrap w:val="0"/>
            <w:vAlign w:val="center"/>
          </w:tcPr>
          <w:p>
            <w:pPr>
              <w:jc w:val="center"/>
              <w:rPr>
                <w:rFonts w:hint="default" w:ascii="Times New Roman" w:hAnsi="Times New Roman" w:cs="Times New Roman"/>
                <w:color w:val="FF0000"/>
                <w:szCs w:val="21"/>
              </w:rPr>
            </w:pPr>
          </w:p>
        </w:tc>
        <w:tc>
          <w:tcPr>
            <w:tcW w:w="912"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300</w:t>
            </w:r>
          </w:p>
        </w:tc>
        <w:tc>
          <w:tcPr>
            <w:tcW w:w="998"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noWrap w:val="0"/>
            <w:vAlign w:val="center"/>
          </w:tcPr>
          <w:p>
            <w:pPr>
              <w:jc w:val="center"/>
              <w:rPr>
                <w:rFonts w:hint="default" w:ascii="Times New Roman" w:hAnsi="Times New Roman" w:cs="Times New Roman"/>
                <w:color w:val="FF0000"/>
                <w:szCs w:val="21"/>
              </w:rPr>
            </w:pPr>
          </w:p>
        </w:tc>
        <w:tc>
          <w:tcPr>
            <w:tcW w:w="780" w:type="dxa"/>
            <w:vMerge w:val="continue"/>
            <w:noWrap w:val="0"/>
            <w:vAlign w:val="center"/>
          </w:tcPr>
          <w:p>
            <w:pPr>
              <w:jc w:val="center"/>
              <w:rPr>
                <w:rFonts w:hint="default" w:ascii="Times New Roman" w:hAnsi="Times New Roman" w:cs="Times New Roman"/>
                <w:color w:val="FF0000"/>
                <w:szCs w:val="21"/>
              </w:rPr>
            </w:pPr>
          </w:p>
        </w:tc>
        <w:tc>
          <w:tcPr>
            <w:tcW w:w="731" w:type="dxa"/>
            <w:noWrap w:val="0"/>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bCs/>
                <w:color w:val="FF0000"/>
                <w:szCs w:val="21"/>
                <w:shd w:val="clear" w:color="auto" w:fill="FFFFFF"/>
                <w:lang w:val="en-US" w:eastAsia="zh-CN"/>
              </w:rPr>
              <w:t>氮氧化物</w:t>
            </w:r>
          </w:p>
        </w:tc>
        <w:tc>
          <w:tcPr>
            <w:tcW w:w="2176" w:type="dxa"/>
            <w:vMerge w:val="continue"/>
            <w:noWrap w:val="0"/>
            <w:vAlign w:val="center"/>
          </w:tcPr>
          <w:p>
            <w:pPr>
              <w:snapToGrid w:val="0"/>
              <w:contextualSpacing/>
              <w:jc w:val="center"/>
              <w:rPr>
                <w:rFonts w:hint="default" w:ascii="Times New Roman" w:hAnsi="Times New Roman" w:cs="Times New Roman"/>
                <w:color w:val="FF0000"/>
                <w:szCs w:val="21"/>
              </w:rPr>
            </w:pPr>
          </w:p>
        </w:tc>
        <w:tc>
          <w:tcPr>
            <w:tcW w:w="1943" w:type="dxa"/>
            <w:vMerge w:val="continue"/>
            <w:noWrap w:val="0"/>
            <w:vAlign w:val="center"/>
          </w:tcPr>
          <w:p>
            <w:pPr>
              <w:jc w:val="center"/>
              <w:rPr>
                <w:rFonts w:hint="default" w:ascii="Times New Roman" w:hAnsi="Times New Roman" w:cs="Times New Roman"/>
                <w:color w:val="FF0000"/>
                <w:szCs w:val="21"/>
              </w:rPr>
            </w:pPr>
          </w:p>
        </w:tc>
        <w:tc>
          <w:tcPr>
            <w:tcW w:w="912"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120</w:t>
            </w:r>
          </w:p>
        </w:tc>
        <w:tc>
          <w:tcPr>
            <w:tcW w:w="998" w:type="dxa"/>
            <w:noWrap w:val="0"/>
            <w:vAlign w:val="center"/>
          </w:tcPr>
          <w:p>
            <w:pPr>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snapToGrid w:val="0"/>
                <w:color w:val="FF0000"/>
                <w:kern w:val="0"/>
                <w:szCs w:val="21"/>
                <w:lang w:val="en-US" w:eastAsia="zh-CN"/>
              </w:rPr>
              <w:t>0.00014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gridSpan w:val="3"/>
            <w:vMerge w:val="restart"/>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无组织排放总计</w:t>
            </w:r>
          </w:p>
        </w:tc>
        <w:tc>
          <w:tcPr>
            <w:tcW w:w="5031" w:type="dxa"/>
            <w:gridSpan w:val="3"/>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粉尘</w:t>
            </w:r>
          </w:p>
        </w:tc>
        <w:tc>
          <w:tcPr>
            <w:tcW w:w="998"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gridSpan w:val="3"/>
            <w:vMerge w:val="continue"/>
            <w:noWrap w:val="0"/>
            <w:vAlign w:val="center"/>
          </w:tcPr>
          <w:p>
            <w:pPr>
              <w:jc w:val="center"/>
              <w:rPr>
                <w:rFonts w:hint="default" w:ascii="Times New Roman" w:hAnsi="Times New Roman" w:cs="Times New Roman"/>
                <w:color w:val="FF0000"/>
                <w:szCs w:val="21"/>
              </w:rPr>
            </w:pPr>
          </w:p>
        </w:tc>
        <w:tc>
          <w:tcPr>
            <w:tcW w:w="5031" w:type="dxa"/>
            <w:gridSpan w:val="3"/>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沥青烟</w:t>
            </w:r>
          </w:p>
        </w:tc>
        <w:tc>
          <w:tcPr>
            <w:tcW w:w="998"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0.00112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gridSpan w:val="3"/>
            <w:vMerge w:val="continue"/>
            <w:noWrap w:val="0"/>
            <w:vAlign w:val="center"/>
          </w:tcPr>
          <w:p>
            <w:pPr>
              <w:jc w:val="center"/>
              <w:rPr>
                <w:rFonts w:hint="default" w:ascii="Times New Roman" w:hAnsi="Times New Roman" w:cs="Times New Roman"/>
                <w:color w:val="FF0000"/>
                <w:szCs w:val="21"/>
              </w:rPr>
            </w:pPr>
          </w:p>
        </w:tc>
        <w:tc>
          <w:tcPr>
            <w:tcW w:w="5031" w:type="dxa"/>
            <w:gridSpan w:val="3"/>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非甲烷总烃</w:t>
            </w:r>
          </w:p>
        </w:tc>
        <w:tc>
          <w:tcPr>
            <w:tcW w:w="998"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0.0032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gridSpan w:val="3"/>
            <w:vMerge w:val="continue"/>
            <w:noWrap w:val="0"/>
            <w:vAlign w:val="center"/>
          </w:tcPr>
          <w:p>
            <w:pPr>
              <w:jc w:val="center"/>
              <w:rPr>
                <w:rFonts w:hint="default" w:ascii="Times New Roman" w:hAnsi="Times New Roman" w:cs="Times New Roman"/>
                <w:color w:val="FF0000"/>
                <w:szCs w:val="21"/>
              </w:rPr>
            </w:pPr>
          </w:p>
        </w:tc>
        <w:tc>
          <w:tcPr>
            <w:tcW w:w="5031" w:type="dxa"/>
            <w:gridSpan w:val="3"/>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苯并[a]芘</w:t>
            </w:r>
          </w:p>
        </w:tc>
        <w:tc>
          <w:tcPr>
            <w:tcW w:w="998" w:type="dxa"/>
            <w:noWrap w:val="0"/>
            <w:vAlign w:val="center"/>
          </w:tcPr>
          <w:p>
            <w:pPr>
              <w:jc w:val="center"/>
              <w:rPr>
                <w:rFonts w:hint="default" w:ascii="Times New Roman" w:hAnsi="Times New Roman" w:cs="Times New Roman"/>
                <w:color w:val="FF0000"/>
                <w:szCs w:val="21"/>
              </w:rPr>
            </w:pPr>
            <w:r>
              <w:rPr>
                <w:rFonts w:hint="default" w:ascii="Times New Roman" w:hAnsi="Times New Roman" w:cs="Times New Roman"/>
                <w:snapToGrid w:val="0"/>
                <w:color w:val="FF0000"/>
                <w:kern w:val="0"/>
                <w:szCs w:val="21"/>
              </w:rPr>
              <w:t>3.2×10</w:t>
            </w:r>
            <w:r>
              <w:rPr>
                <w:rFonts w:hint="default" w:ascii="Times New Roman" w:hAnsi="Times New Roman" w:cs="Times New Roman"/>
                <w:snapToGrid w:val="0"/>
                <w:color w:val="FF0000"/>
                <w:kern w:val="0"/>
                <w:szCs w:val="21"/>
                <w:vertAlign w:val="superscript"/>
              </w:rPr>
              <w:t>-6</w:t>
            </w:r>
          </w:p>
        </w:tc>
      </w:tr>
    </w:tbl>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（3）达标分析</w:t>
      </w:r>
    </w:p>
    <w:p>
      <w:pPr>
        <w:adjustRightInd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A.</w:t>
      </w:r>
      <w:r>
        <w:rPr>
          <w:rFonts w:hint="default" w:ascii="Times New Roman" w:hAnsi="Times New Roman" w:cs="Times New Roman"/>
          <w:color w:val="FF0000"/>
          <w:sz w:val="24"/>
          <w:lang w:val="en-US" w:eastAsia="zh-CN"/>
        </w:rPr>
        <w:t>有机</w:t>
      </w:r>
      <w:r>
        <w:rPr>
          <w:rFonts w:hint="default" w:ascii="Times New Roman" w:hAnsi="Times New Roman" w:cs="Times New Roman"/>
          <w:color w:val="FF0000"/>
          <w:sz w:val="24"/>
        </w:rPr>
        <w:t>废气：</w:t>
      </w:r>
      <w:r>
        <w:rPr>
          <w:rFonts w:hint="default" w:ascii="Times New Roman" w:hAnsi="Times New Roman" w:cs="Times New Roman"/>
          <w:color w:val="FF0000"/>
          <w:sz w:val="24"/>
          <w:lang w:val="en-US" w:eastAsia="zh-CN"/>
        </w:rPr>
        <w:t>项目有机废气</w:t>
      </w:r>
      <w:r>
        <w:rPr>
          <w:rFonts w:hint="default" w:ascii="Times New Roman" w:hAnsi="Times New Roman" w:eastAsia="宋体" w:cs="Times New Roman"/>
          <w:color w:val="FF0000"/>
          <w:sz w:val="24"/>
          <w:lang w:val="en-US" w:eastAsia="zh-CN"/>
        </w:rPr>
        <w:t>在通风橱后管道设置活性炭吸附装置，通风橱的集气效率按80%计，活性炭吸附装置对有机废气处理效率按60%计，经净化处理后，由高于楼顶3m（自地面算起15m高）排气筒排放</w:t>
      </w:r>
      <w:r>
        <w:rPr>
          <w:rFonts w:hint="default" w:ascii="Times New Roman" w:hAnsi="Times New Roman" w:cs="Times New Roman"/>
          <w:color w:val="FF0000"/>
          <w:sz w:val="24"/>
        </w:rPr>
        <w:t>。</w:t>
      </w:r>
      <w:r>
        <w:rPr>
          <w:rFonts w:hint="default" w:ascii="Times New Roman" w:hAnsi="Times New Roman" w:cs="Times New Roman"/>
          <w:color w:val="FF0000"/>
          <w:sz w:val="24"/>
          <w:lang w:val="en-US" w:eastAsia="zh-CN"/>
        </w:rPr>
        <w:t>排放浓度</w:t>
      </w:r>
      <w:r>
        <w:rPr>
          <w:rFonts w:hint="default" w:ascii="Times New Roman" w:hAnsi="Times New Roman" w:cs="Times New Roman"/>
          <w:color w:val="FF0000"/>
          <w:sz w:val="24"/>
        </w:rPr>
        <w:t>均低于</w:t>
      </w:r>
      <w:r>
        <w:rPr>
          <w:rFonts w:hint="default" w:ascii="Times New Roman" w:hAnsi="Times New Roman" w:cs="Times New Roman"/>
          <w:color w:val="FF0000"/>
          <w:kern w:val="0"/>
          <w:sz w:val="24"/>
        </w:rPr>
        <w:t>《大气污染物综合排放标准》(GB16297-1996)</w:t>
      </w:r>
      <w:r>
        <w:rPr>
          <w:rFonts w:hint="default" w:ascii="Times New Roman" w:hAnsi="Times New Roman" w:cs="Times New Roman"/>
          <w:color w:val="FF0000"/>
          <w:sz w:val="24"/>
        </w:rPr>
        <w:t>二级标准要求。</w:t>
      </w:r>
    </w:p>
    <w:p>
      <w:pPr>
        <w:adjustRightInd w:val="0"/>
        <w:spacing w:line="360" w:lineRule="auto"/>
        <w:ind w:firstLine="460" w:firstLineChars="192"/>
        <w:rPr>
          <w:rFonts w:hint="default" w:ascii="Times New Roman" w:hAnsi="Times New Roman" w:cs="Times New Roman"/>
          <w:color w:val="FF0000"/>
          <w:sz w:val="24"/>
        </w:rPr>
      </w:pPr>
      <w:r>
        <w:rPr>
          <w:rFonts w:hint="default" w:ascii="Times New Roman" w:hAnsi="Times New Roman" w:cs="Times New Roman"/>
          <w:color w:val="FF0000"/>
          <w:sz w:val="24"/>
        </w:rPr>
        <w:t>B.</w:t>
      </w:r>
      <w:r>
        <w:rPr>
          <w:rFonts w:hint="default" w:ascii="Times New Roman" w:hAnsi="Times New Roman" w:cs="Times New Roman"/>
          <w:color w:val="FF0000"/>
          <w:sz w:val="24"/>
          <w:lang w:val="en-US" w:eastAsia="zh-CN"/>
        </w:rPr>
        <w:t>无机</w:t>
      </w:r>
      <w:r>
        <w:rPr>
          <w:rFonts w:hint="default" w:ascii="Times New Roman" w:hAnsi="Times New Roman" w:cs="Times New Roman"/>
          <w:color w:val="FF0000"/>
          <w:sz w:val="24"/>
        </w:rPr>
        <w:t>废气：</w:t>
      </w:r>
      <w:r>
        <w:rPr>
          <w:rFonts w:hint="default" w:ascii="Times New Roman" w:hAnsi="Times New Roman" w:cs="Times New Roman"/>
          <w:color w:val="FF0000"/>
          <w:sz w:val="24"/>
          <w:lang w:val="en-US" w:eastAsia="zh-CN"/>
        </w:rPr>
        <w:t>项目</w:t>
      </w:r>
      <w:r>
        <w:rPr>
          <w:rFonts w:hint="default" w:ascii="Times New Roman" w:hAnsi="Times New Roman" w:eastAsia="宋体" w:cs="Times New Roman"/>
          <w:color w:val="FF0000"/>
          <w:sz w:val="24"/>
        </w:rPr>
        <w:t>无机废气（主要为酸性气体）由万向吸收罩收集后通过1套SDG干法废气处理装置处理后通过高出楼顶3m高的排气筒排放</w:t>
      </w:r>
      <w:r>
        <w:rPr>
          <w:rFonts w:hint="default" w:ascii="Times New Roman" w:hAnsi="Times New Roman" w:cs="Times New Roman"/>
          <w:color w:val="FF0000"/>
          <w:sz w:val="24"/>
        </w:rPr>
        <w:t>。</w:t>
      </w:r>
      <w:r>
        <w:rPr>
          <w:rFonts w:hint="default" w:ascii="Times New Roman" w:hAnsi="Times New Roman" w:cs="Times New Roman"/>
          <w:color w:val="FF0000"/>
          <w:sz w:val="24"/>
          <w:lang w:val="en-US" w:eastAsia="zh-CN"/>
        </w:rPr>
        <w:t>排放浓度</w:t>
      </w:r>
      <w:r>
        <w:rPr>
          <w:rFonts w:hint="default" w:ascii="Times New Roman" w:hAnsi="Times New Roman" w:cs="Times New Roman"/>
          <w:color w:val="FF0000"/>
          <w:sz w:val="24"/>
        </w:rPr>
        <w:t>低于《大气污染物综合排放标准》(GB16297-1996)中二级标准要求。</w:t>
      </w:r>
    </w:p>
    <w:p>
      <w:pPr>
        <w:spacing w:line="360" w:lineRule="auto"/>
        <w:ind w:firstLine="480" w:firstLineChars="200"/>
        <w:rPr>
          <w:rFonts w:hint="default" w:ascii="Times New Roman" w:hAnsi="Times New Roman" w:cs="Times New Roman"/>
          <w:color w:val="FF0000"/>
          <w:kern w:val="11"/>
          <w:sz w:val="24"/>
        </w:rPr>
      </w:pPr>
      <w:r>
        <w:rPr>
          <w:rFonts w:hint="default" w:ascii="Times New Roman" w:hAnsi="Times New Roman" w:cs="Times New Roman"/>
          <w:color w:val="FF0000"/>
          <w:sz w:val="24"/>
        </w:rPr>
        <w:t>（4）</w:t>
      </w:r>
      <w:r>
        <w:rPr>
          <w:rFonts w:hint="default" w:ascii="Times New Roman" w:hAnsi="Times New Roman" w:cs="Times New Roman"/>
          <w:color w:val="FF0000"/>
          <w:kern w:val="11"/>
          <w:sz w:val="24"/>
        </w:rPr>
        <w:t>建设项目大气环境影响评价自查表见表1-8。</w:t>
      </w:r>
    </w:p>
    <w:p>
      <w:pPr>
        <w:ind w:firstLine="442" w:firstLineChars="200"/>
        <w:jc w:val="center"/>
        <w:rPr>
          <w:rFonts w:hint="default" w:ascii="Times New Roman" w:hAnsi="Times New Roman" w:cs="Times New Roman"/>
          <w:color w:val="FF0000"/>
          <w:szCs w:val="21"/>
        </w:rPr>
      </w:pPr>
      <w:r>
        <w:rPr>
          <w:rFonts w:hint="default" w:ascii="Times New Roman" w:hAnsi="Times New Roman" w:cs="Times New Roman"/>
          <w:b/>
          <w:bCs/>
          <w:color w:val="FF0000"/>
          <w:szCs w:val="21"/>
        </w:rPr>
        <w:t>表1-8    建设项目大气环境影响评价自查表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56"/>
        <w:gridCol w:w="948"/>
        <w:gridCol w:w="1117"/>
        <w:gridCol w:w="801"/>
        <w:gridCol w:w="442"/>
        <w:gridCol w:w="1029"/>
        <w:gridCol w:w="1422"/>
        <w:gridCol w:w="1174"/>
        <w:gridCol w:w="1044"/>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5" w:hRule="exact"/>
        </w:trPr>
        <w:tc>
          <w:tcPr>
            <w:tcW w:w="723"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工作内容</w:t>
            </w:r>
          </w:p>
        </w:tc>
        <w:tc>
          <w:tcPr>
            <w:tcW w:w="4277" w:type="pct"/>
            <w:gridSpan w:val="8"/>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自查项目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评价等级与范围</w:t>
            </w: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评价等级</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一级□</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二级□</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三级</w:t>
            </w:r>
            <w:r>
              <w:rPr>
                <w:rFonts w:hint="default" w:ascii="Times New Roman" w:hAnsi="Times New Roman" w:eastAsia="MS Gothic" w:cs="Times New Roman"/>
                <w:color w:val="FF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评价范围</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边长=50km</w:t>
            </w:r>
            <w:r>
              <w:rPr>
                <w:rFonts w:hint="default" w:ascii="Times New Roman" w:hAnsi="Times New Roman" w:eastAsia="MS Gothic" w:cs="Times New Roman"/>
                <w:color w:val="FF0000"/>
                <w:szCs w:val="21"/>
              </w:rPr>
              <w:t>☑</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边长=5~50km□</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2"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评价因子</w:t>
            </w: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SO</w:t>
            </w:r>
            <w:r>
              <w:rPr>
                <w:rFonts w:hint="default" w:ascii="Times New Roman" w:hAnsi="Times New Roman" w:cs="Times New Roman"/>
                <w:color w:val="FF0000"/>
                <w:szCs w:val="21"/>
                <w:vertAlign w:val="subscript"/>
              </w:rPr>
              <w:t>2</w:t>
            </w:r>
            <w:r>
              <w:rPr>
                <w:rFonts w:hint="default" w:ascii="Times New Roman" w:hAnsi="Times New Roman" w:cs="Times New Roman"/>
                <w:color w:val="FF0000"/>
                <w:szCs w:val="21"/>
              </w:rPr>
              <w:t>+NOx排放量</w:t>
            </w:r>
          </w:p>
        </w:tc>
        <w:tc>
          <w:tcPr>
            <w:tcW w:w="1053"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≥2000t/a□</w:t>
            </w:r>
          </w:p>
        </w:tc>
        <w:tc>
          <w:tcPr>
            <w:tcW w:w="157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500~2000t/a□</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&lt;500t/a</w:t>
            </w:r>
            <w:r>
              <w:rPr>
                <w:rFonts w:hint="default" w:ascii="Times New Roman" w:hAnsi="Times New Roman" w:eastAsia="MS Gothic" w:cs="Times New Roman"/>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评价因子</w:t>
            </w: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基本污染物（SO</w:t>
            </w:r>
            <w:r>
              <w:rPr>
                <w:rFonts w:hint="default" w:ascii="Times New Roman" w:hAnsi="Times New Roman" w:cs="Times New Roman"/>
                <w:color w:val="FF0000"/>
                <w:szCs w:val="21"/>
                <w:vertAlign w:val="subscript"/>
              </w:rPr>
              <w:t>2</w:t>
            </w:r>
            <w:r>
              <w:rPr>
                <w:rFonts w:hint="default" w:ascii="Times New Roman" w:hAnsi="Times New Roman" w:cs="Times New Roman"/>
                <w:color w:val="FF0000"/>
                <w:szCs w:val="21"/>
              </w:rPr>
              <w:t>、NO</w:t>
            </w:r>
            <w:r>
              <w:rPr>
                <w:rFonts w:hint="default" w:ascii="Times New Roman" w:hAnsi="Times New Roman" w:cs="Times New Roman"/>
                <w:color w:val="FF0000"/>
                <w:szCs w:val="21"/>
                <w:vertAlign w:val="subscript"/>
              </w:rPr>
              <w:t>2</w:t>
            </w:r>
            <w:r>
              <w:rPr>
                <w:rFonts w:hint="default" w:ascii="Times New Roman" w:hAnsi="Times New Roman" w:cs="Times New Roman"/>
                <w:color w:val="FF0000"/>
                <w:szCs w:val="21"/>
              </w:rPr>
              <w:t>、TSP）</w:t>
            </w:r>
          </w:p>
        </w:tc>
        <w:tc>
          <w:tcPr>
            <w:tcW w:w="1652" w:type="pct"/>
            <w:gridSpan w:val="3"/>
            <w:noWrap w:val="0"/>
            <w:vAlign w:val="center"/>
          </w:tcPr>
          <w:p>
            <w:pPr>
              <w:widowControl/>
              <w:jc w:val="center"/>
              <w:textAlignment w:val="bottom"/>
              <w:rPr>
                <w:rFonts w:hint="default" w:ascii="Times New Roman" w:hAnsi="Times New Roman" w:cs="Times New Roman"/>
                <w:color w:val="FF0000"/>
                <w:szCs w:val="21"/>
              </w:rPr>
            </w:pPr>
            <w:r>
              <w:rPr>
                <w:rFonts w:hint="default" w:ascii="Times New Roman" w:hAnsi="Times New Roman" w:cs="Times New Roman"/>
                <w:color w:val="FF0000"/>
                <w:szCs w:val="21"/>
              </w:rPr>
              <w:t>包括二次PM</w:t>
            </w:r>
            <w:r>
              <w:rPr>
                <w:rFonts w:hint="default" w:ascii="Times New Roman" w:hAnsi="Times New Roman" w:cs="Times New Roman"/>
                <w:color w:val="FF0000"/>
                <w:szCs w:val="21"/>
                <w:vertAlign w:val="subscript"/>
              </w:rPr>
              <w:t>2.5</w:t>
            </w:r>
            <w:r>
              <w:rPr>
                <w:rFonts w:hint="default" w:ascii="Times New Roman" w:hAnsi="Times New Roman" w:cs="Times New Roman"/>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其他污染物（VOCs、非甲烷总烃、苯并[a]芘）</w:t>
            </w:r>
          </w:p>
        </w:tc>
        <w:tc>
          <w:tcPr>
            <w:tcW w:w="1652" w:type="pct"/>
            <w:gridSpan w:val="3"/>
            <w:noWrap w:val="0"/>
            <w:vAlign w:val="center"/>
          </w:tcPr>
          <w:p>
            <w:pPr>
              <w:widowControl/>
              <w:jc w:val="center"/>
              <w:textAlignment w:val="bottom"/>
              <w:rPr>
                <w:rFonts w:hint="default" w:ascii="Times New Roman" w:hAnsi="Times New Roman" w:cs="Times New Roman"/>
                <w:color w:val="FF0000"/>
                <w:szCs w:val="21"/>
              </w:rPr>
            </w:pPr>
            <w:r>
              <w:rPr>
                <w:rFonts w:hint="default" w:ascii="Times New Roman" w:hAnsi="Times New Roman" w:cs="Times New Roman"/>
                <w:color w:val="FF0000"/>
                <w:szCs w:val="21"/>
              </w:rPr>
              <w:t>不包括二次PM</w:t>
            </w:r>
            <w:r>
              <w:rPr>
                <w:rFonts w:hint="default" w:ascii="Times New Roman" w:hAnsi="Times New Roman" w:cs="Times New Roman"/>
                <w:color w:val="FF0000"/>
                <w:szCs w:val="21"/>
                <w:vertAlign w:val="subscript"/>
              </w:rPr>
              <w:t>2.5</w:t>
            </w:r>
            <w:r>
              <w:rPr>
                <w:rFonts w:hint="default" w:ascii="Times New Roman" w:hAnsi="Times New Roman" w:eastAsia="MS Gothic" w:cs="Times New Roman"/>
                <w:color w:val="FF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exact"/>
        </w:trPr>
        <w:tc>
          <w:tcPr>
            <w:tcW w:w="199"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评价标准</w:t>
            </w: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评价标准</w:t>
            </w: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国家标准</w:t>
            </w:r>
            <w:r>
              <w:rPr>
                <w:rFonts w:hint="default" w:ascii="Times New Roman" w:hAnsi="Times New Roman" w:eastAsia="MS Gothic" w:cs="Times New Roman"/>
                <w:color w:val="FF0000"/>
                <w:kern w:val="0"/>
                <w:szCs w:val="21"/>
              </w:rPr>
              <w:t>☑</w:t>
            </w:r>
          </w:p>
        </w:tc>
        <w:tc>
          <w:tcPr>
            <w:tcW w:w="1334"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地方标准□</w:t>
            </w:r>
          </w:p>
        </w:tc>
        <w:tc>
          <w:tcPr>
            <w:tcW w:w="648"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附录D</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其他标准□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2"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现状评价</w:t>
            </w: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评价功能区</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一类区□</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二类区</w:t>
            </w:r>
            <w:r>
              <w:rPr>
                <w:rFonts w:hint="default" w:ascii="Times New Roman" w:hAnsi="Times New Roman" w:eastAsia="MS Gothic" w:cs="Times New Roman"/>
                <w:color w:val="FF0000"/>
                <w:szCs w:val="21"/>
              </w:rPr>
              <w:t>☑</w:t>
            </w:r>
            <w:r>
              <w:rPr>
                <w:rFonts w:hint="default" w:ascii="Times New Roman" w:hAnsi="Times New Roman" w:cs="Times New Roman"/>
                <w:color w:val="FF0000"/>
                <w:szCs w:val="21"/>
              </w:rPr>
              <w:t></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一类区和二类区□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评价基准年</w:t>
            </w:r>
          </w:p>
        </w:tc>
        <w:tc>
          <w:tcPr>
            <w:tcW w:w="4277" w:type="pct"/>
            <w:gridSpan w:val="8"/>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环境空气质量现状调查数据来源</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长期例行监测数据</w:t>
            </w:r>
            <w:r>
              <w:rPr>
                <w:rFonts w:hint="default" w:ascii="Times New Roman" w:hAnsi="Times New Roman" w:eastAsia="MS Gothic" w:cs="Times New Roman"/>
                <w:color w:val="FF0000"/>
                <w:kern w:val="0"/>
                <w:szCs w:val="21"/>
              </w:rPr>
              <w:t>☑</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主管部门发布的数据</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现状补充检测</w:t>
            </w:r>
            <w:r>
              <w:rPr>
                <w:rFonts w:hint="default" w:ascii="Times New Roman" w:hAnsi="Times New Roman" w:eastAsia="MS Gothic" w:cs="Times New Roman"/>
                <w:color w:val="FF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现状评价</w:t>
            </w: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达标区</w:t>
            </w:r>
            <w:r>
              <w:rPr>
                <w:rFonts w:hint="default" w:ascii="Times New Roman" w:hAnsi="Times New Roman" w:eastAsia="MS Gothic" w:cs="Times New Roman"/>
                <w:color w:val="FF0000"/>
                <w:kern w:val="0"/>
                <w:szCs w:val="21"/>
              </w:rPr>
              <w:t>☑</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不达标区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2"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污染源调查</w:t>
            </w:r>
          </w:p>
        </w:tc>
        <w:tc>
          <w:tcPr>
            <w:tcW w:w="523"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调查内容</w:t>
            </w: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本项目正常排放源</w:t>
            </w:r>
            <w:r>
              <w:rPr>
                <w:rFonts w:hint="default" w:ascii="Times New Roman" w:hAnsi="Times New Roman" w:eastAsia="MS Gothic" w:cs="Times New Roman"/>
                <w:color w:val="FF0000"/>
                <w:kern w:val="0"/>
                <w:szCs w:val="21"/>
              </w:rPr>
              <w:t>☑</w:t>
            </w:r>
          </w:p>
        </w:tc>
        <w:tc>
          <w:tcPr>
            <w:tcW w:w="1334" w:type="pct"/>
            <w:gridSpan w:val="2"/>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拟替代的污染源□</w:t>
            </w:r>
          </w:p>
        </w:tc>
        <w:tc>
          <w:tcPr>
            <w:tcW w:w="648"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其他在建、项目污染源□</w:t>
            </w:r>
          </w:p>
        </w:tc>
        <w:tc>
          <w:tcPr>
            <w:tcW w:w="1005" w:type="pct"/>
            <w:gridSpan w:val="2"/>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区域污染源□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本项目非正常排放源□</w:t>
            </w:r>
          </w:p>
        </w:tc>
        <w:tc>
          <w:tcPr>
            <w:tcW w:w="1334" w:type="pct"/>
            <w:gridSpan w:val="2"/>
            <w:vMerge w:val="continue"/>
            <w:noWrap w:val="0"/>
            <w:vAlign w:val="center"/>
          </w:tcPr>
          <w:p>
            <w:pPr>
              <w:jc w:val="center"/>
              <w:rPr>
                <w:rFonts w:hint="default" w:ascii="Times New Roman" w:hAnsi="Times New Roman" w:cs="Times New Roman"/>
                <w:color w:val="FF0000"/>
                <w:szCs w:val="21"/>
              </w:rPr>
            </w:pPr>
          </w:p>
        </w:tc>
        <w:tc>
          <w:tcPr>
            <w:tcW w:w="648" w:type="pct"/>
            <w:vMerge w:val="continue"/>
            <w:noWrap w:val="0"/>
            <w:vAlign w:val="center"/>
          </w:tcPr>
          <w:p>
            <w:pPr>
              <w:jc w:val="center"/>
              <w:rPr>
                <w:rFonts w:hint="default" w:ascii="Times New Roman" w:hAnsi="Times New Roman" w:cs="Times New Roman"/>
                <w:color w:val="FF0000"/>
                <w:szCs w:val="21"/>
              </w:rPr>
            </w:pPr>
          </w:p>
        </w:tc>
        <w:tc>
          <w:tcPr>
            <w:tcW w:w="1005" w:type="pct"/>
            <w:gridSpan w:val="2"/>
            <w:vMerge w:val="continue"/>
            <w:noWrap w:val="0"/>
            <w:vAlign w:val="center"/>
          </w:tcPr>
          <w:p>
            <w:pPr>
              <w:jc w:val="center"/>
              <w:rPr>
                <w:rFonts w:hint="default"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现有污染源□</w:t>
            </w:r>
          </w:p>
        </w:tc>
        <w:tc>
          <w:tcPr>
            <w:tcW w:w="1334" w:type="pct"/>
            <w:gridSpan w:val="2"/>
            <w:vMerge w:val="continue"/>
            <w:noWrap w:val="0"/>
            <w:vAlign w:val="center"/>
          </w:tcPr>
          <w:p>
            <w:pPr>
              <w:jc w:val="center"/>
              <w:rPr>
                <w:rFonts w:hint="default" w:ascii="Times New Roman" w:hAnsi="Times New Roman" w:cs="Times New Roman"/>
                <w:color w:val="FF0000"/>
                <w:szCs w:val="21"/>
              </w:rPr>
            </w:pPr>
          </w:p>
        </w:tc>
        <w:tc>
          <w:tcPr>
            <w:tcW w:w="648" w:type="pct"/>
            <w:vMerge w:val="continue"/>
            <w:noWrap w:val="0"/>
            <w:vAlign w:val="center"/>
          </w:tcPr>
          <w:p>
            <w:pPr>
              <w:jc w:val="center"/>
              <w:rPr>
                <w:rFonts w:hint="default" w:ascii="Times New Roman" w:hAnsi="Times New Roman" w:cs="Times New Roman"/>
                <w:color w:val="FF0000"/>
                <w:szCs w:val="21"/>
              </w:rPr>
            </w:pPr>
          </w:p>
        </w:tc>
        <w:tc>
          <w:tcPr>
            <w:tcW w:w="1005" w:type="pct"/>
            <w:gridSpan w:val="2"/>
            <w:vMerge w:val="continue"/>
            <w:noWrap w:val="0"/>
            <w:vAlign w:val="center"/>
          </w:tcPr>
          <w:p>
            <w:pPr>
              <w:jc w:val="center"/>
              <w:rPr>
                <w:rFonts w:hint="default"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2" w:hRule="exact"/>
        </w:trPr>
        <w:tc>
          <w:tcPr>
            <w:tcW w:w="199" w:type="pct"/>
            <w:vMerge w:val="restart"/>
            <w:noWrap w:val="0"/>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大气环境影响预测与评价</w:t>
            </w:r>
          </w:p>
          <w:p>
            <w:pPr>
              <w:widowControl/>
              <w:jc w:val="center"/>
              <w:textAlignment w:val="bottom"/>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预测模型</w:t>
            </w:r>
          </w:p>
        </w:tc>
        <w:tc>
          <w:tcPr>
            <w:tcW w:w="610"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AERMOD□</w:t>
            </w:r>
          </w:p>
        </w:tc>
        <w:tc>
          <w:tcPr>
            <w:tcW w:w="44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ADMS□</w:t>
            </w:r>
          </w:p>
        </w:tc>
        <w:tc>
          <w:tcPr>
            <w:tcW w:w="79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AUSTAL2000□</w:t>
            </w:r>
          </w:p>
        </w:tc>
        <w:tc>
          <w:tcPr>
            <w:tcW w:w="777"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EDMS/AEDT□</w:t>
            </w:r>
          </w:p>
        </w:tc>
        <w:tc>
          <w:tcPr>
            <w:tcW w:w="648"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CALPUFF□</w:t>
            </w:r>
          </w:p>
        </w:tc>
        <w:tc>
          <w:tcPr>
            <w:tcW w:w="576"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网格模型□</w:t>
            </w:r>
          </w:p>
        </w:tc>
        <w:tc>
          <w:tcPr>
            <w:tcW w:w="429"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其他</w:t>
            </w:r>
            <w:r>
              <w:rPr>
                <w:rFonts w:hint="default" w:ascii="Times New Roman" w:hAnsi="Times New Roman" w:eastAsia="MS Gothic" w:cs="Times New Roman"/>
                <w:color w:val="FF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2" w:hRule="exact"/>
        </w:trPr>
        <w:tc>
          <w:tcPr>
            <w:tcW w:w="199" w:type="pct"/>
            <w:vMerge w:val="continue"/>
            <w:noWrap w:val="0"/>
            <w:vAlign w:val="center"/>
          </w:tcPr>
          <w:p>
            <w:pPr>
              <w:widowControl/>
              <w:jc w:val="center"/>
              <w:textAlignment w:val="bottom"/>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预测范围</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边长≥50km□</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边长5~50km□</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边长=5km□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预测因子</w:t>
            </w:r>
          </w:p>
        </w:tc>
        <w:tc>
          <w:tcPr>
            <w:tcW w:w="2625" w:type="pct"/>
            <w:gridSpan w:val="5"/>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预测因子（</w:t>
            </w:r>
            <w:r>
              <w:rPr>
                <w:rFonts w:hint="default" w:ascii="Times New Roman" w:hAnsi="Times New Roman" w:eastAsia="宋体" w:cs="Times New Roman"/>
                <w:color w:val="FF0000"/>
                <w:sz w:val="24"/>
                <w:szCs w:val="24"/>
                <w:lang w:val="en-US" w:eastAsia="zh-CN"/>
              </w:rPr>
              <w:t>非甲烷总烃、氯化氢、硫酸雾</w:t>
            </w:r>
            <w:r>
              <w:rPr>
                <w:rFonts w:hint="default" w:ascii="Times New Roman" w:hAnsi="Times New Roman" w:cs="Times New Roman"/>
                <w:color w:val="FF0000"/>
                <w:szCs w:val="21"/>
              </w:rPr>
              <w:t>）</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包括二次PM</w:t>
            </w:r>
            <w:r>
              <w:rPr>
                <w:rFonts w:hint="default" w:ascii="Times New Roman" w:hAnsi="Times New Roman" w:cs="Times New Roman"/>
                <w:color w:val="FF0000"/>
                <w:szCs w:val="21"/>
                <w:vertAlign w:val="subscript"/>
              </w:rPr>
              <w:t>2.5</w:t>
            </w:r>
            <w:r>
              <w:rPr>
                <w:rFonts w:hint="default" w:ascii="Times New Roman" w:hAnsi="Times New Roman" w:cs="Times New Roman"/>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2625" w:type="pct"/>
            <w:gridSpan w:val="5"/>
            <w:vMerge w:val="continue"/>
            <w:noWrap w:val="0"/>
            <w:vAlign w:val="center"/>
          </w:tcPr>
          <w:p>
            <w:pPr>
              <w:jc w:val="center"/>
              <w:rPr>
                <w:rFonts w:hint="default" w:ascii="Times New Roman" w:hAnsi="Times New Roman" w:cs="Times New Roman"/>
                <w:color w:val="FF0000"/>
                <w:szCs w:val="21"/>
              </w:rPr>
            </w:pP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不包括二次PM</w:t>
            </w:r>
            <w:r>
              <w:rPr>
                <w:rFonts w:hint="default" w:ascii="Times New Roman" w:hAnsi="Times New Roman" w:cs="Times New Roman"/>
                <w:color w:val="FF0000"/>
                <w:szCs w:val="21"/>
                <w:vertAlign w:val="subscript"/>
              </w:rPr>
              <w:t>2.5</w:t>
            </w:r>
            <w:r>
              <w:rPr>
                <w:rFonts w:hint="default" w:ascii="Times New Roman" w:hAnsi="Times New Roman" w:cs="Times New Roman"/>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6"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正常排放短期浓度贡献值</w:t>
            </w: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C本项目最大占标率≤100%</w:t>
            </w:r>
            <w:r>
              <w:rPr>
                <w:rFonts w:hint="default" w:ascii="Times New Roman" w:hAnsi="Times New Roman" w:eastAsia="MS Gothic" w:cs="Times New Roman"/>
                <w:color w:val="FF0000"/>
                <w:szCs w:val="21"/>
              </w:rPr>
              <w:t>☑</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C本项目最大占标率&gt;100%□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0"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正常排放年均浓度贡献值</w:t>
            </w:r>
          </w:p>
        </w:tc>
        <w:tc>
          <w:tcPr>
            <w:tcW w:w="1053"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一类区</w:t>
            </w:r>
          </w:p>
        </w:tc>
        <w:tc>
          <w:tcPr>
            <w:tcW w:w="157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本项目</w:t>
            </w:r>
            <w:r>
              <w:rPr>
                <w:rFonts w:hint="default" w:ascii="Times New Roman" w:hAnsi="Times New Roman" w:cs="Times New Roman"/>
                <w:color w:val="FF0000"/>
                <w:szCs w:val="21"/>
              </w:rPr>
              <w:t>最大占标率≤10%□</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本项目</w:t>
            </w:r>
            <w:r>
              <w:rPr>
                <w:rFonts w:hint="default" w:ascii="Times New Roman" w:hAnsi="Times New Roman" w:cs="Times New Roman"/>
                <w:color w:val="FF0000"/>
                <w:szCs w:val="21"/>
              </w:rPr>
              <w:t>最大占标率&gt;10%□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1053"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二类区</w:t>
            </w:r>
          </w:p>
        </w:tc>
        <w:tc>
          <w:tcPr>
            <w:tcW w:w="157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本项目</w:t>
            </w:r>
            <w:r>
              <w:rPr>
                <w:rFonts w:hint="default" w:ascii="Times New Roman" w:hAnsi="Times New Roman" w:cs="Times New Roman"/>
                <w:color w:val="FF0000"/>
                <w:szCs w:val="21"/>
              </w:rPr>
              <w:t>最大占标率≤30%□</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本项目</w:t>
            </w:r>
            <w:r>
              <w:rPr>
                <w:rFonts w:hint="default" w:ascii="Times New Roman" w:hAnsi="Times New Roman" w:cs="Times New Roman"/>
                <w:color w:val="FF0000"/>
                <w:szCs w:val="21"/>
              </w:rPr>
              <w:t>最大占标率&gt;30%□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非正常1h浓度贡献值</w:t>
            </w: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非正常持续时长</w:t>
            </w:r>
          </w:p>
        </w:tc>
        <w:tc>
          <w:tcPr>
            <w:tcW w:w="1981" w:type="pct"/>
            <w:gridSpan w:val="3"/>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非正常</w:t>
            </w:r>
            <w:r>
              <w:rPr>
                <w:rFonts w:hint="default" w:ascii="Times New Roman" w:hAnsi="Times New Roman" w:cs="Times New Roman"/>
                <w:color w:val="FF0000"/>
                <w:szCs w:val="21"/>
              </w:rPr>
              <w:t>占标率≤100%□</w:t>
            </w:r>
          </w:p>
        </w:tc>
        <w:tc>
          <w:tcPr>
            <w:tcW w:w="1005" w:type="pct"/>
            <w:gridSpan w:val="2"/>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w:t>
            </w:r>
            <w:r>
              <w:rPr>
                <w:rFonts w:hint="default" w:ascii="Times New Roman" w:hAnsi="Times New Roman" w:cs="Times New Roman"/>
                <w:color w:val="FF0000"/>
                <w:szCs w:val="21"/>
                <w:vertAlign w:val="subscript"/>
              </w:rPr>
              <w:t>非正常</w:t>
            </w:r>
            <w:r>
              <w:rPr>
                <w:rFonts w:hint="default" w:ascii="Times New Roman" w:hAnsi="Times New Roman" w:cs="Times New Roman"/>
                <w:color w:val="FF0000"/>
                <w:szCs w:val="21"/>
              </w:rPr>
              <w:t>占标率&gt;100%□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  ）h</w:t>
            </w:r>
          </w:p>
        </w:tc>
        <w:tc>
          <w:tcPr>
            <w:tcW w:w="1981" w:type="pct"/>
            <w:gridSpan w:val="3"/>
            <w:vMerge w:val="continue"/>
            <w:noWrap w:val="0"/>
            <w:vAlign w:val="center"/>
          </w:tcPr>
          <w:p>
            <w:pPr>
              <w:jc w:val="center"/>
              <w:rPr>
                <w:rFonts w:hint="default" w:ascii="Times New Roman" w:hAnsi="Times New Roman" w:cs="Times New Roman"/>
                <w:color w:val="FF0000"/>
                <w:szCs w:val="21"/>
              </w:rPr>
            </w:pPr>
          </w:p>
        </w:tc>
        <w:tc>
          <w:tcPr>
            <w:tcW w:w="1005" w:type="pct"/>
            <w:gridSpan w:val="2"/>
            <w:vMerge w:val="continue"/>
            <w:noWrap w:val="0"/>
            <w:vAlign w:val="center"/>
          </w:tcPr>
          <w:p>
            <w:pPr>
              <w:jc w:val="center"/>
              <w:rPr>
                <w:rFonts w:hint="default"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保证率日平均浓度和年平均浓度叠加值</w:t>
            </w: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C叠加达标</w:t>
            </w:r>
            <w:r>
              <w:rPr>
                <w:rFonts w:hint="default" w:ascii="Times New Roman" w:hAnsi="Times New Roman" w:eastAsia="MS Gothic" w:cs="Times New Roman"/>
                <w:color w:val="FF0000"/>
                <w:szCs w:val="21"/>
              </w:rPr>
              <w:t>☑</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C叠加不达标□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区域环境质量的整体变化情况</w:t>
            </w:r>
          </w:p>
        </w:tc>
        <w:tc>
          <w:tcPr>
            <w:tcW w:w="2625" w:type="pct"/>
            <w:gridSpan w:val="5"/>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k≤-20%□</w:t>
            </w:r>
          </w:p>
        </w:tc>
        <w:tc>
          <w:tcPr>
            <w:tcW w:w="165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k&gt;-20%□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环境监测计划</w:t>
            </w:r>
          </w:p>
        </w:tc>
        <w:tc>
          <w:tcPr>
            <w:tcW w:w="523" w:type="pct"/>
            <w:vMerge w:val="restart"/>
            <w:noWrap w:val="0"/>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污染源</w:t>
            </w:r>
          </w:p>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监测</w:t>
            </w:r>
          </w:p>
        </w:tc>
        <w:tc>
          <w:tcPr>
            <w:tcW w:w="1848" w:type="pct"/>
            <w:gridSpan w:val="4"/>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监测因子：（</w:t>
            </w:r>
            <w:r>
              <w:rPr>
                <w:rFonts w:hint="default" w:ascii="Times New Roman" w:hAnsi="Times New Roman" w:eastAsia="宋体" w:cs="Times New Roman"/>
                <w:color w:val="FF0000"/>
                <w:sz w:val="24"/>
                <w:szCs w:val="24"/>
                <w:lang w:val="en-US" w:eastAsia="zh-CN"/>
              </w:rPr>
              <w:t>非甲烷总烃、氯化氢、硫酸雾</w:t>
            </w:r>
            <w:r>
              <w:rPr>
                <w:rFonts w:hint="default" w:ascii="Times New Roman" w:hAnsi="Times New Roman" w:cs="Times New Roman"/>
                <w:color w:val="FF0000"/>
                <w:szCs w:val="21"/>
              </w:rPr>
              <w:t>）</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有组织废气监测</w:t>
            </w:r>
            <w:r>
              <w:rPr>
                <w:rFonts w:hint="default" w:ascii="Times New Roman" w:hAnsi="Times New Roman" w:eastAsia="MS Gothic" w:cs="Times New Roman"/>
                <w:color w:val="FF0000"/>
                <w:szCs w:val="21"/>
              </w:rPr>
              <w:t>☑</w:t>
            </w:r>
          </w:p>
        </w:tc>
        <w:tc>
          <w:tcPr>
            <w:tcW w:w="1005" w:type="pct"/>
            <w:gridSpan w:val="2"/>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vMerge w:val="continue"/>
            <w:noWrap w:val="0"/>
            <w:vAlign w:val="center"/>
          </w:tcPr>
          <w:p>
            <w:pPr>
              <w:jc w:val="center"/>
              <w:rPr>
                <w:rFonts w:hint="default" w:ascii="Times New Roman" w:hAnsi="Times New Roman" w:cs="Times New Roman"/>
                <w:color w:val="FF0000"/>
                <w:szCs w:val="21"/>
              </w:rPr>
            </w:pPr>
          </w:p>
        </w:tc>
        <w:tc>
          <w:tcPr>
            <w:tcW w:w="1848" w:type="pct"/>
            <w:gridSpan w:val="4"/>
            <w:vMerge w:val="continue"/>
            <w:noWrap w:val="0"/>
            <w:vAlign w:val="center"/>
          </w:tcPr>
          <w:p>
            <w:pPr>
              <w:jc w:val="center"/>
              <w:rPr>
                <w:rFonts w:hint="default" w:ascii="Times New Roman" w:hAnsi="Times New Roman" w:cs="Times New Roman"/>
                <w:color w:val="FF0000"/>
                <w:szCs w:val="21"/>
              </w:rPr>
            </w:pP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无组织废气监测</w:t>
            </w:r>
            <w:r>
              <w:rPr>
                <w:rFonts w:hint="default" w:ascii="Times New Roman" w:hAnsi="Times New Roman" w:eastAsia="MS Gothic" w:cs="Times New Roman"/>
                <w:color w:val="FF0000"/>
                <w:szCs w:val="21"/>
              </w:rPr>
              <w:t>☑</w:t>
            </w:r>
          </w:p>
        </w:tc>
        <w:tc>
          <w:tcPr>
            <w:tcW w:w="1005" w:type="pct"/>
            <w:gridSpan w:val="2"/>
            <w:vMerge w:val="continue"/>
            <w:noWrap w:val="0"/>
            <w:vAlign w:val="center"/>
          </w:tcPr>
          <w:p>
            <w:pPr>
              <w:jc w:val="center"/>
              <w:rPr>
                <w:rFonts w:hint="default"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环境质量监测</w:t>
            </w:r>
          </w:p>
        </w:tc>
        <w:tc>
          <w:tcPr>
            <w:tcW w:w="1848" w:type="pct"/>
            <w:gridSpan w:val="4"/>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监测因子：（   ）</w:t>
            </w:r>
          </w:p>
        </w:tc>
        <w:tc>
          <w:tcPr>
            <w:tcW w:w="142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监测点位数（  ）</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199" w:type="pct"/>
            <w:vMerge w:val="restar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评价结论</w:t>
            </w: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环境影响</w:t>
            </w:r>
          </w:p>
        </w:tc>
        <w:tc>
          <w:tcPr>
            <w:tcW w:w="4277" w:type="pct"/>
            <w:gridSpan w:val="8"/>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 xml:space="preserve">可以接受 </w:t>
            </w:r>
            <w:r>
              <w:rPr>
                <w:rFonts w:hint="default" w:ascii="Times New Roman" w:hAnsi="Times New Roman" w:eastAsia="MS Gothic" w:cs="Times New Roman"/>
                <w:color w:val="FF0000"/>
                <w:szCs w:val="21"/>
              </w:rPr>
              <w:t>☑</w:t>
            </w:r>
            <w:r>
              <w:rPr>
                <w:rFonts w:hint="default" w:ascii="Times New Roman" w:hAnsi="Times New Roman" w:cs="Times New Roman"/>
                <w:color w:val="FF0000"/>
                <w:szCs w:val="21"/>
              </w:rPr>
              <w:t>             不可以接受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7"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大气环境防护距离</w:t>
            </w:r>
          </w:p>
        </w:tc>
        <w:tc>
          <w:tcPr>
            <w:tcW w:w="4277" w:type="pct"/>
            <w:gridSpan w:val="8"/>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距（    )厂界最远（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2" w:hRule="exact"/>
        </w:trPr>
        <w:tc>
          <w:tcPr>
            <w:tcW w:w="199" w:type="pct"/>
            <w:vMerge w:val="continue"/>
            <w:noWrap w:val="0"/>
            <w:vAlign w:val="center"/>
          </w:tcPr>
          <w:p>
            <w:pPr>
              <w:jc w:val="center"/>
              <w:rPr>
                <w:rFonts w:hint="default" w:ascii="Times New Roman" w:hAnsi="Times New Roman" w:cs="Times New Roman"/>
                <w:color w:val="FF0000"/>
                <w:szCs w:val="21"/>
              </w:rPr>
            </w:pPr>
          </w:p>
        </w:tc>
        <w:tc>
          <w:tcPr>
            <w:tcW w:w="523"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污染源年排放量</w:t>
            </w:r>
          </w:p>
        </w:tc>
        <w:tc>
          <w:tcPr>
            <w:tcW w:w="1292" w:type="pct"/>
            <w:gridSpan w:val="3"/>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SO</w:t>
            </w:r>
            <w:r>
              <w:rPr>
                <w:rFonts w:hint="default" w:ascii="Times New Roman" w:hAnsi="Times New Roman" w:cs="Times New Roman"/>
                <w:color w:val="FF0000"/>
                <w:szCs w:val="21"/>
                <w:vertAlign w:val="subscript"/>
              </w:rPr>
              <w:t>2</w:t>
            </w:r>
            <w:r>
              <w:rPr>
                <w:rFonts w:hint="default" w:ascii="Times New Roman" w:hAnsi="Times New Roman" w:cs="Times New Roman"/>
                <w:color w:val="FF0000"/>
                <w:szCs w:val="21"/>
              </w:rPr>
              <w:t xml:space="preserve">:( </w:t>
            </w:r>
            <w:r>
              <w:rPr>
                <w:rFonts w:hint="default" w:ascii="Times New Roman" w:hAnsi="Times New Roman" w:cs="Times New Roman"/>
                <w:color w:val="FF0000"/>
                <w:szCs w:val="21"/>
                <w:lang w:val="en-US" w:eastAsia="zh-CN"/>
              </w:rPr>
              <w:t>/</w:t>
            </w:r>
            <w:r>
              <w:rPr>
                <w:rFonts w:hint="default" w:ascii="Times New Roman" w:hAnsi="Times New Roman" w:cs="Times New Roman"/>
                <w:color w:val="FF0000"/>
                <w:szCs w:val="21"/>
              </w:rPr>
              <w:t xml:space="preserve"> )t/a</w:t>
            </w:r>
          </w:p>
        </w:tc>
        <w:tc>
          <w:tcPr>
            <w:tcW w:w="1334"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kern w:val="0"/>
                <w:szCs w:val="21"/>
              </w:rPr>
              <w:t>NOx:( 0.602 )t/a</w:t>
            </w:r>
          </w:p>
        </w:tc>
        <w:tc>
          <w:tcPr>
            <w:tcW w:w="648" w:type="pct"/>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颗粒物(</w:t>
            </w:r>
            <w:r>
              <w:rPr>
                <w:rFonts w:hint="default" w:ascii="Times New Roman" w:hAnsi="Times New Roman" w:cs="Times New Roman"/>
                <w:color w:val="FF0000"/>
                <w:szCs w:val="21"/>
                <w:lang w:val="en-US" w:eastAsia="zh-CN"/>
              </w:rPr>
              <w:t>/</w:t>
            </w:r>
            <w:r>
              <w:rPr>
                <w:rFonts w:hint="default" w:ascii="Times New Roman" w:hAnsi="Times New Roman" w:cs="Times New Roman"/>
                <w:color w:val="FF0000"/>
                <w:szCs w:val="21"/>
              </w:rPr>
              <w:t>)t/a</w:t>
            </w:r>
          </w:p>
        </w:tc>
        <w:tc>
          <w:tcPr>
            <w:tcW w:w="1005" w:type="pct"/>
            <w:gridSpan w:val="2"/>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VOCs:(0.</w:t>
            </w:r>
            <w:r>
              <w:rPr>
                <w:rFonts w:hint="default" w:ascii="Times New Roman" w:hAnsi="Times New Roman" w:cs="Times New Roman"/>
                <w:color w:val="FF0000"/>
                <w:szCs w:val="21"/>
                <w:lang w:val="en-US" w:eastAsia="zh-CN"/>
              </w:rPr>
              <w:t>0001</w:t>
            </w:r>
            <w:r>
              <w:rPr>
                <w:rFonts w:hint="default" w:ascii="Times New Roman" w:hAnsi="Times New Roman" w:cs="Times New Roman"/>
                <w:color w:val="FF0000"/>
                <w:szCs w:val="21"/>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exact"/>
        </w:trPr>
        <w:tc>
          <w:tcPr>
            <w:tcW w:w="5000" w:type="pct"/>
            <w:gridSpan w:val="10"/>
            <w:noWrap w:val="0"/>
            <w:vAlign w:val="center"/>
          </w:tcPr>
          <w:p>
            <w:pPr>
              <w:widowControl/>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注：“□”，填“√”；“（  ）”为内容填写项</w:t>
            </w:r>
          </w:p>
        </w:tc>
      </w:tr>
    </w:tbl>
    <w:p>
      <w:pPr>
        <w:widowControl/>
        <w:spacing w:line="360" w:lineRule="auto"/>
        <w:ind w:firstLine="480" w:firstLineChars="200"/>
        <w:jc w:val="left"/>
        <w:rPr>
          <w:rFonts w:hint="default" w:ascii="Times New Roman" w:hAnsi="Times New Roman" w:cs="Times New Roman"/>
          <w:color w:val="FF0000"/>
        </w:rPr>
      </w:pPr>
      <w:r>
        <w:rPr>
          <w:rFonts w:hint="default" w:ascii="Times New Roman" w:hAnsi="Times New Roman" w:cs="Times New Roman"/>
          <w:color w:val="FF0000"/>
          <w:sz w:val="24"/>
        </w:rPr>
        <w:t>综上所述，本项目采取了相应环保措施后，产生的粉尘均可达标排放，对周围环境影响较小。</w:t>
      </w:r>
    </w:p>
    <w:p>
      <w:pPr>
        <w:rPr>
          <w:rFonts w:hint="default" w:ascii="Times New Roman" w:hAnsi="Times New Roman" w:cs="Times New Roman"/>
          <w:color w:val="FF0000"/>
        </w:rPr>
      </w:pPr>
    </w:p>
    <w:p>
      <w:pPr>
        <w:pStyle w:val="6"/>
        <w:rPr>
          <w:rFonts w:hint="default" w:ascii="Times New Roman" w:hAnsi="Times New Roman" w:cs="Times New Roman"/>
          <w:color w:val="FF0000"/>
        </w:rPr>
      </w:pPr>
    </w:p>
    <w:sectPr>
      <w:footerReference r:id="rId6" w:type="default"/>
      <w:pgSz w:w="11910" w:h="16840"/>
      <w:pgMar w:top="1417" w:right="1417" w:bottom="1417" w:left="1417" w:header="0" w:footer="567" w:gutter="0"/>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宋体胧....">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txbxContent>
              </v:textbox>
            </v:shape>
          </w:pict>
        </mc:Fallback>
      </mc:AlternateContent>
    </w:r>
  </w:p>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30"/>
                              <w:rFonts w:ascii="宋体" w:hAnsi="宋体"/>
                              <w:sz w:val="28"/>
                              <w:szCs w:val="28"/>
                            </w:rPr>
                          </w:pPr>
                          <w:r>
                            <w:rPr>
                              <w:rFonts w:ascii="宋体" w:hAnsi="宋体"/>
                              <w:sz w:val="28"/>
                              <w:szCs w:val="28"/>
                            </w:rPr>
                            <w:fldChar w:fldCharType="begin"/>
                          </w:r>
                          <w:r>
                            <w:rPr>
                              <w:rStyle w:val="30"/>
                              <w:rFonts w:ascii="宋体" w:hAnsi="宋体"/>
                              <w:sz w:val="28"/>
                              <w:szCs w:val="28"/>
                            </w:rPr>
                            <w:instrText xml:space="preserve"> PAGE  \* MERGEFORMAT </w:instrText>
                          </w:r>
                          <w:r>
                            <w:rPr>
                              <w:rFonts w:ascii="宋体" w:hAnsi="宋体"/>
                              <w:sz w:val="28"/>
                              <w:szCs w:val="28"/>
                            </w:rPr>
                            <w:fldChar w:fldCharType="separate"/>
                          </w:r>
                          <w:r>
                            <w:rPr>
                              <w:rStyle w:val="30"/>
                              <w:rFonts w:ascii="宋体" w:hAnsi="宋体"/>
                              <w:sz w:val="28"/>
                              <w:szCs w:val="28"/>
                            </w:rPr>
                            <w:t>- 9 -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fOJ+E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PV84n4QEAAMEDAAAOAAAA&#10;AAAAAAEAIAAAAB4BAABkcnMvZTJvRG9jLnhtbFBLBQYAAAAABgAGAFkBAABxBQAAAAA=&#10;">
              <v:fill on="f" focussize="0,0"/>
              <v:stroke on="f"/>
              <v:imagedata o:title=""/>
              <o:lock v:ext="edit" aspectratio="f"/>
              <v:textbox inset="0mm,0mm,0mm,0mm" style="mso-fit-shape-to-text:t;">
                <w:txbxContent>
                  <w:p>
                    <w:pPr>
                      <w:pStyle w:val="16"/>
                      <w:rPr>
                        <w:rStyle w:val="30"/>
                        <w:rFonts w:ascii="宋体" w:hAnsi="宋体"/>
                        <w:sz w:val="28"/>
                        <w:szCs w:val="28"/>
                      </w:rPr>
                    </w:pPr>
                    <w:r>
                      <w:rPr>
                        <w:rFonts w:ascii="宋体" w:hAnsi="宋体"/>
                        <w:sz w:val="28"/>
                        <w:szCs w:val="28"/>
                      </w:rPr>
                      <w:fldChar w:fldCharType="begin"/>
                    </w:r>
                    <w:r>
                      <w:rPr>
                        <w:rStyle w:val="30"/>
                        <w:rFonts w:ascii="宋体" w:hAnsi="宋体"/>
                        <w:sz w:val="28"/>
                        <w:szCs w:val="28"/>
                      </w:rPr>
                      <w:instrText xml:space="preserve"> PAGE  \* MERGEFORMAT </w:instrText>
                    </w:r>
                    <w:r>
                      <w:rPr>
                        <w:rFonts w:ascii="宋体" w:hAnsi="宋体"/>
                        <w:sz w:val="28"/>
                        <w:szCs w:val="28"/>
                      </w:rPr>
                      <w:fldChar w:fldCharType="separate"/>
                    </w:r>
                    <w:r>
                      <w:rPr>
                        <w:rStyle w:val="30"/>
                        <w:rFonts w:ascii="宋体" w:hAnsi="宋体"/>
                        <w:sz w:val="28"/>
                        <w:szCs w:val="28"/>
                      </w:rPr>
                      <w:t>- 9 -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9C9AE"/>
    <w:multiLevelType w:val="singleLevel"/>
    <w:tmpl w:val="8839C9AE"/>
    <w:lvl w:ilvl="0" w:tentative="0">
      <w:start w:val="1"/>
      <w:numFmt w:val="decimal"/>
      <w:suff w:val="nothing"/>
      <w:lvlText w:val="%1、"/>
      <w:lvlJc w:val="left"/>
    </w:lvl>
  </w:abstractNum>
  <w:abstractNum w:abstractNumId="1">
    <w:nsid w:val="F95E3F1D"/>
    <w:multiLevelType w:val="singleLevel"/>
    <w:tmpl w:val="F95E3F1D"/>
    <w:lvl w:ilvl="0" w:tentative="0">
      <w:start w:val="1"/>
      <w:numFmt w:val="decimal"/>
      <w:suff w:val="nothing"/>
      <w:lvlText w:val="（%1）"/>
      <w:lvlJc w:val="left"/>
    </w:lvl>
  </w:abstractNum>
  <w:abstractNum w:abstractNumId="2">
    <w:nsid w:val="113F3E41"/>
    <w:multiLevelType w:val="multilevel"/>
    <w:tmpl w:val="113F3E41"/>
    <w:lvl w:ilvl="0" w:tentative="0">
      <w:start w:val="5"/>
      <w:numFmt w:val="decimal"/>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AE7830"/>
    <w:multiLevelType w:val="singleLevel"/>
    <w:tmpl w:val="16AE7830"/>
    <w:lvl w:ilvl="0" w:tentative="0">
      <w:start w:val="4"/>
      <w:numFmt w:val="decimal"/>
      <w:suff w:val="nothing"/>
      <w:lvlText w:val="%1、"/>
      <w:lvlJc w:val="left"/>
    </w:lvl>
  </w:abstractNum>
  <w:abstractNum w:abstractNumId="4">
    <w:nsid w:val="259479D6"/>
    <w:multiLevelType w:val="singleLevel"/>
    <w:tmpl w:val="259479D6"/>
    <w:lvl w:ilvl="0" w:tentative="0">
      <w:start w:val="5"/>
      <w:numFmt w:val="decimal"/>
      <w:suff w:val="nothing"/>
      <w:lvlText w:val="%1、"/>
      <w:lvlJc w:val="left"/>
    </w:lvl>
  </w:abstractNum>
  <w:abstractNum w:abstractNumId="5">
    <w:nsid w:val="581E5912"/>
    <w:multiLevelType w:val="singleLevel"/>
    <w:tmpl w:val="581E5912"/>
    <w:lvl w:ilvl="0" w:tentative="0">
      <w:start w:val="1"/>
      <w:numFmt w:val="decimal"/>
      <w:suff w:val="nothing"/>
      <w:lvlText w:val="（%1）"/>
      <w:lvlJc w:val="left"/>
    </w:lvl>
  </w:abstractNum>
  <w:abstractNum w:abstractNumId="6">
    <w:nsid w:val="6CFCA84F"/>
    <w:multiLevelType w:val="singleLevel"/>
    <w:tmpl w:val="6CFCA84F"/>
    <w:lvl w:ilvl="0" w:tentative="0">
      <w:start w:val="2"/>
      <w:numFmt w:val="upperLetter"/>
      <w:suff w:val="nothing"/>
      <w:lvlText w:val="%1、"/>
      <w:lvlJc w:val="left"/>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ZjUwNmEzNGM1OThkMjg5N2NjZmY3YjhjZmFiOWEifQ=="/>
  </w:docVars>
  <w:rsids>
    <w:rsidRoot w:val="00DA311B"/>
    <w:rsid w:val="000312E6"/>
    <w:rsid w:val="00040E99"/>
    <w:rsid w:val="0005477A"/>
    <w:rsid w:val="0006350C"/>
    <w:rsid w:val="00064E2D"/>
    <w:rsid w:val="000A2B5B"/>
    <w:rsid w:val="000A744C"/>
    <w:rsid w:val="000B2287"/>
    <w:rsid w:val="000C557E"/>
    <w:rsid w:val="000C66C4"/>
    <w:rsid w:val="000D3C1C"/>
    <w:rsid w:val="000F22D8"/>
    <w:rsid w:val="000F2A6C"/>
    <w:rsid w:val="001006F0"/>
    <w:rsid w:val="001037C5"/>
    <w:rsid w:val="0011064B"/>
    <w:rsid w:val="00114C00"/>
    <w:rsid w:val="00134A44"/>
    <w:rsid w:val="00144CD1"/>
    <w:rsid w:val="00161FA4"/>
    <w:rsid w:val="001826CB"/>
    <w:rsid w:val="00190015"/>
    <w:rsid w:val="00191B2A"/>
    <w:rsid w:val="00197EAB"/>
    <w:rsid w:val="001A076D"/>
    <w:rsid w:val="001B2EC6"/>
    <w:rsid w:val="001E27D6"/>
    <w:rsid w:val="00214FB9"/>
    <w:rsid w:val="0023114C"/>
    <w:rsid w:val="00240603"/>
    <w:rsid w:val="0024605D"/>
    <w:rsid w:val="0024679D"/>
    <w:rsid w:val="00264BA6"/>
    <w:rsid w:val="002667A3"/>
    <w:rsid w:val="00270407"/>
    <w:rsid w:val="00273844"/>
    <w:rsid w:val="00280590"/>
    <w:rsid w:val="00283E1E"/>
    <w:rsid w:val="00287212"/>
    <w:rsid w:val="0029631D"/>
    <w:rsid w:val="002C0D03"/>
    <w:rsid w:val="002C3359"/>
    <w:rsid w:val="002C43EE"/>
    <w:rsid w:val="002D3FF6"/>
    <w:rsid w:val="002D70F1"/>
    <w:rsid w:val="002E49D3"/>
    <w:rsid w:val="00321EBC"/>
    <w:rsid w:val="00322C5D"/>
    <w:rsid w:val="0032426D"/>
    <w:rsid w:val="0035730D"/>
    <w:rsid w:val="003615E4"/>
    <w:rsid w:val="00367B9F"/>
    <w:rsid w:val="00376159"/>
    <w:rsid w:val="00383915"/>
    <w:rsid w:val="00385128"/>
    <w:rsid w:val="00393CAA"/>
    <w:rsid w:val="003A0193"/>
    <w:rsid w:val="003A19C9"/>
    <w:rsid w:val="003A19E9"/>
    <w:rsid w:val="003A4572"/>
    <w:rsid w:val="003B3F13"/>
    <w:rsid w:val="003B564F"/>
    <w:rsid w:val="003C228D"/>
    <w:rsid w:val="003D0400"/>
    <w:rsid w:val="003D1095"/>
    <w:rsid w:val="003E642D"/>
    <w:rsid w:val="003F1488"/>
    <w:rsid w:val="0040373A"/>
    <w:rsid w:val="00425C2A"/>
    <w:rsid w:val="004319F2"/>
    <w:rsid w:val="00434446"/>
    <w:rsid w:val="004365C5"/>
    <w:rsid w:val="0044267F"/>
    <w:rsid w:val="0045677A"/>
    <w:rsid w:val="00470EA4"/>
    <w:rsid w:val="0047138E"/>
    <w:rsid w:val="004812CE"/>
    <w:rsid w:val="00485B38"/>
    <w:rsid w:val="004A0FC0"/>
    <w:rsid w:val="004E6811"/>
    <w:rsid w:val="004F5792"/>
    <w:rsid w:val="005221FE"/>
    <w:rsid w:val="00523F80"/>
    <w:rsid w:val="005434D5"/>
    <w:rsid w:val="00545099"/>
    <w:rsid w:val="005631D1"/>
    <w:rsid w:val="005671C0"/>
    <w:rsid w:val="00583A21"/>
    <w:rsid w:val="00584441"/>
    <w:rsid w:val="0059399A"/>
    <w:rsid w:val="00594C6F"/>
    <w:rsid w:val="005B61B5"/>
    <w:rsid w:val="005C3423"/>
    <w:rsid w:val="005C486B"/>
    <w:rsid w:val="005C5B42"/>
    <w:rsid w:val="005C774C"/>
    <w:rsid w:val="005D3B39"/>
    <w:rsid w:val="005E0372"/>
    <w:rsid w:val="005E0511"/>
    <w:rsid w:val="005E5D52"/>
    <w:rsid w:val="006038C4"/>
    <w:rsid w:val="006047AE"/>
    <w:rsid w:val="00606A08"/>
    <w:rsid w:val="006106AF"/>
    <w:rsid w:val="00636CC6"/>
    <w:rsid w:val="00652465"/>
    <w:rsid w:val="006551B1"/>
    <w:rsid w:val="006744AF"/>
    <w:rsid w:val="006A147B"/>
    <w:rsid w:val="006A5BCB"/>
    <w:rsid w:val="006B006B"/>
    <w:rsid w:val="006B25B0"/>
    <w:rsid w:val="006C003D"/>
    <w:rsid w:val="006C3257"/>
    <w:rsid w:val="006C55C3"/>
    <w:rsid w:val="006D09F9"/>
    <w:rsid w:val="006D1D21"/>
    <w:rsid w:val="006D67B4"/>
    <w:rsid w:val="006E006D"/>
    <w:rsid w:val="006E1520"/>
    <w:rsid w:val="00702EFE"/>
    <w:rsid w:val="00705191"/>
    <w:rsid w:val="007078C7"/>
    <w:rsid w:val="00710587"/>
    <w:rsid w:val="00717251"/>
    <w:rsid w:val="00717908"/>
    <w:rsid w:val="00717A59"/>
    <w:rsid w:val="00717E4C"/>
    <w:rsid w:val="007218D9"/>
    <w:rsid w:val="0073212E"/>
    <w:rsid w:val="0074209D"/>
    <w:rsid w:val="00744C12"/>
    <w:rsid w:val="00745F4A"/>
    <w:rsid w:val="007508D5"/>
    <w:rsid w:val="00751FC6"/>
    <w:rsid w:val="00760DFA"/>
    <w:rsid w:val="00762EDE"/>
    <w:rsid w:val="00773C06"/>
    <w:rsid w:val="00777465"/>
    <w:rsid w:val="007804CF"/>
    <w:rsid w:val="00780889"/>
    <w:rsid w:val="00784C33"/>
    <w:rsid w:val="00785915"/>
    <w:rsid w:val="007969A9"/>
    <w:rsid w:val="007C33F2"/>
    <w:rsid w:val="007F3B25"/>
    <w:rsid w:val="007F4B3D"/>
    <w:rsid w:val="007F6EC7"/>
    <w:rsid w:val="00815147"/>
    <w:rsid w:val="00852CED"/>
    <w:rsid w:val="008573D5"/>
    <w:rsid w:val="0086545F"/>
    <w:rsid w:val="00873251"/>
    <w:rsid w:val="00877220"/>
    <w:rsid w:val="00886B88"/>
    <w:rsid w:val="008A780D"/>
    <w:rsid w:val="008B7924"/>
    <w:rsid w:val="008C54DF"/>
    <w:rsid w:val="008D3EF4"/>
    <w:rsid w:val="008E7E03"/>
    <w:rsid w:val="008F56D6"/>
    <w:rsid w:val="008F5E38"/>
    <w:rsid w:val="009067E3"/>
    <w:rsid w:val="009170C6"/>
    <w:rsid w:val="00917745"/>
    <w:rsid w:val="009235A3"/>
    <w:rsid w:val="00924788"/>
    <w:rsid w:val="009452A7"/>
    <w:rsid w:val="00946E90"/>
    <w:rsid w:val="00950C9B"/>
    <w:rsid w:val="009620F2"/>
    <w:rsid w:val="00963589"/>
    <w:rsid w:val="0096654E"/>
    <w:rsid w:val="00975811"/>
    <w:rsid w:val="0098414A"/>
    <w:rsid w:val="0098479B"/>
    <w:rsid w:val="00992B65"/>
    <w:rsid w:val="009948D3"/>
    <w:rsid w:val="00995B35"/>
    <w:rsid w:val="009A446A"/>
    <w:rsid w:val="009B50E2"/>
    <w:rsid w:val="009B7052"/>
    <w:rsid w:val="009C0AF3"/>
    <w:rsid w:val="009C5D26"/>
    <w:rsid w:val="009C7B21"/>
    <w:rsid w:val="009D0543"/>
    <w:rsid w:val="00A03E23"/>
    <w:rsid w:val="00A05107"/>
    <w:rsid w:val="00A0632D"/>
    <w:rsid w:val="00A10CD7"/>
    <w:rsid w:val="00A15742"/>
    <w:rsid w:val="00A203F1"/>
    <w:rsid w:val="00A332E7"/>
    <w:rsid w:val="00A3399F"/>
    <w:rsid w:val="00A36CC8"/>
    <w:rsid w:val="00A442D2"/>
    <w:rsid w:val="00A508CB"/>
    <w:rsid w:val="00A53FD2"/>
    <w:rsid w:val="00A6115F"/>
    <w:rsid w:val="00A74281"/>
    <w:rsid w:val="00A75CD5"/>
    <w:rsid w:val="00A90E3B"/>
    <w:rsid w:val="00A93F34"/>
    <w:rsid w:val="00A94654"/>
    <w:rsid w:val="00AA143D"/>
    <w:rsid w:val="00AB6720"/>
    <w:rsid w:val="00AB7672"/>
    <w:rsid w:val="00AC0246"/>
    <w:rsid w:val="00AD1AD3"/>
    <w:rsid w:val="00AE0DEB"/>
    <w:rsid w:val="00AE0EA9"/>
    <w:rsid w:val="00AE157C"/>
    <w:rsid w:val="00AE2F08"/>
    <w:rsid w:val="00AF08A3"/>
    <w:rsid w:val="00AF21E4"/>
    <w:rsid w:val="00B23219"/>
    <w:rsid w:val="00B23E1A"/>
    <w:rsid w:val="00B2758D"/>
    <w:rsid w:val="00B36D3E"/>
    <w:rsid w:val="00B47E90"/>
    <w:rsid w:val="00B546DD"/>
    <w:rsid w:val="00B67B5C"/>
    <w:rsid w:val="00B75A7E"/>
    <w:rsid w:val="00B77134"/>
    <w:rsid w:val="00B87946"/>
    <w:rsid w:val="00BA4310"/>
    <w:rsid w:val="00BE00FE"/>
    <w:rsid w:val="00BF12B5"/>
    <w:rsid w:val="00C020F7"/>
    <w:rsid w:val="00C163D7"/>
    <w:rsid w:val="00C46C2B"/>
    <w:rsid w:val="00C810F1"/>
    <w:rsid w:val="00C8617F"/>
    <w:rsid w:val="00C92B05"/>
    <w:rsid w:val="00C948D3"/>
    <w:rsid w:val="00C95590"/>
    <w:rsid w:val="00C971F3"/>
    <w:rsid w:val="00CA06F6"/>
    <w:rsid w:val="00CA46C6"/>
    <w:rsid w:val="00CC49CF"/>
    <w:rsid w:val="00CC5823"/>
    <w:rsid w:val="00CE7D24"/>
    <w:rsid w:val="00CF438A"/>
    <w:rsid w:val="00CF47D2"/>
    <w:rsid w:val="00CF67D0"/>
    <w:rsid w:val="00D04F15"/>
    <w:rsid w:val="00D1739A"/>
    <w:rsid w:val="00D268C6"/>
    <w:rsid w:val="00D27F2F"/>
    <w:rsid w:val="00D32AB7"/>
    <w:rsid w:val="00D36AFF"/>
    <w:rsid w:val="00D441AA"/>
    <w:rsid w:val="00D60A6A"/>
    <w:rsid w:val="00D67B61"/>
    <w:rsid w:val="00D77B98"/>
    <w:rsid w:val="00D85423"/>
    <w:rsid w:val="00D86569"/>
    <w:rsid w:val="00DA0E19"/>
    <w:rsid w:val="00DA1F04"/>
    <w:rsid w:val="00DA311B"/>
    <w:rsid w:val="00DA69F4"/>
    <w:rsid w:val="00DA7A91"/>
    <w:rsid w:val="00DC0157"/>
    <w:rsid w:val="00DD00C3"/>
    <w:rsid w:val="00DF1AAC"/>
    <w:rsid w:val="00DF26ED"/>
    <w:rsid w:val="00DF422F"/>
    <w:rsid w:val="00DF731E"/>
    <w:rsid w:val="00E05F41"/>
    <w:rsid w:val="00E07C20"/>
    <w:rsid w:val="00E11A95"/>
    <w:rsid w:val="00E17692"/>
    <w:rsid w:val="00E20FC6"/>
    <w:rsid w:val="00E41A3D"/>
    <w:rsid w:val="00E5735E"/>
    <w:rsid w:val="00E74A9E"/>
    <w:rsid w:val="00E808C1"/>
    <w:rsid w:val="00E91AAC"/>
    <w:rsid w:val="00E962FB"/>
    <w:rsid w:val="00EA7C8B"/>
    <w:rsid w:val="00EB53FE"/>
    <w:rsid w:val="00EC211B"/>
    <w:rsid w:val="00EC4C59"/>
    <w:rsid w:val="00ED0E4E"/>
    <w:rsid w:val="00EE3972"/>
    <w:rsid w:val="00EF3D47"/>
    <w:rsid w:val="00F23133"/>
    <w:rsid w:val="00F35C89"/>
    <w:rsid w:val="00F35CAA"/>
    <w:rsid w:val="00F37412"/>
    <w:rsid w:val="00F41E0B"/>
    <w:rsid w:val="00F52770"/>
    <w:rsid w:val="00F54420"/>
    <w:rsid w:val="00F56153"/>
    <w:rsid w:val="00F627A4"/>
    <w:rsid w:val="00F72B86"/>
    <w:rsid w:val="00F8428E"/>
    <w:rsid w:val="00F91B6E"/>
    <w:rsid w:val="00F97626"/>
    <w:rsid w:val="00FC07C6"/>
    <w:rsid w:val="00FD5473"/>
    <w:rsid w:val="00FE01EE"/>
    <w:rsid w:val="00FE3C28"/>
    <w:rsid w:val="01573137"/>
    <w:rsid w:val="023759BF"/>
    <w:rsid w:val="0281282A"/>
    <w:rsid w:val="04A611CA"/>
    <w:rsid w:val="062F6A41"/>
    <w:rsid w:val="07B80AB3"/>
    <w:rsid w:val="09055D59"/>
    <w:rsid w:val="09954E0D"/>
    <w:rsid w:val="0997496F"/>
    <w:rsid w:val="0A91318E"/>
    <w:rsid w:val="0E340BA1"/>
    <w:rsid w:val="0E407A3D"/>
    <w:rsid w:val="0EA77FD0"/>
    <w:rsid w:val="0F026AA1"/>
    <w:rsid w:val="0F900A8A"/>
    <w:rsid w:val="10954A33"/>
    <w:rsid w:val="10EE32A4"/>
    <w:rsid w:val="113D2012"/>
    <w:rsid w:val="11D30BC8"/>
    <w:rsid w:val="12644704"/>
    <w:rsid w:val="129F0AAB"/>
    <w:rsid w:val="138B4CDA"/>
    <w:rsid w:val="139B74C4"/>
    <w:rsid w:val="15467FB3"/>
    <w:rsid w:val="172C0DE2"/>
    <w:rsid w:val="17F84EE5"/>
    <w:rsid w:val="18602A8A"/>
    <w:rsid w:val="19061883"/>
    <w:rsid w:val="1AFE5A41"/>
    <w:rsid w:val="1B2005A6"/>
    <w:rsid w:val="1C1223D6"/>
    <w:rsid w:val="1C211715"/>
    <w:rsid w:val="1D264126"/>
    <w:rsid w:val="1E197963"/>
    <w:rsid w:val="1E5E2FBE"/>
    <w:rsid w:val="210260DD"/>
    <w:rsid w:val="22AF4D91"/>
    <w:rsid w:val="23404381"/>
    <w:rsid w:val="237413B1"/>
    <w:rsid w:val="242E4DAF"/>
    <w:rsid w:val="24C373AE"/>
    <w:rsid w:val="251D578F"/>
    <w:rsid w:val="25A959B3"/>
    <w:rsid w:val="266F5F1E"/>
    <w:rsid w:val="27497A20"/>
    <w:rsid w:val="27F44A27"/>
    <w:rsid w:val="282C05B8"/>
    <w:rsid w:val="282D0BDB"/>
    <w:rsid w:val="2840426D"/>
    <w:rsid w:val="28C26C2D"/>
    <w:rsid w:val="2973549C"/>
    <w:rsid w:val="2AB7478C"/>
    <w:rsid w:val="2B2B6F28"/>
    <w:rsid w:val="2C412EA7"/>
    <w:rsid w:val="2CB318CE"/>
    <w:rsid w:val="2D7921CC"/>
    <w:rsid w:val="2E2F6D2F"/>
    <w:rsid w:val="2E791863"/>
    <w:rsid w:val="2E7E4B85"/>
    <w:rsid w:val="2E8D44B9"/>
    <w:rsid w:val="2EB3170E"/>
    <w:rsid w:val="2F354D9B"/>
    <w:rsid w:val="2FEA5603"/>
    <w:rsid w:val="30B04157"/>
    <w:rsid w:val="30C220DC"/>
    <w:rsid w:val="31045131"/>
    <w:rsid w:val="312119C5"/>
    <w:rsid w:val="31394AEF"/>
    <w:rsid w:val="31B449EF"/>
    <w:rsid w:val="31C55926"/>
    <w:rsid w:val="322F30F3"/>
    <w:rsid w:val="32B76BB0"/>
    <w:rsid w:val="33217B2F"/>
    <w:rsid w:val="33494272"/>
    <w:rsid w:val="335B6069"/>
    <w:rsid w:val="33E4091A"/>
    <w:rsid w:val="348B1B64"/>
    <w:rsid w:val="34DF500B"/>
    <w:rsid w:val="35A53185"/>
    <w:rsid w:val="381F31CA"/>
    <w:rsid w:val="385E26EA"/>
    <w:rsid w:val="3A1566CB"/>
    <w:rsid w:val="3A252995"/>
    <w:rsid w:val="3A705511"/>
    <w:rsid w:val="3AA6694C"/>
    <w:rsid w:val="3B5871C6"/>
    <w:rsid w:val="3C7626F9"/>
    <w:rsid w:val="3CEC1CF7"/>
    <w:rsid w:val="3D12638B"/>
    <w:rsid w:val="3D9D40C9"/>
    <w:rsid w:val="3F0062A9"/>
    <w:rsid w:val="3F7D0953"/>
    <w:rsid w:val="3F9F1FAB"/>
    <w:rsid w:val="3FCF7A03"/>
    <w:rsid w:val="41943621"/>
    <w:rsid w:val="41A72896"/>
    <w:rsid w:val="442314B8"/>
    <w:rsid w:val="457D7878"/>
    <w:rsid w:val="45D264C6"/>
    <w:rsid w:val="495E079C"/>
    <w:rsid w:val="49C50CD9"/>
    <w:rsid w:val="4A282B58"/>
    <w:rsid w:val="4B297416"/>
    <w:rsid w:val="4C654B61"/>
    <w:rsid w:val="4D607CAC"/>
    <w:rsid w:val="4E3C4470"/>
    <w:rsid w:val="4E7E10F4"/>
    <w:rsid w:val="4E9545FB"/>
    <w:rsid w:val="50A0169A"/>
    <w:rsid w:val="50F96FFC"/>
    <w:rsid w:val="510F4A72"/>
    <w:rsid w:val="52120376"/>
    <w:rsid w:val="521F0B30"/>
    <w:rsid w:val="52B7716F"/>
    <w:rsid w:val="546B1FBF"/>
    <w:rsid w:val="551B3B56"/>
    <w:rsid w:val="578A6C00"/>
    <w:rsid w:val="58565AB0"/>
    <w:rsid w:val="59D2663D"/>
    <w:rsid w:val="5A634731"/>
    <w:rsid w:val="5AA04037"/>
    <w:rsid w:val="5B2E4A4F"/>
    <w:rsid w:val="5B4C33D1"/>
    <w:rsid w:val="5BE33A63"/>
    <w:rsid w:val="5CBE0AE5"/>
    <w:rsid w:val="5ED44E25"/>
    <w:rsid w:val="6196637F"/>
    <w:rsid w:val="623D0A6D"/>
    <w:rsid w:val="62CF5E0F"/>
    <w:rsid w:val="634467BE"/>
    <w:rsid w:val="64617E7E"/>
    <w:rsid w:val="68183DB4"/>
    <w:rsid w:val="6ACF10A2"/>
    <w:rsid w:val="6AFE622C"/>
    <w:rsid w:val="6C040F0E"/>
    <w:rsid w:val="6CF66937"/>
    <w:rsid w:val="71CC2471"/>
    <w:rsid w:val="722A2C12"/>
    <w:rsid w:val="7338355D"/>
    <w:rsid w:val="751E2B22"/>
    <w:rsid w:val="75355FA6"/>
    <w:rsid w:val="75BE4328"/>
    <w:rsid w:val="76191A2E"/>
    <w:rsid w:val="76247F90"/>
    <w:rsid w:val="76A50F09"/>
    <w:rsid w:val="77040689"/>
    <w:rsid w:val="778E6B25"/>
    <w:rsid w:val="780444F0"/>
    <w:rsid w:val="784A6467"/>
    <w:rsid w:val="788554ED"/>
    <w:rsid w:val="78D35025"/>
    <w:rsid w:val="79317125"/>
    <w:rsid w:val="799B65F3"/>
    <w:rsid w:val="7A6D2156"/>
    <w:rsid w:val="7C3F7588"/>
    <w:rsid w:val="7C725D31"/>
    <w:rsid w:val="7D950721"/>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link w:val="64"/>
    <w:qFormat/>
    <w:uiPriority w:val="0"/>
    <w:pPr>
      <w:keepNext/>
      <w:keepLines/>
      <w:spacing w:before="280" w:after="290" w:line="376" w:lineRule="auto"/>
      <w:jc w:val="both"/>
      <w:outlineLvl w:val="3"/>
    </w:pPr>
    <w:rPr>
      <w:rFonts w:ascii="Arial" w:hAnsi="Arial" w:eastAsia="黑体" w:cs="Times New Roman"/>
      <w:b/>
      <w:bCs/>
      <w:sz w:val="28"/>
      <w:szCs w:val="28"/>
      <w:lang w:eastAsia="zh-CN"/>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9"/>
    <w:unhideWhenUsed/>
    <w:qFormat/>
    <w:uiPriority w:val="0"/>
    <w:pPr>
      <w:ind w:firstLine="420" w:firstLineChars="200"/>
      <w:jc w:val="left"/>
    </w:pPr>
    <w:rPr>
      <w:rFonts w:asciiTheme="minorHAnsi" w:hAnsiTheme="minorHAnsi" w:eastAsiaTheme="minorEastAsia" w:cstheme="minorBidi"/>
      <w:kern w:val="0"/>
      <w:sz w:val="22"/>
      <w:szCs w:val="22"/>
      <w:lang w:eastAsia="en-US"/>
    </w:rPr>
  </w:style>
  <w:style w:type="paragraph" w:styleId="3">
    <w:name w:val="Body Text Indent"/>
    <w:basedOn w:val="1"/>
    <w:next w:val="1"/>
    <w:link w:val="47"/>
    <w:unhideWhenUsed/>
    <w:qFormat/>
    <w:uiPriority w:val="99"/>
    <w:pPr>
      <w:spacing w:after="120"/>
      <w:ind w:left="420" w:leftChars="200"/>
      <w:jc w:val="both"/>
    </w:pPr>
    <w:rPr>
      <w:rFonts w:ascii="Times New Roman" w:hAnsi="Times New Roman" w:eastAsia="宋体" w:cs="Times New Roman"/>
      <w:kern w:val="2"/>
      <w:sz w:val="21"/>
      <w:szCs w:val="24"/>
      <w:lang w:eastAsia="zh-CN"/>
    </w:rPr>
  </w:style>
  <w:style w:type="paragraph" w:styleId="7">
    <w:name w:val="Normal Indent"/>
    <w:basedOn w:val="1"/>
    <w:next w:val="2"/>
    <w:link w:val="96"/>
    <w:qFormat/>
    <w:uiPriority w:val="0"/>
    <w:pPr>
      <w:ind w:firstLine="420" w:firstLineChars="200"/>
      <w:jc w:val="both"/>
    </w:pPr>
    <w:rPr>
      <w:rFonts w:eastAsia="宋体"/>
      <w:kern w:val="2"/>
      <w:sz w:val="21"/>
      <w:szCs w:val="24"/>
      <w:lang w:eastAsia="zh-CN"/>
    </w:rPr>
  </w:style>
  <w:style w:type="paragraph" w:styleId="8">
    <w:name w:val="caption"/>
    <w:basedOn w:val="1"/>
    <w:next w:val="1"/>
    <w:link w:val="89"/>
    <w:qFormat/>
    <w:uiPriority w:val="99"/>
    <w:pPr>
      <w:keepNext/>
      <w:spacing w:beforeLines="50" w:afterLines="50"/>
      <w:jc w:val="center"/>
    </w:pPr>
    <w:rPr>
      <w:rFonts w:eastAsia="仿宋_GB2312" w:cs="Arial"/>
      <w:kern w:val="2"/>
      <w:sz w:val="24"/>
      <w:szCs w:val="24"/>
      <w:lang w:val="zh-CN" w:eastAsia="zh-CN"/>
    </w:rPr>
  </w:style>
  <w:style w:type="paragraph" w:styleId="9">
    <w:name w:val="annotation text"/>
    <w:basedOn w:val="1"/>
    <w:link w:val="56"/>
    <w:semiHidden/>
    <w:unhideWhenUsed/>
    <w:qFormat/>
    <w:uiPriority w:val="99"/>
  </w:style>
  <w:style w:type="paragraph" w:styleId="10">
    <w:name w:val="Body Text"/>
    <w:basedOn w:val="1"/>
    <w:next w:val="11"/>
    <w:link w:val="75"/>
    <w:qFormat/>
    <w:uiPriority w:val="1"/>
    <w:rPr>
      <w:rFonts w:ascii="宋体" w:hAnsi="宋体" w:eastAsia="宋体"/>
      <w:sz w:val="21"/>
      <w:szCs w:val="21"/>
    </w:rPr>
  </w:style>
  <w:style w:type="paragraph" w:styleId="11">
    <w:name w:val="toc 2"/>
    <w:basedOn w:val="1"/>
    <w:next w:val="1"/>
    <w:unhideWhenUsed/>
    <w:qFormat/>
    <w:uiPriority w:val="39"/>
    <w:pPr>
      <w:ind w:left="240"/>
    </w:pPr>
    <w:rPr>
      <w:rFonts w:ascii="Calibri" w:hAnsi="Calibri"/>
      <w:smallCaps/>
      <w:sz w:val="20"/>
      <w:szCs w:val="20"/>
    </w:rPr>
  </w:style>
  <w:style w:type="paragraph" w:styleId="12">
    <w:name w:val="Plain Text"/>
    <w:basedOn w:val="1"/>
    <w:link w:val="46"/>
    <w:qFormat/>
    <w:uiPriority w:val="0"/>
    <w:pPr>
      <w:jc w:val="both"/>
      <w:textAlignment w:val="baseline"/>
    </w:pPr>
    <w:rPr>
      <w:rFonts w:ascii="宋体" w:hAnsi="Courier New" w:eastAsia="宋体" w:cs="Times New Roman"/>
      <w:kern w:val="2"/>
      <w:sz w:val="21"/>
      <w:szCs w:val="20"/>
      <w:lang w:eastAsia="zh-CN"/>
    </w:rPr>
  </w:style>
  <w:style w:type="paragraph" w:styleId="13">
    <w:name w:val="Date"/>
    <w:basedOn w:val="1"/>
    <w:next w:val="1"/>
    <w:link w:val="88"/>
    <w:qFormat/>
    <w:uiPriority w:val="0"/>
    <w:pPr>
      <w:jc w:val="both"/>
    </w:pPr>
    <w:rPr>
      <w:rFonts w:ascii="Times New Roman" w:hAnsi="Times New Roman" w:eastAsia="宋体" w:cs="Times New Roman"/>
      <w:kern w:val="2"/>
      <w:sz w:val="28"/>
      <w:szCs w:val="20"/>
      <w:lang w:eastAsia="zh-CN"/>
    </w:rPr>
  </w:style>
  <w:style w:type="paragraph" w:styleId="14">
    <w:name w:val="Body Text Indent 2"/>
    <w:basedOn w:val="1"/>
    <w:link w:val="82"/>
    <w:semiHidden/>
    <w:unhideWhenUsed/>
    <w:qFormat/>
    <w:uiPriority w:val="99"/>
    <w:pPr>
      <w:spacing w:after="120" w:line="480" w:lineRule="auto"/>
      <w:ind w:left="420" w:leftChars="200"/>
    </w:pPr>
  </w:style>
  <w:style w:type="paragraph" w:styleId="15">
    <w:name w:val="Balloon Text"/>
    <w:basedOn w:val="1"/>
    <w:link w:val="61"/>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pPr>
    <w:rPr>
      <w:sz w:val="18"/>
      <w:szCs w:val="18"/>
    </w:rPr>
  </w:style>
  <w:style w:type="paragraph" w:styleId="17">
    <w:name w:val="header"/>
    <w:basedOn w:val="1"/>
    <w:link w:val="41"/>
    <w:unhideWhenUsed/>
    <w:qFormat/>
    <w:uiPriority w:val="99"/>
    <w:pPr>
      <w:tabs>
        <w:tab w:val="center" w:pos="4153"/>
        <w:tab w:val="right" w:pos="8306"/>
      </w:tabs>
      <w:snapToGrid w:val="0"/>
      <w:jc w:val="center"/>
    </w:pPr>
    <w:rPr>
      <w:sz w:val="18"/>
      <w:szCs w:val="18"/>
    </w:rPr>
  </w:style>
  <w:style w:type="paragraph" w:styleId="18">
    <w:name w:val="toc 1"/>
    <w:basedOn w:val="1"/>
    <w:next w:val="1"/>
    <w:semiHidden/>
    <w:unhideWhenUsed/>
    <w:qFormat/>
    <w:uiPriority w:val="39"/>
    <w:rPr>
      <w:rFonts w:eastAsia="黑体"/>
      <w:sz w:val="24"/>
    </w:rPr>
  </w:style>
  <w:style w:type="paragraph" w:styleId="19">
    <w:name w:val="List"/>
    <w:basedOn w:val="1"/>
    <w:unhideWhenUsed/>
    <w:qFormat/>
    <w:uiPriority w:val="99"/>
    <w:pPr>
      <w:ind w:left="200" w:hanging="200" w:hangingChars="200"/>
      <w:contextualSpacing/>
      <w:jc w:val="both"/>
    </w:pPr>
    <w:rPr>
      <w:rFonts w:ascii="Times New Roman" w:hAnsi="Times New Roman" w:eastAsia="宋体" w:cs="Times New Roman"/>
      <w:kern w:val="2"/>
      <w:sz w:val="21"/>
      <w:szCs w:val="24"/>
      <w:lang w:eastAsia="zh-CN"/>
    </w:rPr>
  </w:style>
  <w:style w:type="paragraph" w:styleId="20">
    <w:name w:val="Body Text Indent 3"/>
    <w:basedOn w:val="1"/>
    <w:link w:val="99"/>
    <w:semiHidden/>
    <w:unhideWhenUsed/>
    <w:qFormat/>
    <w:uiPriority w:val="99"/>
    <w:pPr>
      <w:spacing w:after="120"/>
      <w:ind w:left="420" w:leftChars="200"/>
    </w:pPr>
    <w:rPr>
      <w:sz w:val="16"/>
      <w:szCs w:val="16"/>
    </w:rPr>
  </w:style>
  <w:style w:type="paragraph" w:styleId="21">
    <w:name w:val="table of figures"/>
    <w:basedOn w:val="1"/>
    <w:next w:val="1"/>
    <w:qFormat/>
    <w:uiPriority w:val="0"/>
    <w:rPr>
      <w:rFonts w:ascii="Times New Roman" w:hAnsi="Times New Roman"/>
    </w:rPr>
  </w:style>
  <w:style w:type="paragraph" w:styleId="22">
    <w:name w:val="toc 9"/>
    <w:basedOn w:val="1"/>
    <w:next w:val="1"/>
    <w:semiHidden/>
    <w:qFormat/>
    <w:uiPriority w:val="0"/>
    <w:pPr>
      <w:ind w:left="3360" w:leftChars="1600"/>
      <w:jc w:val="both"/>
    </w:pPr>
    <w:rPr>
      <w:rFonts w:ascii="Times New Roman" w:hAnsi="Times New Roman" w:eastAsia="宋体" w:cs="Times New Roman"/>
      <w:kern w:val="2"/>
      <w:sz w:val="21"/>
      <w:szCs w:val="20"/>
      <w:lang w:eastAsia="zh-CN"/>
    </w:rPr>
  </w:style>
  <w:style w:type="paragraph" w:styleId="23">
    <w:name w:val="Normal (Web)"/>
    <w:basedOn w:val="1"/>
    <w:qFormat/>
    <w:uiPriority w:val="99"/>
    <w:pPr>
      <w:widowControl/>
      <w:spacing w:before="100" w:beforeAutospacing="1" w:after="100" w:afterAutospacing="1"/>
    </w:pPr>
    <w:rPr>
      <w:rFonts w:ascii="宋体" w:hAnsi="宋体" w:eastAsia="宋体" w:cs="Times New Roman"/>
      <w:sz w:val="24"/>
      <w:szCs w:val="20"/>
      <w:lang w:eastAsia="zh-CN"/>
    </w:rPr>
  </w:style>
  <w:style w:type="paragraph" w:styleId="24">
    <w:name w:val="Title"/>
    <w:basedOn w:val="1"/>
    <w:next w:val="1"/>
    <w:qFormat/>
    <w:uiPriority w:val="10"/>
    <w:pPr>
      <w:spacing w:before="240" w:after="60"/>
      <w:jc w:val="center"/>
      <w:outlineLvl w:val="0"/>
    </w:pPr>
    <w:rPr>
      <w:rFonts w:ascii="Cambria" w:hAnsi="Cambria"/>
      <w:b/>
      <w:bCs/>
      <w:sz w:val="32"/>
      <w:szCs w:val="32"/>
    </w:rPr>
  </w:style>
  <w:style w:type="paragraph" w:styleId="25">
    <w:name w:val="annotation subject"/>
    <w:basedOn w:val="9"/>
    <w:next w:val="9"/>
    <w:link w:val="58"/>
    <w:unhideWhenUsed/>
    <w:qFormat/>
    <w:uiPriority w:val="99"/>
    <w:rPr>
      <w:rFonts w:ascii="Times New Roman" w:hAnsi="Times New Roman" w:eastAsia="宋体" w:cs="Times New Roman"/>
      <w:b/>
      <w:bCs/>
      <w:sz w:val="20"/>
      <w:szCs w:val="24"/>
      <w:lang w:eastAsia="zh-CN"/>
    </w:rPr>
  </w:style>
  <w:style w:type="paragraph" w:styleId="26">
    <w:name w:val="Body Text First Indent"/>
    <w:basedOn w:val="10"/>
    <w:next w:val="1"/>
    <w:link w:val="76"/>
    <w:unhideWhenUsed/>
    <w:qFormat/>
    <w:uiPriority w:val="99"/>
    <w:pPr>
      <w:spacing w:after="120"/>
      <w:ind w:firstLine="420" w:firstLineChars="100"/>
    </w:pPr>
    <w:rPr>
      <w:rFonts w:asciiTheme="minorHAnsi" w:hAnsiTheme="minorHAnsi" w:eastAsiaTheme="minorEastAsia"/>
      <w:sz w:val="22"/>
      <w:szCs w:val="22"/>
    </w:rPr>
  </w:style>
  <w:style w:type="table" w:styleId="28">
    <w:name w:val="Table Grid"/>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annotation reference"/>
    <w:basedOn w:val="29"/>
    <w:semiHidden/>
    <w:unhideWhenUsed/>
    <w:qFormat/>
    <w:uiPriority w:val="99"/>
    <w:rPr>
      <w:sz w:val="21"/>
      <w:szCs w:val="21"/>
    </w:rPr>
  </w:style>
  <w:style w:type="paragraph" w:customStyle="1" w:styleId="3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customStyle="1" w:styleId="33">
    <w:name w:val="Default"/>
    <w:next w:val="34"/>
    <w:link w:val="77"/>
    <w:qFormat/>
    <w:uiPriority w:val="0"/>
    <w:pPr>
      <w:widowControl w:val="0"/>
      <w:autoSpaceDE w:val="0"/>
      <w:autoSpaceDN w:val="0"/>
      <w:adjustRightInd w:val="0"/>
    </w:pPr>
    <w:rPr>
      <w:rFonts w:ascii="宋体胧...." w:eastAsia="宋体胧...." w:cs="宋体胧...." w:hAnsiTheme="minorHAnsi"/>
      <w:color w:val="000000"/>
      <w:sz w:val="24"/>
      <w:szCs w:val="24"/>
      <w:lang w:val="en-US" w:eastAsia="en-US" w:bidi="ar-SA"/>
    </w:rPr>
  </w:style>
  <w:style w:type="paragraph" w:customStyle="1" w:styleId="34">
    <w:name w:val="1正文段落"/>
    <w:basedOn w:val="1"/>
    <w:qFormat/>
    <w:uiPriority w:val="0"/>
    <w:pPr>
      <w:spacing w:line="360" w:lineRule="auto"/>
      <w:ind w:firstLine="200" w:firstLineChars="200"/>
    </w:pPr>
    <w:rPr>
      <w:rFonts w:ascii="Calibri" w:hAnsi="Calibri"/>
      <w:snapToGrid w:val="0"/>
      <w:sz w:val="24"/>
    </w:rPr>
  </w:style>
  <w:style w:type="character" w:customStyle="1" w:styleId="35">
    <w:name w:val="标题 2 Char"/>
    <w:basedOn w:val="29"/>
    <w:link w:val="4"/>
    <w:semiHidden/>
    <w:qFormat/>
    <w:uiPriority w:val="9"/>
    <w:rPr>
      <w:rFonts w:asciiTheme="majorHAnsi" w:hAnsiTheme="majorHAnsi" w:eastAsiaTheme="majorEastAsia" w:cstheme="majorBidi"/>
      <w:b/>
      <w:bCs/>
      <w:sz w:val="32"/>
      <w:szCs w:val="32"/>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customStyle="1" w:styleId="37">
    <w:name w:val="标题 11"/>
    <w:basedOn w:val="1"/>
    <w:qFormat/>
    <w:uiPriority w:val="1"/>
    <w:pPr>
      <w:spacing w:before="7"/>
      <w:outlineLvl w:val="1"/>
    </w:pPr>
    <w:rPr>
      <w:rFonts w:ascii="黑体" w:hAnsi="黑体" w:eastAsia="黑体"/>
      <w:sz w:val="30"/>
      <w:szCs w:val="30"/>
    </w:rPr>
  </w:style>
  <w:style w:type="paragraph" w:customStyle="1" w:styleId="38">
    <w:name w:val="标题 21"/>
    <w:basedOn w:val="1"/>
    <w:qFormat/>
    <w:uiPriority w:val="1"/>
    <w:pPr>
      <w:ind w:left="976"/>
      <w:outlineLvl w:val="2"/>
    </w:pPr>
    <w:rPr>
      <w:rFonts w:ascii="宋体" w:hAnsi="宋体" w:eastAsia="宋体"/>
      <w:b/>
      <w:bCs/>
      <w:sz w:val="21"/>
      <w:szCs w:val="21"/>
    </w:rPr>
  </w:style>
  <w:style w:type="paragraph" w:styleId="39">
    <w:name w:val="List Paragraph"/>
    <w:basedOn w:val="1"/>
    <w:qFormat/>
    <w:uiPriority w:val="1"/>
  </w:style>
  <w:style w:type="paragraph" w:customStyle="1" w:styleId="40">
    <w:name w:val="Table Paragraph"/>
    <w:basedOn w:val="1"/>
    <w:next w:val="1"/>
    <w:qFormat/>
    <w:uiPriority w:val="1"/>
  </w:style>
  <w:style w:type="character" w:customStyle="1" w:styleId="41">
    <w:name w:val="页眉 Char"/>
    <w:basedOn w:val="29"/>
    <w:link w:val="17"/>
    <w:qFormat/>
    <w:uiPriority w:val="99"/>
    <w:rPr>
      <w:sz w:val="18"/>
      <w:szCs w:val="18"/>
    </w:rPr>
  </w:style>
  <w:style w:type="character" w:customStyle="1" w:styleId="42">
    <w:name w:val="页脚 Char"/>
    <w:basedOn w:val="29"/>
    <w:link w:val="16"/>
    <w:qFormat/>
    <w:uiPriority w:val="99"/>
    <w:rPr>
      <w:sz w:val="18"/>
      <w:szCs w:val="18"/>
    </w:rPr>
  </w:style>
  <w:style w:type="character" w:customStyle="1" w:styleId="43">
    <w:name w:val="正文文本缩进 Char"/>
    <w:basedOn w:val="29"/>
    <w:link w:val="44"/>
    <w:qFormat/>
    <w:uiPriority w:val="0"/>
  </w:style>
  <w:style w:type="paragraph" w:customStyle="1" w:styleId="44">
    <w:name w:val="正文文本缩进1"/>
    <w:basedOn w:val="1"/>
    <w:link w:val="43"/>
    <w:qFormat/>
    <w:uiPriority w:val="0"/>
    <w:pPr>
      <w:spacing w:line="560" w:lineRule="exact"/>
      <w:ind w:firstLine="560" w:firstLineChars="200"/>
      <w:jc w:val="both"/>
    </w:pPr>
    <w:rPr>
      <w:rFonts w:ascii="Times New Roman" w:hAnsi="Times New Roman" w:eastAsia="宋体" w:cs="Times New Roman"/>
      <w:sz w:val="28"/>
      <w:szCs w:val="20"/>
      <w:lang w:eastAsia="zh-CN"/>
    </w:rPr>
  </w:style>
  <w:style w:type="character" w:customStyle="1" w:styleId="45">
    <w:name w:val="纯文本 Char"/>
    <w:basedOn w:val="29"/>
    <w:qFormat/>
    <w:uiPriority w:val="0"/>
    <w:rPr>
      <w:rFonts w:ascii="宋体" w:hAnsi="Courier New" w:eastAsia="宋体" w:cs="Courier New"/>
      <w:sz w:val="21"/>
      <w:szCs w:val="21"/>
    </w:rPr>
  </w:style>
  <w:style w:type="character" w:customStyle="1" w:styleId="46">
    <w:name w:val="纯文本 Char1"/>
    <w:link w:val="12"/>
    <w:qFormat/>
    <w:uiPriority w:val="0"/>
    <w:rPr>
      <w:rFonts w:ascii="宋体" w:hAnsi="Courier New" w:eastAsia="宋体" w:cs="Times New Roman"/>
      <w:kern w:val="2"/>
      <w:sz w:val="21"/>
      <w:szCs w:val="20"/>
      <w:lang w:eastAsia="zh-CN"/>
    </w:rPr>
  </w:style>
  <w:style w:type="character" w:customStyle="1" w:styleId="47">
    <w:name w:val="正文文本缩进 Char1"/>
    <w:link w:val="3"/>
    <w:qFormat/>
    <w:uiPriority w:val="99"/>
    <w:rPr>
      <w:rFonts w:ascii="Times New Roman" w:hAnsi="Times New Roman" w:eastAsia="宋体" w:cs="Times New Roman"/>
      <w:kern w:val="2"/>
      <w:sz w:val="21"/>
      <w:szCs w:val="24"/>
      <w:lang w:eastAsia="zh-CN"/>
    </w:rPr>
  </w:style>
  <w:style w:type="paragraph" w:customStyle="1" w:styleId="48">
    <w:name w:val="正文123"/>
    <w:link w:val="49"/>
    <w:qFormat/>
    <w:uiPriority w:val="0"/>
    <w:pPr>
      <w:framePr w:hSpace="180" w:wrap="around" w:vAnchor="text" w:hAnchor="text" w:xAlign="center" w:y="1"/>
      <w:adjustRightInd w:val="0"/>
      <w:spacing w:line="440" w:lineRule="exact"/>
      <w:ind w:firstLine="200" w:firstLineChars="200"/>
      <w:jc w:val="both"/>
      <w:textAlignment w:val="baseline"/>
    </w:pPr>
    <w:rPr>
      <w:rFonts w:ascii="Times New Roman" w:hAnsi="Times New Roman" w:eastAsia="仿宋_GB2312" w:cs="Times New Roman"/>
      <w:bCs/>
      <w:sz w:val="24"/>
      <w:szCs w:val="28"/>
      <w:lang w:val="en-US" w:eastAsia="zh-CN" w:bidi="ar-SA"/>
    </w:rPr>
  </w:style>
  <w:style w:type="character" w:customStyle="1" w:styleId="49">
    <w:name w:val="正文123 Char"/>
    <w:basedOn w:val="29"/>
    <w:link w:val="48"/>
    <w:qFormat/>
    <w:uiPriority w:val="0"/>
    <w:rPr>
      <w:rFonts w:ascii="Times New Roman" w:hAnsi="Times New Roman" w:eastAsia="仿宋_GB2312" w:cs="Times New Roman"/>
      <w:bCs/>
      <w:sz w:val="24"/>
      <w:szCs w:val="28"/>
      <w:lang w:eastAsia="zh-CN"/>
    </w:rPr>
  </w:style>
  <w:style w:type="character" w:customStyle="1" w:styleId="50">
    <w:name w:val="font31"/>
    <w:basedOn w:val="29"/>
    <w:qFormat/>
    <w:uiPriority w:val="0"/>
    <w:rPr>
      <w:rFonts w:hint="default" w:ascii="Times New Roman" w:hAnsi="Times New Roman" w:cs="Times New Roman"/>
      <w:color w:val="000000"/>
      <w:sz w:val="21"/>
      <w:szCs w:val="21"/>
      <w:u w:val="none"/>
    </w:rPr>
  </w:style>
  <w:style w:type="character" w:customStyle="1" w:styleId="51">
    <w:name w:val="font21"/>
    <w:basedOn w:val="29"/>
    <w:qFormat/>
    <w:uiPriority w:val="0"/>
    <w:rPr>
      <w:rFonts w:hint="eastAsia" w:ascii="宋体" w:hAnsi="宋体" w:eastAsia="宋体"/>
      <w:color w:val="000000"/>
      <w:sz w:val="21"/>
      <w:szCs w:val="21"/>
      <w:u w:val="none"/>
    </w:rPr>
  </w:style>
  <w:style w:type="character" w:customStyle="1" w:styleId="52">
    <w:name w:val="font41"/>
    <w:basedOn w:val="29"/>
    <w:qFormat/>
    <w:uiPriority w:val="0"/>
    <w:rPr>
      <w:rFonts w:hint="default" w:ascii="Times New Roman" w:hAnsi="Times New Roman" w:cs="Times New Roman"/>
      <w:color w:val="000000"/>
      <w:sz w:val="21"/>
      <w:szCs w:val="21"/>
      <w:u w:val="none"/>
      <w:vertAlign w:val="superscript"/>
    </w:rPr>
  </w:style>
  <w:style w:type="paragraph" w:customStyle="1" w:styleId="53">
    <w:name w:val="表格标题"/>
    <w:basedOn w:val="1"/>
    <w:link w:val="54"/>
    <w:qFormat/>
    <w:uiPriority w:val="0"/>
    <w:pPr>
      <w:adjustRightInd w:val="0"/>
      <w:snapToGrid w:val="0"/>
      <w:spacing w:line="500" w:lineRule="exact"/>
      <w:jc w:val="center"/>
    </w:pPr>
    <w:rPr>
      <w:rFonts w:ascii="Times New Roman" w:hAnsi="Times New Roman" w:eastAsia="仿宋_GB2312"/>
      <w:b/>
      <w:kern w:val="2"/>
      <w:sz w:val="24"/>
      <w:szCs w:val="28"/>
      <w:lang w:eastAsia="zh-CN"/>
    </w:rPr>
  </w:style>
  <w:style w:type="character" w:customStyle="1" w:styleId="54">
    <w:name w:val="表格标题 Char2"/>
    <w:link w:val="53"/>
    <w:qFormat/>
    <w:uiPriority w:val="0"/>
    <w:rPr>
      <w:rFonts w:ascii="Times New Roman" w:hAnsi="Times New Roman" w:eastAsia="仿宋_GB2312"/>
      <w:b/>
      <w:kern w:val="2"/>
      <w:sz w:val="24"/>
      <w:szCs w:val="28"/>
      <w:lang w:eastAsia="zh-CN"/>
    </w:rPr>
  </w:style>
  <w:style w:type="paragraph" w:customStyle="1" w:styleId="55">
    <w:name w:val="段落"/>
    <w:basedOn w:val="1"/>
    <w:qFormat/>
    <w:uiPriority w:val="0"/>
    <w:pPr>
      <w:spacing w:line="500" w:lineRule="exact"/>
      <w:ind w:firstLine="200" w:firstLineChars="200"/>
      <w:jc w:val="both"/>
    </w:pPr>
    <w:rPr>
      <w:rFonts w:ascii="Times New Roman" w:hAnsi="Times New Roman" w:eastAsia="宋体" w:cs="Times New Roman"/>
      <w:spacing w:val="10"/>
      <w:kern w:val="2"/>
      <w:sz w:val="21"/>
      <w:szCs w:val="20"/>
      <w:lang w:eastAsia="zh-CN"/>
    </w:rPr>
  </w:style>
  <w:style w:type="character" w:customStyle="1" w:styleId="56">
    <w:name w:val="批注文字 Char"/>
    <w:basedOn w:val="29"/>
    <w:link w:val="9"/>
    <w:semiHidden/>
    <w:qFormat/>
    <w:uiPriority w:val="99"/>
  </w:style>
  <w:style w:type="character" w:customStyle="1" w:styleId="57">
    <w:name w:val="批注主题 Char"/>
    <w:basedOn w:val="56"/>
    <w:semiHidden/>
    <w:qFormat/>
    <w:uiPriority w:val="99"/>
    <w:rPr>
      <w:b/>
      <w:bCs/>
    </w:rPr>
  </w:style>
  <w:style w:type="character" w:customStyle="1" w:styleId="58">
    <w:name w:val="批注主题 Char1"/>
    <w:link w:val="25"/>
    <w:qFormat/>
    <w:uiPriority w:val="99"/>
    <w:rPr>
      <w:rFonts w:ascii="Times New Roman" w:hAnsi="Times New Roman" w:eastAsia="宋体" w:cs="Times New Roman"/>
      <w:b/>
      <w:bCs/>
      <w:sz w:val="20"/>
      <w:szCs w:val="24"/>
      <w:lang w:eastAsia="zh-CN"/>
    </w:rPr>
  </w:style>
  <w:style w:type="paragraph" w:customStyle="1" w:styleId="59">
    <w:name w:val="正文内容123"/>
    <w:basedOn w:val="1"/>
    <w:link w:val="60"/>
    <w:qFormat/>
    <w:uiPriority w:val="0"/>
    <w:pPr>
      <w:adjustRightInd w:val="0"/>
      <w:snapToGrid w:val="0"/>
      <w:spacing w:line="500" w:lineRule="exact"/>
      <w:ind w:firstLine="200" w:firstLineChars="200"/>
      <w:jc w:val="both"/>
    </w:pPr>
    <w:rPr>
      <w:rFonts w:ascii="Times New Roman" w:hAnsi="Times New Roman" w:eastAsia="宋体"/>
      <w:kern w:val="2"/>
      <w:sz w:val="24"/>
      <w:szCs w:val="28"/>
      <w:lang w:eastAsia="zh-CN"/>
    </w:rPr>
  </w:style>
  <w:style w:type="character" w:customStyle="1" w:styleId="60">
    <w:name w:val="正文内容123 Char"/>
    <w:link w:val="59"/>
    <w:qFormat/>
    <w:uiPriority w:val="0"/>
    <w:rPr>
      <w:rFonts w:ascii="Times New Roman" w:hAnsi="Times New Roman" w:eastAsia="宋体"/>
      <w:kern w:val="2"/>
      <w:sz w:val="24"/>
      <w:szCs w:val="28"/>
      <w:lang w:eastAsia="zh-CN"/>
    </w:rPr>
  </w:style>
  <w:style w:type="character" w:customStyle="1" w:styleId="61">
    <w:name w:val="批注框文本 Char"/>
    <w:basedOn w:val="29"/>
    <w:link w:val="15"/>
    <w:qFormat/>
    <w:uiPriority w:val="99"/>
    <w:rPr>
      <w:sz w:val="18"/>
      <w:szCs w:val="18"/>
    </w:rPr>
  </w:style>
  <w:style w:type="character" w:customStyle="1" w:styleId="62">
    <w:name w:val="芬 正文文本 Char Char"/>
    <w:link w:val="63"/>
    <w:qFormat/>
    <w:locked/>
    <w:uiPriority w:val="0"/>
    <w:rPr>
      <w:rFonts w:eastAsia="仿宋_GB2312"/>
    </w:rPr>
  </w:style>
  <w:style w:type="paragraph" w:customStyle="1" w:styleId="63">
    <w:name w:val="芬 正文文本"/>
    <w:basedOn w:val="1"/>
    <w:link w:val="62"/>
    <w:qFormat/>
    <w:uiPriority w:val="0"/>
    <w:pPr>
      <w:widowControl/>
      <w:tabs>
        <w:tab w:val="left" w:pos="2503"/>
      </w:tabs>
      <w:spacing w:line="360" w:lineRule="auto"/>
      <w:ind w:firstLine="640" w:firstLineChars="200"/>
      <w:outlineLvl w:val="3"/>
    </w:pPr>
    <w:rPr>
      <w:rFonts w:eastAsia="仿宋_GB2312"/>
    </w:rPr>
  </w:style>
  <w:style w:type="character" w:customStyle="1" w:styleId="64">
    <w:name w:val="标题 4 Char"/>
    <w:basedOn w:val="29"/>
    <w:link w:val="6"/>
    <w:qFormat/>
    <w:uiPriority w:val="0"/>
    <w:rPr>
      <w:rFonts w:ascii="Arial" w:hAnsi="Arial" w:eastAsia="黑体" w:cs="Times New Roman"/>
      <w:b/>
      <w:bCs/>
      <w:sz w:val="28"/>
      <w:szCs w:val="28"/>
      <w:lang w:eastAsia="zh-CN"/>
    </w:rPr>
  </w:style>
  <w:style w:type="paragraph" w:customStyle="1" w:styleId="65">
    <w:name w:val="正文 首行缩进:  2 字符"/>
    <w:basedOn w:val="1"/>
    <w:qFormat/>
    <w:uiPriority w:val="99"/>
    <w:pPr>
      <w:ind w:firstLine="579" w:firstLineChars="200"/>
      <w:jc w:val="both"/>
    </w:pPr>
    <w:rPr>
      <w:rFonts w:ascii="Times New Roman" w:hAnsi="Times New Roman" w:eastAsia="宋体" w:cs="Times New Roman"/>
      <w:kern w:val="2"/>
      <w:sz w:val="21"/>
      <w:szCs w:val="24"/>
      <w:lang w:eastAsia="zh-CN"/>
    </w:rPr>
  </w:style>
  <w:style w:type="paragraph" w:customStyle="1" w:styleId="66">
    <w:name w:val="表格内容123"/>
    <w:basedOn w:val="1"/>
    <w:link w:val="67"/>
    <w:qFormat/>
    <w:uiPriority w:val="0"/>
    <w:pPr>
      <w:adjustRightInd w:val="0"/>
      <w:snapToGrid w:val="0"/>
      <w:jc w:val="center"/>
    </w:pPr>
    <w:rPr>
      <w:rFonts w:ascii="Times New Roman" w:hAnsi="Times New Roman" w:eastAsia="仿宋_GB2312"/>
      <w:snapToGrid w:val="0"/>
      <w:kern w:val="2"/>
      <w:sz w:val="21"/>
      <w:szCs w:val="21"/>
      <w:lang w:eastAsia="zh-CN"/>
    </w:rPr>
  </w:style>
  <w:style w:type="character" w:customStyle="1" w:styleId="67">
    <w:name w:val="表格内容123 Char"/>
    <w:link w:val="66"/>
    <w:qFormat/>
    <w:uiPriority w:val="0"/>
    <w:rPr>
      <w:rFonts w:ascii="Times New Roman" w:hAnsi="Times New Roman" w:eastAsia="仿宋_GB2312"/>
      <w:snapToGrid w:val="0"/>
      <w:kern w:val="2"/>
      <w:sz w:val="21"/>
      <w:szCs w:val="21"/>
      <w:lang w:eastAsia="zh-CN"/>
    </w:rPr>
  </w:style>
  <w:style w:type="paragraph" w:customStyle="1" w:styleId="68">
    <w:name w:val="报告表 表内 一级"/>
    <w:basedOn w:val="1"/>
    <w:link w:val="69"/>
    <w:qFormat/>
    <w:uiPriority w:val="0"/>
    <w:pPr>
      <w:keepNext/>
      <w:spacing w:line="400" w:lineRule="exact"/>
      <w:jc w:val="both"/>
    </w:pPr>
    <w:rPr>
      <w:rFonts w:ascii="Times New Roman" w:hAnsi="Times New Roman" w:eastAsia="仿宋_GB2312" w:cs="Times New Roman"/>
      <w:b/>
      <w:kern w:val="2"/>
      <w:sz w:val="24"/>
      <w:szCs w:val="24"/>
      <w:lang w:eastAsia="zh-CN"/>
    </w:rPr>
  </w:style>
  <w:style w:type="character" w:customStyle="1" w:styleId="69">
    <w:name w:val="报告表 表内 一级 Char Char"/>
    <w:link w:val="68"/>
    <w:qFormat/>
    <w:uiPriority w:val="0"/>
    <w:rPr>
      <w:rFonts w:ascii="Times New Roman" w:hAnsi="Times New Roman" w:eastAsia="仿宋_GB2312" w:cs="Times New Roman"/>
      <w:b/>
      <w:kern w:val="2"/>
      <w:sz w:val="24"/>
      <w:szCs w:val="24"/>
      <w:lang w:eastAsia="zh-CN"/>
    </w:rPr>
  </w:style>
  <w:style w:type="paragraph" w:customStyle="1" w:styleId="70">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71">
    <w:name w:val="表格文字"/>
    <w:basedOn w:val="1"/>
    <w:link w:val="72"/>
    <w:qFormat/>
    <w:uiPriority w:val="0"/>
    <w:pPr>
      <w:jc w:val="center"/>
    </w:pPr>
    <w:rPr>
      <w:rFonts w:ascii="仿宋_GB2312" w:hAnsi="Arial Black" w:eastAsia="仿宋_GB2312" w:cs="Times New Roman"/>
      <w:kern w:val="44"/>
      <w:sz w:val="24"/>
      <w:szCs w:val="20"/>
      <w:lang w:eastAsia="zh-CN"/>
    </w:rPr>
  </w:style>
  <w:style w:type="character" w:customStyle="1" w:styleId="72">
    <w:name w:val="表格文字 Char Char"/>
    <w:link w:val="71"/>
    <w:qFormat/>
    <w:uiPriority w:val="0"/>
    <w:rPr>
      <w:rFonts w:ascii="仿宋_GB2312" w:hAnsi="Arial Black" w:eastAsia="仿宋_GB2312" w:cs="Times New Roman"/>
      <w:kern w:val="44"/>
      <w:sz w:val="24"/>
      <w:szCs w:val="20"/>
      <w:lang w:eastAsia="zh-CN"/>
    </w:rPr>
  </w:style>
  <w:style w:type="character" w:customStyle="1" w:styleId="73">
    <w:name w:val="0正文 Char"/>
    <w:link w:val="74"/>
    <w:qFormat/>
    <w:uiPriority w:val="0"/>
    <w:rPr>
      <w:rFonts w:cs="Calibri"/>
      <w:kern w:val="2"/>
      <w:sz w:val="24"/>
    </w:rPr>
  </w:style>
  <w:style w:type="paragraph" w:customStyle="1" w:styleId="74">
    <w:name w:val="0正文"/>
    <w:basedOn w:val="1"/>
    <w:link w:val="73"/>
    <w:qFormat/>
    <w:uiPriority w:val="0"/>
    <w:pPr>
      <w:spacing w:line="360" w:lineRule="auto"/>
      <w:ind w:firstLine="480" w:firstLineChars="200"/>
      <w:jc w:val="both"/>
    </w:pPr>
    <w:rPr>
      <w:rFonts w:cs="Calibri"/>
      <w:kern w:val="2"/>
      <w:sz w:val="24"/>
    </w:rPr>
  </w:style>
  <w:style w:type="character" w:customStyle="1" w:styleId="75">
    <w:name w:val="正文文本 Char"/>
    <w:basedOn w:val="29"/>
    <w:link w:val="10"/>
    <w:qFormat/>
    <w:uiPriority w:val="1"/>
    <w:rPr>
      <w:rFonts w:ascii="宋体" w:hAnsi="宋体" w:eastAsia="宋体"/>
      <w:sz w:val="21"/>
      <w:szCs w:val="21"/>
    </w:rPr>
  </w:style>
  <w:style w:type="character" w:customStyle="1" w:styleId="76">
    <w:name w:val="正文首行缩进 Char"/>
    <w:basedOn w:val="75"/>
    <w:link w:val="26"/>
    <w:qFormat/>
    <w:uiPriority w:val="0"/>
    <w:rPr>
      <w:rFonts w:ascii="宋体" w:hAnsi="宋体" w:eastAsia="宋体"/>
      <w:sz w:val="21"/>
      <w:szCs w:val="21"/>
    </w:rPr>
  </w:style>
  <w:style w:type="character" w:customStyle="1" w:styleId="77">
    <w:name w:val="Default Char Char"/>
    <w:link w:val="33"/>
    <w:qFormat/>
    <w:uiPriority w:val="0"/>
    <w:rPr>
      <w:rFonts w:ascii="宋体胧...." w:eastAsia="宋体胧...." w:cs="宋体胧...."/>
      <w:color w:val="000000"/>
      <w:sz w:val="24"/>
      <w:szCs w:val="24"/>
    </w:rPr>
  </w:style>
  <w:style w:type="paragraph" w:customStyle="1" w:styleId="78">
    <w:name w:val="报告书表格"/>
    <w:basedOn w:val="1"/>
    <w:qFormat/>
    <w:uiPriority w:val="0"/>
    <w:pPr>
      <w:adjustRightInd w:val="0"/>
      <w:spacing w:before="60" w:after="60" w:line="240" w:lineRule="atLeast"/>
      <w:jc w:val="center"/>
      <w:textAlignment w:val="baseline"/>
    </w:pPr>
    <w:rPr>
      <w:rFonts w:ascii="Times New Roman" w:hAnsi="Times New Roman" w:eastAsia="宋体" w:cs="Times New Roman"/>
      <w:sz w:val="21"/>
      <w:szCs w:val="20"/>
      <w:lang w:eastAsia="zh-CN"/>
    </w:rPr>
  </w:style>
  <w:style w:type="character" w:customStyle="1" w:styleId="79">
    <w:name w:val="正文首行缩进 2 Char"/>
    <w:basedOn w:val="47"/>
    <w:link w:val="2"/>
    <w:qFormat/>
    <w:uiPriority w:val="99"/>
    <w:rPr>
      <w:rFonts w:ascii="Times New Roman" w:hAnsi="Times New Roman" w:eastAsia="宋体" w:cs="Times New Roman"/>
      <w:kern w:val="2"/>
      <w:sz w:val="21"/>
      <w:szCs w:val="24"/>
      <w:lang w:eastAsia="zh-CN"/>
    </w:rPr>
  </w:style>
  <w:style w:type="character" w:customStyle="1" w:styleId="80">
    <w:name w:val="正1 Char"/>
    <w:basedOn w:val="29"/>
    <w:link w:val="81"/>
    <w:qFormat/>
    <w:uiPriority w:val="0"/>
    <w:rPr>
      <w:rFonts w:eastAsia="楷体_GB2312"/>
      <w:kern w:val="2"/>
      <w:sz w:val="24"/>
      <w:szCs w:val="24"/>
    </w:rPr>
  </w:style>
  <w:style w:type="paragraph" w:customStyle="1" w:styleId="81">
    <w:name w:val="正1"/>
    <w:basedOn w:val="1"/>
    <w:link w:val="80"/>
    <w:qFormat/>
    <w:uiPriority w:val="0"/>
    <w:pPr>
      <w:spacing w:line="360" w:lineRule="auto"/>
      <w:ind w:firstLine="200" w:firstLineChars="200"/>
    </w:pPr>
    <w:rPr>
      <w:rFonts w:eastAsia="楷体_GB2312"/>
      <w:kern w:val="2"/>
      <w:sz w:val="24"/>
      <w:szCs w:val="24"/>
    </w:rPr>
  </w:style>
  <w:style w:type="character" w:customStyle="1" w:styleId="82">
    <w:name w:val="正文文本缩进 2 Char"/>
    <w:basedOn w:val="29"/>
    <w:link w:val="14"/>
    <w:semiHidden/>
    <w:qFormat/>
    <w:uiPriority w:val="99"/>
  </w:style>
  <w:style w:type="paragraph" w:customStyle="1" w:styleId="83">
    <w:name w:val="表格"/>
    <w:basedOn w:val="1"/>
    <w:next w:val="1"/>
    <w:qFormat/>
    <w:uiPriority w:val="0"/>
    <w:pPr>
      <w:jc w:val="center"/>
    </w:pPr>
    <w:rPr>
      <w:rFonts w:ascii="Times New Roman" w:hAnsi="Times New Roman" w:eastAsia="宋体" w:cs="Times New Roman"/>
      <w:kern w:val="2"/>
      <w:sz w:val="24"/>
      <w:szCs w:val="20"/>
      <w:lang w:eastAsia="zh-CN"/>
    </w:rPr>
  </w:style>
  <w:style w:type="paragraph" w:customStyle="1" w:styleId="84">
    <w:name w:val="表头"/>
    <w:basedOn w:val="19"/>
    <w:next w:val="1"/>
    <w:link w:val="85"/>
    <w:qFormat/>
    <w:uiPriority w:val="0"/>
    <w:pPr>
      <w:spacing w:line="400" w:lineRule="exact"/>
      <w:jc w:val="center"/>
    </w:pPr>
    <w:rPr>
      <w:b/>
      <w:szCs w:val="21"/>
    </w:rPr>
  </w:style>
  <w:style w:type="character" w:customStyle="1" w:styleId="85">
    <w:name w:val="表头 Char"/>
    <w:link w:val="84"/>
    <w:qFormat/>
    <w:uiPriority w:val="0"/>
    <w:rPr>
      <w:rFonts w:ascii="Times New Roman" w:hAnsi="Times New Roman" w:eastAsia="宋体" w:cs="Times New Roman"/>
      <w:b/>
      <w:sz w:val="21"/>
      <w:szCs w:val="21"/>
      <w:lang w:eastAsia="zh-CN"/>
    </w:rPr>
  </w:style>
  <w:style w:type="paragraph" w:customStyle="1" w:styleId="86">
    <w:name w:val="报告"/>
    <w:basedOn w:val="1"/>
    <w:link w:val="87"/>
    <w:qFormat/>
    <w:uiPriority w:val="0"/>
    <w:pPr>
      <w:spacing w:line="500" w:lineRule="exact"/>
      <w:ind w:firstLine="480" w:firstLineChars="200"/>
      <w:jc w:val="both"/>
    </w:pPr>
    <w:rPr>
      <w:rFonts w:ascii="Times New Roman" w:hAnsi="Times New Roman" w:eastAsia="宋体" w:cs="Times New Roman"/>
      <w:kern w:val="2"/>
      <w:sz w:val="24"/>
      <w:szCs w:val="20"/>
      <w:lang w:eastAsia="zh-CN"/>
    </w:rPr>
  </w:style>
  <w:style w:type="character" w:customStyle="1" w:styleId="87">
    <w:name w:val="报告 Char"/>
    <w:basedOn w:val="29"/>
    <w:link w:val="86"/>
    <w:qFormat/>
    <w:uiPriority w:val="0"/>
    <w:rPr>
      <w:rFonts w:ascii="Times New Roman" w:hAnsi="Times New Roman" w:eastAsia="宋体" w:cs="Times New Roman"/>
      <w:kern w:val="2"/>
      <w:sz w:val="24"/>
      <w:szCs w:val="20"/>
      <w:lang w:eastAsia="zh-CN"/>
    </w:rPr>
  </w:style>
  <w:style w:type="character" w:customStyle="1" w:styleId="88">
    <w:name w:val="日期 Char"/>
    <w:basedOn w:val="29"/>
    <w:link w:val="13"/>
    <w:qFormat/>
    <w:uiPriority w:val="0"/>
    <w:rPr>
      <w:rFonts w:ascii="Times New Roman" w:hAnsi="Times New Roman" w:eastAsia="宋体" w:cs="Times New Roman"/>
      <w:kern w:val="2"/>
      <w:sz w:val="28"/>
      <w:szCs w:val="20"/>
      <w:lang w:eastAsia="zh-CN"/>
    </w:rPr>
  </w:style>
  <w:style w:type="character" w:customStyle="1" w:styleId="89">
    <w:name w:val="题注 Char"/>
    <w:link w:val="8"/>
    <w:qFormat/>
    <w:uiPriority w:val="0"/>
    <w:rPr>
      <w:rFonts w:eastAsia="仿宋_GB2312" w:cs="Arial"/>
      <w:kern w:val="2"/>
      <w:sz w:val="24"/>
      <w:szCs w:val="24"/>
      <w:lang w:val="zh-CN" w:eastAsia="zh-CN"/>
    </w:rPr>
  </w:style>
  <w:style w:type="character" w:customStyle="1" w:styleId="90">
    <w:name w:val="标准正文 Char"/>
    <w:qFormat/>
    <w:uiPriority w:val="0"/>
    <w:rPr>
      <w:rFonts w:ascii="宋体" w:hAnsi="宋体" w:eastAsia="宋体"/>
      <w:color w:val="000000"/>
      <w:kern w:val="2"/>
      <w:sz w:val="24"/>
      <w:szCs w:val="24"/>
      <w:lang w:val="en-US" w:eastAsia="zh-CN" w:bidi="ar-SA"/>
    </w:rPr>
  </w:style>
  <w:style w:type="paragraph" w:customStyle="1" w:styleId="91">
    <w:name w:val="标题2.0"/>
    <w:basedOn w:val="1"/>
    <w:qFormat/>
    <w:uiPriority w:val="0"/>
    <w:pPr>
      <w:adjustRightInd w:val="0"/>
      <w:snapToGrid w:val="0"/>
      <w:spacing w:line="360" w:lineRule="auto"/>
      <w:ind w:firstLine="200" w:firstLineChars="200"/>
      <w:jc w:val="both"/>
    </w:pPr>
    <w:rPr>
      <w:rFonts w:ascii="Times New Roman" w:hAnsi="Times New Roman" w:eastAsia="仿宋_GB2312" w:cs="Times New Roman"/>
      <w:b/>
      <w:bCs/>
      <w:color w:val="000000"/>
      <w:kern w:val="2"/>
      <w:sz w:val="24"/>
      <w:szCs w:val="24"/>
      <w:lang w:eastAsia="zh-CN"/>
    </w:rPr>
  </w:style>
  <w:style w:type="character" w:customStyle="1" w:styleId="92">
    <w:name w:val="样式 首行缩进:  2 字符1 Char Char"/>
    <w:basedOn w:val="29"/>
    <w:link w:val="93"/>
    <w:qFormat/>
    <w:uiPriority w:val="0"/>
    <w:rPr>
      <w:rFonts w:eastAsia="宋体" w:cs="宋体"/>
      <w:kern w:val="2"/>
      <w:sz w:val="24"/>
      <w:lang w:eastAsia="zh-CN"/>
    </w:rPr>
  </w:style>
  <w:style w:type="paragraph" w:customStyle="1" w:styleId="93">
    <w:name w:val="样式 首行缩进:  2 字符1"/>
    <w:basedOn w:val="1"/>
    <w:link w:val="92"/>
    <w:qFormat/>
    <w:uiPriority w:val="0"/>
    <w:pPr>
      <w:adjustRightInd w:val="0"/>
      <w:snapToGrid w:val="0"/>
      <w:spacing w:line="360" w:lineRule="auto"/>
      <w:ind w:firstLine="480" w:firstLineChars="200"/>
      <w:jc w:val="both"/>
    </w:pPr>
    <w:rPr>
      <w:rFonts w:eastAsia="宋体" w:cs="宋体"/>
      <w:kern w:val="2"/>
      <w:sz w:val="24"/>
      <w:lang w:eastAsia="zh-CN"/>
    </w:rPr>
  </w:style>
  <w:style w:type="character" w:customStyle="1" w:styleId="94">
    <w:name w:val="正文2 Char"/>
    <w:link w:val="95"/>
    <w:qFormat/>
    <w:uiPriority w:val="0"/>
    <w:rPr>
      <w:rFonts w:eastAsia="宋体"/>
      <w:sz w:val="24"/>
      <w:lang w:eastAsia="zh-CN"/>
    </w:rPr>
  </w:style>
  <w:style w:type="paragraph" w:customStyle="1" w:styleId="95">
    <w:name w:val="正文2"/>
    <w:basedOn w:val="1"/>
    <w:link w:val="94"/>
    <w:qFormat/>
    <w:uiPriority w:val="0"/>
    <w:pPr>
      <w:tabs>
        <w:tab w:val="left" w:pos="1005"/>
      </w:tabs>
      <w:spacing w:beforeLines="50" w:afterLines="50" w:line="348" w:lineRule="auto"/>
      <w:ind w:firstLine="480" w:firstLineChars="200"/>
      <w:jc w:val="both"/>
    </w:pPr>
    <w:rPr>
      <w:rFonts w:eastAsia="宋体"/>
      <w:sz w:val="24"/>
      <w:lang w:eastAsia="zh-CN"/>
    </w:rPr>
  </w:style>
  <w:style w:type="character" w:customStyle="1" w:styleId="96">
    <w:name w:val="正文缩进 Char"/>
    <w:link w:val="7"/>
    <w:qFormat/>
    <w:uiPriority w:val="0"/>
    <w:rPr>
      <w:rFonts w:eastAsia="宋体"/>
      <w:kern w:val="2"/>
      <w:sz w:val="21"/>
      <w:szCs w:val="24"/>
      <w:lang w:eastAsia="zh-CN"/>
    </w:rPr>
  </w:style>
  <w:style w:type="paragraph" w:customStyle="1" w:styleId="97">
    <w:name w:val="表格内容1.0"/>
    <w:basedOn w:val="1"/>
    <w:qFormat/>
    <w:uiPriority w:val="0"/>
    <w:pPr>
      <w:adjustRightInd w:val="0"/>
      <w:snapToGrid w:val="0"/>
      <w:jc w:val="center"/>
    </w:pPr>
    <w:rPr>
      <w:rFonts w:ascii="Times New Roman" w:hAnsi="Times New Roman" w:eastAsia="仿宋_GB2312" w:cs="Times New Roman"/>
      <w:color w:val="000000"/>
      <w:kern w:val="2"/>
      <w:sz w:val="21"/>
      <w:szCs w:val="21"/>
      <w:lang w:eastAsia="zh-CN"/>
    </w:rPr>
  </w:style>
  <w:style w:type="paragraph" w:customStyle="1" w:styleId="98">
    <w:name w:val="表头1.0"/>
    <w:basedOn w:val="1"/>
    <w:qFormat/>
    <w:uiPriority w:val="0"/>
    <w:pPr>
      <w:adjustRightInd w:val="0"/>
      <w:snapToGrid w:val="0"/>
      <w:spacing w:before="100" w:beforeAutospacing="1"/>
      <w:jc w:val="center"/>
    </w:pPr>
    <w:rPr>
      <w:rFonts w:ascii="Times New Roman" w:hAnsi="Times New Roman" w:eastAsia="仿宋_GB2312" w:cs="Times New Roman"/>
      <w:b/>
      <w:bCs/>
      <w:color w:val="000000"/>
      <w:kern w:val="2"/>
      <w:sz w:val="24"/>
      <w:szCs w:val="24"/>
      <w:lang w:eastAsia="zh-CN"/>
    </w:rPr>
  </w:style>
  <w:style w:type="character" w:customStyle="1" w:styleId="99">
    <w:name w:val="正文文本缩进 3 Char"/>
    <w:basedOn w:val="29"/>
    <w:link w:val="20"/>
    <w:semiHidden/>
    <w:qFormat/>
    <w:uiPriority w:val="99"/>
    <w:rPr>
      <w:sz w:val="16"/>
      <w:szCs w:val="16"/>
    </w:rPr>
  </w:style>
  <w:style w:type="paragraph" w:customStyle="1" w:styleId="100">
    <w:name w:val="正文样式1"/>
    <w:basedOn w:val="1"/>
    <w:qFormat/>
    <w:uiPriority w:val="0"/>
    <w:pPr>
      <w:adjustRightInd w:val="0"/>
      <w:spacing w:line="288" w:lineRule="auto"/>
      <w:ind w:firstLine="360" w:firstLineChars="150"/>
      <w:textAlignment w:val="baseline"/>
    </w:pPr>
  </w:style>
  <w:style w:type="paragraph" w:customStyle="1" w:styleId="101">
    <w:name w:val="表格内容"/>
    <w:basedOn w:val="7"/>
    <w:next w:val="1"/>
    <w:qFormat/>
    <w:uiPriority w:val="99"/>
    <w:pPr>
      <w:spacing w:line="312" w:lineRule="auto"/>
      <w:jc w:val="center"/>
    </w:pPr>
  </w:style>
  <w:style w:type="paragraph" w:customStyle="1" w:styleId="102">
    <w:name w:val="xl24"/>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体" w:hAnsi="宋体" w:eastAsia="仿宋体"/>
      <w:sz w:val="24"/>
      <w:szCs w:val="20"/>
    </w:rPr>
  </w:style>
  <w:style w:type="paragraph" w:customStyle="1" w:styleId="103">
    <w:name w:val="样式 正文缩进正文缩进2正文缩进 Char Char正文缩进 Char Char Char Char正文缩进 Char ..."/>
    <w:basedOn w:val="7"/>
    <w:qFormat/>
    <w:uiPriority w:val="0"/>
    <w:pPr>
      <w:adjustRightInd w:val="0"/>
      <w:spacing w:line="360" w:lineRule="atLeast"/>
      <w:ind w:firstLine="200"/>
      <w:jc w:val="left"/>
      <w:textAlignment w:val="baseline"/>
    </w:pPr>
    <w:rPr>
      <w:rFonts w:cs="宋体"/>
      <w:sz w:val="24"/>
    </w:rPr>
  </w:style>
  <w:style w:type="paragraph" w:customStyle="1" w:styleId="104">
    <w:name w:val="WPSOffice手动目录 1"/>
    <w:qFormat/>
    <w:uiPriority w:val="0"/>
    <w:rPr>
      <w:rFonts w:asciiTheme="minorHAnsi" w:hAnsiTheme="minorHAnsi" w:eastAsiaTheme="minorEastAsia" w:cstheme="minorBidi"/>
      <w:lang w:val="en-US" w:eastAsia="zh-CN" w:bidi="ar-SA"/>
    </w:rPr>
  </w:style>
  <w:style w:type="paragraph" w:customStyle="1" w:styleId="105">
    <w:name w:val="表内小四"/>
    <w:basedOn w:val="1"/>
    <w:qFormat/>
    <w:uiPriority w:val="0"/>
    <w:pPr>
      <w:adjustRightInd w:val="0"/>
      <w:snapToGrid w:val="0"/>
      <w:jc w:val="center"/>
    </w:pPr>
    <w:rPr>
      <w:sz w:val="24"/>
      <w:szCs w:val="21"/>
    </w:rPr>
  </w:style>
  <w:style w:type="paragraph" w:customStyle="1" w:styleId="106">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107">
    <w:name w:val="表格字体"/>
    <w:basedOn w:val="1"/>
    <w:semiHidden/>
    <w:qFormat/>
    <w:uiPriority w:val="0"/>
    <w:pPr>
      <w:adjustRightInd w:val="0"/>
      <w:spacing w:beforeLines="20" w:afterLines="20"/>
      <w:jc w:val="center"/>
      <w:textAlignment w:val="center"/>
    </w:pPr>
    <w:rPr>
      <w:szCs w:val="21"/>
    </w:rPr>
  </w:style>
  <w:style w:type="paragraph" w:customStyle="1" w:styleId="108">
    <w:name w:val="段落1"/>
    <w:basedOn w:val="1"/>
    <w:qFormat/>
    <w:uiPriority w:val="0"/>
    <w:pPr>
      <w:spacing w:line="480" w:lineRule="exact"/>
      <w:ind w:firstLine="200" w:firstLineChars="200"/>
    </w:pPr>
    <w:rPr>
      <w:rFonts w:eastAsia="楷体_GB2312"/>
      <w:spacing w:val="6"/>
      <w:sz w:val="28"/>
      <w:szCs w:val="24"/>
    </w:rPr>
  </w:style>
  <w:style w:type="paragraph" w:customStyle="1" w:styleId="109">
    <w:name w:val="+正文"/>
    <w:basedOn w:val="1"/>
    <w:qFormat/>
    <w:uiPriority w:val="0"/>
    <w:pPr>
      <w:adjustRightInd w:val="0"/>
      <w:snapToGrid w:val="0"/>
      <w:spacing w:line="360" w:lineRule="auto"/>
      <w:ind w:firstLine="200" w:firstLineChars="200"/>
    </w:pPr>
    <w:rPr>
      <w:rFonts w:ascii="Times New Roman" w:hAnsi="Times New Roman"/>
      <w:sz w:val="24"/>
    </w:rPr>
  </w:style>
  <w:style w:type="character" w:customStyle="1" w:styleId="110">
    <w:name w:val="font51"/>
    <w:basedOn w:val="29"/>
    <w:qFormat/>
    <w:uiPriority w:val="0"/>
    <w:rPr>
      <w:rFonts w:hint="eastAsia" w:ascii="宋体" w:hAnsi="宋体" w:eastAsia="宋体" w:cs="宋体"/>
      <w:color w:val="000000"/>
      <w:sz w:val="22"/>
      <w:szCs w:val="22"/>
      <w:u w:val="none"/>
    </w:rPr>
  </w:style>
  <w:style w:type="character" w:customStyle="1" w:styleId="111">
    <w:name w:val="font61"/>
    <w:basedOn w:val="29"/>
    <w:qFormat/>
    <w:uiPriority w:val="0"/>
    <w:rPr>
      <w:rFonts w:hint="eastAsia" w:ascii="宋体" w:hAnsi="宋体" w:eastAsia="宋体" w:cs="宋体"/>
      <w:color w:val="000000"/>
      <w:sz w:val="20"/>
      <w:szCs w:val="20"/>
      <w:u w:val="none"/>
    </w:rPr>
  </w:style>
  <w:style w:type="paragraph" w:customStyle="1" w:styleId="112">
    <w:name w:val="1表内文字 居中"/>
    <w:basedOn w:val="1"/>
    <w:qFormat/>
    <w:uiPriority w:val="99"/>
    <w:pPr>
      <w:adjustRightInd w:val="0"/>
      <w:jc w:val="center"/>
      <w:textAlignment w:val="baseline"/>
    </w:pPr>
    <w:rPr>
      <w:rFonts w:ascii="Times New Roman" w:hAnsi="Times New Roman"/>
      <w:snapToGrid w:val="0"/>
      <w:szCs w:val="24"/>
    </w:rPr>
  </w:style>
  <w:style w:type="paragraph" w:customStyle="1" w:styleId="113">
    <w:name w:val="1表格"/>
    <w:basedOn w:val="1"/>
    <w:qFormat/>
    <w:uiPriority w:val="0"/>
    <w:pPr>
      <w:adjustRightInd w:val="0"/>
      <w:snapToGrid w:val="0"/>
      <w:spacing w:line="480" w:lineRule="exact"/>
      <w:ind w:firstLine="200" w:firstLineChars="200"/>
      <w:jc w:val="center"/>
    </w:pPr>
    <w:rPr>
      <w:b/>
      <w:color w:val="000000"/>
      <w:spacing w:val="4"/>
      <w:sz w:val="24"/>
    </w:rPr>
  </w:style>
  <w:style w:type="paragraph" w:customStyle="1" w:styleId="114">
    <w:name w:val="Other|1"/>
    <w:basedOn w:val="1"/>
    <w:qFormat/>
    <w:uiPriority w:val="0"/>
    <w:pPr>
      <w:jc w:val="center"/>
    </w:pPr>
    <w:rPr>
      <w:sz w:val="20"/>
      <w:szCs w:val="20"/>
    </w:rPr>
  </w:style>
  <w:style w:type="paragraph" w:customStyle="1" w:styleId="115">
    <w:name w:val="+表头"/>
    <w:basedOn w:val="1"/>
    <w:next w:val="109"/>
    <w:qFormat/>
    <w:uiPriority w:val="0"/>
    <w:pPr>
      <w:adjustRightInd w:val="0"/>
      <w:snapToGrid w:val="0"/>
      <w:jc w:val="center"/>
    </w:pPr>
    <w:rPr>
      <w:rFonts w:ascii="Times New Roman" w:hAnsi="Times New Roman"/>
      <w:b/>
      <w:szCs w:val="21"/>
    </w:rPr>
  </w:style>
  <w:style w:type="paragraph" w:customStyle="1" w:styleId="116">
    <w:name w:val="六-图表题"/>
    <w:basedOn w:val="1"/>
    <w:qFormat/>
    <w:uiPriority w:val="0"/>
    <w:pPr>
      <w:adjustRightInd w:val="0"/>
      <w:snapToGrid w:val="0"/>
      <w:jc w:val="center"/>
    </w:pPr>
    <w:rPr>
      <w:rFonts w:eastAsia="Times New Roman"/>
      <w:b/>
      <w:lang w:val="zh-CN"/>
    </w:rPr>
  </w:style>
  <w:style w:type="paragraph" w:customStyle="1" w:styleId="117">
    <w:name w:val="样式 小四 行距: 1.5 倍行距4"/>
    <w:basedOn w:val="1"/>
    <w:qFormat/>
    <w:uiPriority w:val="0"/>
    <w:pPr>
      <w:adjustRightInd w:val="0"/>
      <w:snapToGrid w:val="0"/>
      <w:ind w:firstLine="200" w:firstLineChars="200"/>
    </w:pPr>
    <w:rPr>
      <w:rFonts w:ascii="宋体" w:cs="宋体"/>
      <w:sz w:val="24"/>
      <w:szCs w:val="24"/>
    </w:rPr>
  </w:style>
  <w:style w:type="paragraph" w:customStyle="1" w:styleId="118">
    <w:name w:val="文本"/>
    <w:basedOn w:val="1"/>
    <w:qFormat/>
    <w:uiPriority w:val="0"/>
    <w:pPr>
      <w:spacing w:line="360" w:lineRule="auto"/>
      <w:ind w:firstLine="200" w:firstLineChars="200"/>
    </w:pPr>
  </w:style>
  <w:style w:type="paragraph" w:customStyle="1" w:styleId="119">
    <w:name w:val="正文qq"/>
    <w:basedOn w:val="1"/>
    <w:qFormat/>
    <w:uiPriority w:val="0"/>
    <w:pPr>
      <w:spacing w:line="360" w:lineRule="auto"/>
      <w:ind w:firstLine="480" w:firstLineChars="200"/>
    </w:pPr>
    <w:rPr>
      <w:rFonts w:ascii="Times New Roman" w:hAnsi="Times New Roman" w:cs="Times New Roman"/>
      <w:bCs/>
      <w:kern w:val="2"/>
    </w:rPr>
  </w:style>
  <w:style w:type="paragraph" w:customStyle="1" w:styleId="120">
    <w:name w:val="正文（标准）"/>
    <w:basedOn w:val="1"/>
    <w:qFormat/>
    <w:uiPriority w:val="0"/>
    <w:pPr>
      <w:adjustRightInd w:val="0"/>
      <w:spacing w:line="360" w:lineRule="auto"/>
      <w:ind w:firstLine="200" w:firstLineChars="200"/>
    </w:pPr>
    <w:rPr>
      <w:sz w:val="24"/>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52AA0-1ACC-42C0-9EEB-8DD223F1AF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50289</Words>
  <Characters>60135</Characters>
  <Lines>471</Lines>
  <Paragraphs>132</Paragraphs>
  <TotalTime>1</TotalTime>
  <ScaleCrop>false</ScaleCrop>
  <LinksUpToDate>false</LinksUpToDate>
  <CharactersWithSpaces>61121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2021-03-05T09:15:00Z</dcterms:created>
  <dc:creator>lhj</dc:creator>
  <cp:lastModifiedBy>张三姓</cp:lastModifiedBy>
  <cp:lastPrinted>2023-08-10T09:00:00Z</cp:lastPrinted>
  <dcterms:modified xsi:type="dcterms:W3CDTF">2023-08-14T07:14:23Z</dcterms:modified>
  <dc:title>附件2</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LastSaved">
    <vt:filetime>2021-03-05T00:00:00Z</vt:filetime>
  </property>
  <property fmtid="{D5CDD505-2E9C-101B-9397-08002B2CF9AE}" pid="4" name="KSOProductBuildVer">
    <vt:lpwstr>2052-11.1.0.14309</vt:lpwstr>
  </property>
  <property fmtid="{D5CDD505-2E9C-101B-9397-08002B2CF9AE}" pid="5" name="ICV">
    <vt:lpwstr>D2BF8ABC3FE44CD3B65F025DBCAA32BA</vt:lpwstr>
  </property>
</Properties>
</file>